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33" w:rsidRPr="00E83ACD" w:rsidRDefault="00A04D33" w:rsidP="00A04D33">
      <w:pPr>
        <w:pStyle w:val="Default"/>
        <w:pageBreakBefore/>
        <w:jc w:val="right"/>
        <w:rPr>
          <w:rFonts w:ascii="Times New Roman" w:hAnsi="Times New Roman" w:cs="Times New Roman"/>
          <w:b/>
        </w:rPr>
      </w:pPr>
      <w:r w:rsidRPr="00E83ACD">
        <w:rPr>
          <w:rFonts w:ascii="Times New Roman" w:hAnsi="Times New Roman" w:cs="Times New Roman"/>
          <w:b/>
        </w:rPr>
        <w:t xml:space="preserve">Annexe </w:t>
      </w:r>
      <w:r w:rsidR="008749A6">
        <w:rPr>
          <w:rFonts w:ascii="Times New Roman" w:hAnsi="Times New Roman" w:cs="Times New Roman"/>
          <w:b/>
        </w:rPr>
        <w:t>à l’instruction n° 2022-I-04</w:t>
      </w:r>
    </w:p>
    <w:p w:rsidR="00A04D33" w:rsidRDefault="00A04D33" w:rsidP="00A04D33">
      <w:pPr>
        <w:pStyle w:val="Default"/>
        <w:jc w:val="center"/>
        <w:rPr>
          <w:rFonts w:ascii="Times New Roman" w:hAnsi="Times New Roman" w:cs="Times New Roman"/>
          <w:b/>
        </w:rPr>
      </w:pPr>
    </w:p>
    <w:p w:rsidR="00A04D33" w:rsidRDefault="00A04D33" w:rsidP="00A04D33">
      <w:pPr>
        <w:pStyle w:val="Default"/>
        <w:jc w:val="center"/>
        <w:rPr>
          <w:rFonts w:ascii="Times New Roman" w:hAnsi="Times New Roman" w:cs="Times New Roman"/>
          <w:b/>
        </w:rPr>
      </w:pPr>
    </w:p>
    <w:p w:rsidR="00A04D33" w:rsidRDefault="00A04D33" w:rsidP="00A04D33">
      <w:pPr>
        <w:pStyle w:val="Default"/>
        <w:jc w:val="center"/>
        <w:rPr>
          <w:rFonts w:ascii="Times New Roman" w:hAnsi="Times New Roman" w:cs="Times New Roman"/>
          <w:b/>
        </w:rPr>
      </w:pPr>
    </w:p>
    <w:p w:rsidR="00A04D33" w:rsidRPr="00E83ACD" w:rsidRDefault="00A04D33" w:rsidP="00A04D33">
      <w:pPr>
        <w:pStyle w:val="Default"/>
        <w:jc w:val="center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  <w:b/>
        </w:rPr>
        <w:t>Catégories de prêts garantis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A04D33" w:rsidRDefault="00A04D33" w:rsidP="00A04D33">
      <w:pPr>
        <w:pStyle w:val="Default"/>
        <w:rPr>
          <w:rFonts w:ascii="Times New Roman" w:hAnsi="Times New Roman" w:cs="Times New Roman"/>
          <w:u w:val="single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  <w:u w:val="single"/>
        </w:rPr>
        <w:t xml:space="preserve">Les catégories de créances garanties sont les suivantes </w:t>
      </w:r>
      <w:r w:rsidRPr="00E83ACD">
        <w:rPr>
          <w:rFonts w:ascii="Times New Roman" w:hAnsi="Times New Roman" w:cs="Times New Roman"/>
        </w:rPr>
        <w:t xml:space="preserve">: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</w:rPr>
        <w:t xml:space="preserve">- créances commerciales ;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</w:rPr>
        <w:t xml:space="preserve">- crédits à l’exportation ;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</w:rPr>
        <w:t xml:space="preserve">- crédits de trésorerie ;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</w:rPr>
        <w:t xml:space="preserve">- crédits à l’équipement ;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</w:rPr>
        <w:t xml:space="preserve">- crédits investisseurs à l’habitat ;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</w:rPr>
        <w:t xml:space="preserve">- crédits promoteurs ;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</w:rPr>
        <w:t xml:space="preserve">- autres crédits.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  <w:r w:rsidRPr="00E83ACD">
        <w:rPr>
          <w:rFonts w:ascii="Times New Roman" w:hAnsi="Times New Roman" w:cs="Times New Roman"/>
          <w:u w:val="single"/>
        </w:rPr>
        <w:t xml:space="preserve">Les types de contreparties sont les suivants </w:t>
      </w:r>
      <w:r w:rsidRPr="00E83ACD">
        <w:rPr>
          <w:rFonts w:ascii="Times New Roman" w:hAnsi="Times New Roman" w:cs="Times New Roman"/>
        </w:rPr>
        <w:t xml:space="preserve">: </w:t>
      </w: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- </w:t>
      </w:r>
      <w:r w:rsidRPr="00E83ACD">
        <w:rPr>
          <w:rFonts w:ascii="Times New Roman" w:hAnsi="Times New Roman"/>
        </w:rPr>
        <w:t>sociétés non financières et entrepreneurs individuels ;</w:t>
      </w: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- </w:t>
      </w:r>
      <w:r w:rsidRPr="00E83ACD">
        <w:rPr>
          <w:rFonts w:ascii="Times New Roman" w:hAnsi="Times New Roman"/>
        </w:rPr>
        <w:t>particuliers ;</w:t>
      </w: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- </w:t>
      </w:r>
      <w:r w:rsidRPr="00E83ACD">
        <w:rPr>
          <w:rFonts w:ascii="Times New Roman" w:hAnsi="Times New Roman"/>
        </w:rPr>
        <w:t>autres.</w:t>
      </w: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/>
          <w:u w:val="single"/>
        </w:rPr>
        <w:t xml:space="preserve">Les types de garanties sont les suivants </w:t>
      </w:r>
      <w:r w:rsidRPr="00E83ACD">
        <w:rPr>
          <w:rFonts w:ascii="Times New Roman" w:hAnsi="Times New Roman"/>
        </w:rPr>
        <w:t>:</w:t>
      </w: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- </w:t>
      </w:r>
      <w:r w:rsidRPr="00E83ACD">
        <w:rPr>
          <w:rFonts w:ascii="Times New Roman" w:hAnsi="Times New Roman"/>
        </w:rPr>
        <w:t>garantie hypothécaires sur un immeuble à usage d’habitation;</w:t>
      </w: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- </w:t>
      </w:r>
      <w:r w:rsidRPr="00E83ACD">
        <w:rPr>
          <w:rFonts w:ascii="Times New Roman" w:hAnsi="Times New Roman"/>
        </w:rPr>
        <w:t>garantie hypothécaires sur un immeuble à usage professionnel ;</w:t>
      </w: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- </w:t>
      </w:r>
      <w:r w:rsidRPr="00E83ACD">
        <w:rPr>
          <w:rFonts w:ascii="Times New Roman" w:hAnsi="Times New Roman"/>
        </w:rPr>
        <w:t>caution délivrée par un établissement de crédit ;</w:t>
      </w: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- </w:t>
      </w:r>
      <w:r w:rsidRPr="00E83ACD">
        <w:rPr>
          <w:rFonts w:ascii="Times New Roman" w:hAnsi="Times New Roman"/>
        </w:rPr>
        <w:t>caution délivrée par une entreprise d’assurance ;</w:t>
      </w: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pStyle w:val="Default"/>
        <w:rPr>
          <w:rFonts w:ascii="Times New Roman" w:hAnsi="Times New Roman"/>
        </w:rPr>
      </w:pPr>
      <w:r w:rsidRPr="00E83ACD">
        <w:rPr>
          <w:rFonts w:ascii="Times New Roman" w:hAnsi="Times New Roman" w:cs="Times New Roman"/>
        </w:rPr>
        <w:t xml:space="preserve">- </w:t>
      </w:r>
      <w:r w:rsidRPr="00E83ACD">
        <w:rPr>
          <w:rFonts w:ascii="Times New Roman" w:hAnsi="Times New Roman"/>
        </w:rPr>
        <w:t>garantie du Fonds de garantie à l’accession sociale à la propriété ;</w:t>
      </w:r>
      <w:r w:rsidRPr="00E83ACD">
        <w:rPr>
          <w:rFonts w:ascii="Times New Roman" w:hAnsi="Times New Roman" w:cs="Times New Roman"/>
        </w:rPr>
        <w:t xml:space="preserve"> </w:t>
      </w:r>
    </w:p>
    <w:p w:rsidR="00A04D33" w:rsidRPr="00E83ACD" w:rsidRDefault="00A04D33" w:rsidP="00A04D33">
      <w:pPr>
        <w:pStyle w:val="Default"/>
        <w:rPr>
          <w:rFonts w:ascii="Times New Roman" w:hAnsi="Times New Roman" w:cs="Times New Roman"/>
        </w:rPr>
      </w:pPr>
    </w:p>
    <w:p w:rsidR="00A04D33" w:rsidRPr="00E83ACD" w:rsidRDefault="00A04D33" w:rsidP="00A04D33">
      <w:pPr>
        <w:rPr>
          <w:sz w:val="24"/>
          <w:szCs w:val="24"/>
        </w:rPr>
      </w:pPr>
      <w:r w:rsidRPr="00E83ACD">
        <w:rPr>
          <w:rFonts w:ascii="Times New Roman" w:hAnsi="Times New Roman"/>
          <w:sz w:val="24"/>
          <w:szCs w:val="24"/>
        </w:rPr>
        <w:t>L’immobilier à usage professionnel comprend tous les immeubles qui ne sont pas à usage d’habitation.</w:t>
      </w:r>
    </w:p>
    <w:p w:rsidR="006C429D" w:rsidRDefault="006C429D"/>
    <w:sectPr w:rsidR="006C429D" w:rsidSect="00E83ACD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53" w:rsidRDefault="00E70353">
      <w:pPr>
        <w:spacing w:after="0" w:line="240" w:lineRule="auto"/>
      </w:pPr>
      <w:r>
        <w:separator/>
      </w:r>
    </w:p>
  </w:endnote>
  <w:endnote w:type="continuationSeparator" w:id="0">
    <w:p w:rsidR="00E70353" w:rsidRDefault="00E7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53" w:rsidRDefault="00E70353">
      <w:pPr>
        <w:spacing w:after="0" w:line="240" w:lineRule="auto"/>
      </w:pPr>
      <w:r>
        <w:separator/>
      </w:r>
    </w:p>
  </w:footnote>
  <w:footnote w:type="continuationSeparator" w:id="0">
    <w:p w:rsidR="00E70353" w:rsidRDefault="00E7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574740"/>
      <w:docPartObj>
        <w:docPartGallery w:val="Page Numbers (Top of Page)"/>
        <w:docPartUnique/>
      </w:docPartObj>
    </w:sdtPr>
    <w:sdtEndPr/>
    <w:sdtContent>
      <w:p w:rsidR="00E83ACD" w:rsidRDefault="00A04D33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83ACD" w:rsidRDefault="00E703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33"/>
    <w:rsid w:val="006C429D"/>
    <w:rsid w:val="008749A6"/>
    <w:rsid w:val="00A04D33"/>
    <w:rsid w:val="00E7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68E5-5FCD-494D-84CC-8FBFD1E5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4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0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 Marion (UA 2709)</dc:creator>
  <cp:keywords/>
  <dc:description/>
  <cp:lastModifiedBy>ZOSI Marion (UA 2709)</cp:lastModifiedBy>
  <cp:revision>2</cp:revision>
  <cp:lastPrinted>2022-03-10T15:32:00Z</cp:lastPrinted>
  <dcterms:created xsi:type="dcterms:W3CDTF">2022-03-10T14:25:00Z</dcterms:created>
  <dcterms:modified xsi:type="dcterms:W3CDTF">2022-03-10T15:35:00Z</dcterms:modified>
</cp:coreProperties>
</file>