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8C9DA" w14:textId="77777777" w:rsidR="00ED359C" w:rsidRDefault="00ED359C" w:rsidP="005E26A5">
      <w:pPr>
        <w:ind w:left="1134" w:right="62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14:paraId="173A7351" w14:textId="5285BEE2" w:rsidR="00125CDA" w:rsidRPr="00FF2D26" w:rsidRDefault="00125CDA" w:rsidP="005E26A5">
      <w:pPr>
        <w:ind w:left="1134" w:right="62"/>
        <w:jc w:val="center"/>
        <w:rPr>
          <w:rFonts w:ascii="Times New Roman" w:hAnsi="Times New Roman"/>
          <w:b/>
          <w:szCs w:val="24"/>
        </w:rPr>
      </w:pPr>
      <w:r w:rsidRPr="00FF2D26">
        <w:rPr>
          <w:rFonts w:ascii="Times New Roman" w:hAnsi="Times New Roman"/>
          <w:b/>
          <w:szCs w:val="24"/>
        </w:rPr>
        <w:t>AUTORITÉ DE CONTRÔLE PRUDENTIEL ET DE RÉSOLUTION</w:t>
      </w:r>
    </w:p>
    <w:p w14:paraId="3866B847" w14:textId="77777777" w:rsidR="00125CDA" w:rsidRPr="00FF2D26" w:rsidRDefault="00125CDA" w:rsidP="005E26A5">
      <w:pPr>
        <w:ind w:left="1134" w:right="62"/>
        <w:jc w:val="center"/>
        <w:rPr>
          <w:rFonts w:ascii="Times New Roman" w:hAnsi="Times New Roman"/>
          <w:b/>
          <w:szCs w:val="24"/>
        </w:rPr>
      </w:pPr>
      <w:r w:rsidRPr="00FF2D26">
        <w:rPr>
          <w:rFonts w:ascii="Times New Roman" w:hAnsi="Times New Roman"/>
          <w:b/>
          <w:szCs w:val="24"/>
        </w:rPr>
        <w:t>------</w:t>
      </w:r>
    </w:p>
    <w:p w14:paraId="57B84B11" w14:textId="50E164D7" w:rsidR="00125CDA" w:rsidRPr="00FF2D26" w:rsidRDefault="00125CDA" w:rsidP="005E26A5">
      <w:pPr>
        <w:ind w:left="1134" w:right="62"/>
        <w:jc w:val="center"/>
        <w:rPr>
          <w:rFonts w:ascii="Times New Roman" w:hAnsi="Times New Roman"/>
          <w:b/>
          <w:szCs w:val="24"/>
        </w:rPr>
      </w:pPr>
      <w:r w:rsidRPr="00FF2D26">
        <w:rPr>
          <w:rFonts w:ascii="Times New Roman" w:hAnsi="Times New Roman"/>
          <w:b/>
          <w:szCs w:val="24"/>
        </w:rPr>
        <w:t xml:space="preserve">Instruction </w:t>
      </w:r>
      <w:r w:rsidRPr="005E26A5">
        <w:rPr>
          <w:rFonts w:ascii="Times New Roman" w:hAnsi="Times New Roman"/>
          <w:b/>
          <w:szCs w:val="24"/>
        </w:rPr>
        <w:t xml:space="preserve">n° </w:t>
      </w:r>
      <w:r w:rsidR="00251FA1" w:rsidRPr="005E26A5">
        <w:rPr>
          <w:rFonts w:ascii="Times New Roman" w:hAnsi="Times New Roman"/>
          <w:b/>
          <w:szCs w:val="24"/>
        </w:rPr>
        <w:t>2020</w:t>
      </w:r>
      <w:r w:rsidRPr="005E26A5">
        <w:rPr>
          <w:rFonts w:ascii="Times New Roman" w:hAnsi="Times New Roman"/>
          <w:b/>
          <w:szCs w:val="24"/>
        </w:rPr>
        <w:t>-I-</w:t>
      </w:r>
      <w:r w:rsidR="005E26A5" w:rsidRPr="005E26A5">
        <w:rPr>
          <w:rFonts w:ascii="Times New Roman" w:hAnsi="Times New Roman"/>
          <w:b/>
          <w:szCs w:val="24"/>
        </w:rPr>
        <w:t>09</w:t>
      </w:r>
      <w:r>
        <w:rPr>
          <w:rFonts w:ascii="Times New Roman" w:hAnsi="Times New Roman"/>
          <w:b/>
          <w:szCs w:val="24"/>
        </w:rPr>
        <w:t xml:space="preserve"> </w:t>
      </w:r>
    </w:p>
    <w:p w14:paraId="5424ABC2" w14:textId="77777777" w:rsidR="00125CDA" w:rsidRPr="00FF2D26" w:rsidRDefault="00125CDA" w:rsidP="005E26A5">
      <w:pPr>
        <w:ind w:left="1134" w:right="62"/>
        <w:jc w:val="center"/>
        <w:rPr>
          <w:rFonts w:ascii="Times New Roman" w:hAnsi="Times New Roman"/>
          <w:b/>
          <w:szCs w:val="24"/>
        </w:rPr>
      </w:pPr>
      <w:r w:rsidRPr="00FF2D26">
        <w:rPr>
          <w:rFonts w:ascii="Times New Roman" w:hAnsi="Times New Roman"/>
          <w:b/>
          <w:szCs w:val="24"/>
        </w:rPr>
        <w:t xml:space="preserve">modifiant </w:t>
      </w:r>
      <w:r w:rsidRPr="008B7E12">
        <w:rPr>
          <w:rFonts w:ascii="Times New Roman" w:hAnsi="Times New Roman"/>
          <w:b/>
          <w:szCs w:val="24"/>
        </w:rPr>
        <w:t>l’i</w:t>
      </w:r>
      <w:r>
        <w:rPr>
          <w:rFonts w:ascii="Times New Roman" w:hAnsi="Times New Roman"/>
          <w:b/>
          <w:szCs w:val="24"/>
        </w:rPr>
        <w:t xml:space="preserve">nstruction </w:t>
      </w:r>
      <w:r w:rsidRPr="008B7E12">
        <w:rPr>
          <w:rFonts w:ascii="Times New Roman" w:hAnsi="Times New Roman"/>
          <w:b/>
          <w:szCs w:val="24"/>
        </w:rPr>
        <w:t>n° 2019-I-06</w:t>
      </w:r>
    </w:p>
    <w:p w14:paraId="20B8CCA8" w14:textId="77777777" w:rsidR="00ED359C" w:rsidRDefault="00125CDA" w:rsidP="005E26A5">
      <w:pPr>
        <w:ind w:left="1134" w:right="62"/>
        <w:jc w:val="center"/>
        <w:rPr>
          <w:rFonts w:ascii="Times New Roman" w:hAnsi="Times New Roman"/>
          <w:b/>
          <w:szCs w:val="24"/>
        </w:rPr>
      </w:pPr>
      <w:r w:rsidRPr="00FF2D26">
        <w:rPr>
          <w:rFonts w:ascii="Times New Roman" w:hAnsi="Times New Roman"/>
          <w:b/>
          <w:szCs w:val="24"/>
        </w:rPr>
        <w:t xml:space="preserve">du </w:t>
      </w:r>
      <w:r>
        <w:rPr>
          <w:rFonts w:ascii="Times New Roman" w:hAnsi="Times New Roman"/>
          <w:b/>
          <w:szCs w:val="24"/>
        </w:rPr>
        <w:t xml:space="preserve">15 mars 2019 </w:t>
      </w:r>
      <w:r w:rsidRPr="00FF2D26">
        <w:rPr>
          <w:rFonts w:ascii="Times New Roman" w:hAnsi="Times New Roman"/>
          <w:b/>
          <w:szCs w:val="24"/>
        </w:rPr>
        <w:t xml:space="preserve">relative </w:t>
      </w:r>
      <w:r>
        <w:rPr>
          <w:rFonts w:ascii="Times New Roman" w:hAnsi="Times New Roman"/>
          <w:b/>
          <w:szCs w:val="24"/>
        </w:rPr>
        <w:t>à</w:t>
      </w:r>
      <w:r w:rsidRPr="008B7E12">
        <w:rPr>
          <w:rFonts w:ascii="Times New Roman" w:hAnsi="Times New Roman"/>
          <w:b/>
          <w:szCs w:val="24"/>
        </w:rPr>
        <w:t xml:space="preserve"> l’information préalable de </w:t>
      </w:r>
      <w:r>
        <w:rPr>
          <w:rFonts w:ascii="Times New Roman" w:hAnsi="Times New Roman"/>
          <w:b/>
          <w:szCs w:val="24"/>
        </w:rPr>
        <w:t xml:space="preserve">l’ACPR </w:t>
      </w:r>
    </w:p>
    <w:p w14:paraId="6B2B4B2C" w14:textId="1350C34F" w:rsidR="00125CDA" w:rsidRPr="00FF2D26" w:rsidRDefault="00125CDA" w:rsidP="005E26A5">
      <w:pPr>
        <w:ind w:left="1134" w:right="62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en cas d’externalisation </w:t>
      </w:r>
      <w:r w:rsidRPr="008B7E12">
        <w:rPr>
          <w:rFonts w:ascii="Times New Roman" w:hAnsi="Times New Roman"/>
          <w:b/>
          <w:szCs w:val="24"/>
        </w:rPr>
        <w:t>d’activités ou de fonctions importantes ou critiques</w:t>
      </w:r>
      <w:r w:rsidR="00ED359C">
        <w:rPr>
          <w:rFonts w:ascii="Times New Roman" w:hAnsi="Times New Roman"/>
          <w:b/>
          <w:szCs w:val="24"/>
        </w:rPr>
        <w:t xml:space="preserve"> </w:t>
      </w:r>
      <w:r w:rsidRPr="008B7E12">
        <w:rPr>
          <w:rFonts w:ascii="Times New Roman" w:hAnsi="Times New Roman"/>
          <w:b/>
          <w:szCs w:val="24"/>
        </w:rPr>
        <w:t>et d’évolution importante les concernant</w:t>
      </w:r>
    </w:p>
    <w:p w14:paraId="76EFC6ED" w14:textId="77777777" w:rsidR="00125CDA" w:rsidRPr="00FF2D26" w:rsidRDefault="00125CDA" w:rsidP="005E26A5">
      <w:pPr>
        <w:ind w:left="1418" w:right="62"/>
        <w:jc w:val="center"/>
        <w:rPr>
          <w:rFonts w:ascii="Times New Roman" w:hAnsi="Times New Roman"/>
          <w:b/>
          <w:szCs w:val="24"/>
        </w:rPr>
      </w:pPr>
    </w:p>
    <w:p w14:paraId="67AF5A52" w14:textId="77777777" w:rsidR="00125CDA" w:rsidRPr="00FF2D26" w:rsidRDefault="00125CDA" w:rsidP="005E26A5">
      <w:pPr>
        <w:ind w:left="1418" w:right="62"/>
        <w:rPr>
          <w:rFonts w:ascii="Times New Roman" w:hAnsi="Times New Roman"/>
          <w:b/>
          <w:szCs w:val="24"/>
        </w:rPr>
      </w:pPr>
    </w:p>
    <w:p w14:paraId="4D28EF1A" w14:textId="77777777" w:rsidR="00125CDA" w:rsidRPr="00FF2D26" w:rsidRDefault="00125CDA" w:rsidP="005E26A5">
      <w:pPr>
        <w:autoSpaceDE w:val="0"/>
        <w:autoSpaceDN w:val="0"/>
        <w:adjustRightInd w:val="0"/>
        <w:ind w:left="1134" w:right="62"/>
        <w:rPr>
          <w:rFonts w:ascii="Times New Roman" w:eastAsia="Calibri" w:hAnsi="Times New Roman"/>
          <w:color w:val="000000"/>
          <w:szCs w:val="24"/>
        </w:rPr>
      </w:pPr>
      <w:r w:rsidRPr="00FF2D26">
        <w:rPr>
          <w:rFonts w:ascii="Times New Roman" w:eastAsia="Calibri" w:hAnsi="Times New Roman"/>
          <w:color w:val="000000"/>
          <w:szCs w:val="24"/>
        </w:rPr>
        <w:t xml:space="preserve">L’Autorité de contrôle prudentiel et de résolution, </w:t>
      </w:r>
    </w:p>
    <w:p w14:paraId="3669A731" w14:textId="77777777" w:rsidR="00125CDA" w:rsidRPr="00FF2D26" w:rsidRDefault="00125CDA" w:rsidP="005E26A5">
      <w:pPr>
        <w:widowControl w:val="0"/>
        <w:suppressAutoHyphens/>
        <w:autoSpaceDE w:val="0"/>
        <w:autoSpaceDN w:val="0"/>
        <w:adjustRightInd w:val="0"/>
        <w:ind w:left="1134" w:right="62"/>
        <w:rPr>
          <w:rFonts w:ascii="Times New Roman" w:hAnsi="Times New Roman"/>
          <w:szCs w:val="24"/>
        </w:rPr>
      </w:pPr>
    </w:p>
    <w:p w14:paraId="0E3FC81D" w14:textId="77777777" w:rsidR="00125CDA" w:rsidRPr="00FF2D26" w:rsidRDefault="00125CDA" w:rsidP="005E26A5">
      <w:pPr>
        <w:widowControl w:val="0"/>
        <w:suppressAutoHyphens/>
        <w:autoSpaceDE w:val="0"/>
        <w:autoSpaceDN w:val="0"/>
        <w:adjustRightInd w:val="0"/>
        <w:ind w:left="1134" w:right="62"/>
        <w:rPr>
          <w:rFonts w:ascii="Times New Roman" w:hAnsi="Times New Roman"/>
          <w:szCs w:val="24"/>
        </w:rPr>
      </w:pPr>
      <w:r w:rsidRPr="00FF2D26">
        <w:rPr>
          <w:rFonts w:ascii="Times New Roman" w:hAnsi="Times New Roman"/>
          <w:szCs w:val="24"/>
        </w:rPr>
        <w:t xml:space="preserve">Vu </w:t>
      </w:r>
      <w:r w:rsidRPr="001E3DCC">
        <w:rPr>
          <w:rFonts w:ascii="Times New Roman" w:hAnsi="Times New Roman"/>
          <w:szCs w:val="24"/>
        </w:rPr>
        <w:t>le Code monétaire et financier, notamm</w:t>
      </w:r>
      <w:r>
        <w:rPr>
          <w:rFonts w:ascii="Times New Roman" w:hAnsi="Times New Roman"/>
          <w:szCs w:val="24"/>
        </w:rPr>
        <w:t>ent les articles L. 612-2 et L. 612</w:t>
      </w:r>
      <w:r>
        <w:rPr>
          <w:rFonts w:ascii="Times New Roman" w:hAnsi="Times New Roman"/>
          <w:szCs w:val="24"/>
        </w:rPr>
        <w:noBreakHyphen/>
      </w:r>
      <w:r w:rsidRPr="001E3DCC">
        <w:rPr>
          <w:rFonts w:ascii="Times New Roman" w:hAnsi="Times New Roman"/>
          <w:szCs w:val="24"/>
        </w:rPr>
        <w:t>24</w:t>
      </w:r>
      <w:r w:rsidRPr="00FF2D26">
        <w:rPr>
          <w:rFonts w:ascii="Times New Roman" w:hAnsi="Times New Roman"/>
          <w:szCs w:val="24"/>
        </w:rPr>
        <w:t> ;</w:t>
      </w:r>
    </w:p>
    <w:p w14:paraId="3FECB4B0" w14:textId="77777777" w:rsidR="00125CDA" w:rsidRPr="00FF2D26" w:rsidRDefault="00125CDA" w:rsidP="005E26A5">
      <w:pPr>
        <w:widowControl w:val="0"/>
        <w:suppressAutoHyphens/>
        <w:autoSpaceDE w:val="0"/>
        <w:autoSpaceDN w:val="0"/>
        <w:adjustRightInd w:val="0"/>
        <w:ind w:left="1134" w:right="62"/>
        <w:rPr>
          <w:rFonts w:ascii="Times New Roman" w:hAnsi="Times New Roman"/>
          <w:szCs w:val="24"/>
        </w:rPr>
      </w:pPr>
    </w:p>
    <w:p w14:paraId="76DC8798" w14:textId="77777777" w:rsidR="00125CDA" w:rsidRDefault="00125CDA" w:rsidP="005E26A5">
      <w:pPr>
        <w:widowControl w:val="0"/>
        <w:suppressAutoHyphens/>
        <w:autoSpaceDE w:val="0"/>
        <w:autoSpaceDN w:val="0"/>
        <w:adjustRightInd w:val="0"/>
        <w:ind w:left="1134" w:right="62"/>
        <w:rPr>
          <w:rFonts w:ascii="Times New Roman" w:hAnsi="Times New Roman"/>
          <w:szCs w:val="24"/>
        </w:rPr>
      </w:pPr>
      <w:r w:rsidRPr="00FF2D26">
        <w:rPr>
          <w:rFonts w:ascii="Times New Roman" w:hAnsi="Times New Roman"/>
          <w:szCs w:val="24"/>
        </w:rPr>
        <w:t xml:space="preserve">Vu </w:t>
      </w:r>
      <w:r w:rsidRPr="002059D4">
        <w:rPr>
          <w:rFonts w:ascii="Times New Roman" w:hAnsi="Times New Roman"/>
          <w:szCs w:val="24"/>
        </w:rPr>
        <w:t>les orientations de l’Autorité</w:t>
      </w:r>
      <w:r>
        <w:rPr>
          <w:rFonts w:ascii="Times New Roman" w:hAnsi="Times New Roman"/>
          <w:szCs w:val="24"/>
        </w:rPr>
        <w:t xml:space="preserve"> européenne des assurances et des pensions professionnelles</w:t>
      </w:r>
      <w:r w:rsidRPr="00FF2D26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relatives à la sous-traitance à des prestataires de services en nuage (EIOPA-BoS-20-002) </w:t>
      </w:r>
      <w:r w:rsidRPr="00FF2D26">
        <w:rPr>
          <w:rFonts w:ascii="Times New Roman" w:hAnsi="Times New Roman"/>
          <w:szCs w:val="24"/>
        </w:rPr>
        <w:t>;</w:t>
      </w:r>
    </w:p>
    <w:p w14:paraId="054AD340" w14:textId="77777777" w:rsidR="00125CDA" w:rsidRDefault="00125CDA" w:rsidP="005E26A5">
      <w:pPr>
        <w:widowControl w:val="0"/>
        <w:suppressAutoHyphens/>
        <w:autoSpaceDE w:val="0"/>
        <w:autoSpaceDN w:val="0"/>
        <w:adjustRightInd w:val="0"/>
        <w:ind w:left="1134" w:right="62"/>
        <w:rPr>
          <w:rFonts w:ascii="Times New Roman" w:hAnsi="Times New Roman"/>
          <w:szCs w:val="24"/>
        </w:rPr>
      </w:pPr>
    </w:p>
    <w:p w14:paraId="2296E9A3" w14:textId="77777777" w:rsidR="00125CDA" w:rsidRPr="00FF2D26" w:rsidRDefault="00125CDA" w:rsidP="005E26A5">
      <w:pPr>
        <w:widowControl w:val="0"/>
        <w:suppressAutoHyphens/>
        <w:autoSpaceDE w:val="0"/>
        <w:autoSpaceDN w:val="0"/>
        <w:adjustRightInd w:val="0"/>
        <w:ind w:left="1134" w:right="6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Vu l’instruction n° 2019-I-06 </w:t>
      </w:r>
      <w:r w:rsidRPr="00242185">
        <w:rPr>
          <w:rFonts w:ascii="Times New Roman" w:hAnsi="Times New Roman"/>
          <w:szCs w:val="24"/>
        </w:rPr>
        <w:t xml:space="preserve">relative à l’information préalable de </w:t>
      </w:r>
      <w:r>
        <w:rPr>
          <w:rFonts w:ascii="Times New Roman" w:hAnsi="Times New Roman"/>
          <w:szCs w:val="24"/>
        </w:rPr>
        <w:t xml:space="preserve">l’ACPR en cas d’externalisation </w:t>
      </w:r>
      <w:r w:rsidRPr="00242185">
        <w:rPr>
          <w:rFonts w:ascii="Times New Roman" w:hAnsi="Times New Roman"/>
          <w:szCs w:val="24"/>
        </w:rPr>
        <w:t>d’activités ou de fonctions importantes ou critiques</w:t>
      </w:r>
      <w:r>
        <w:rPr>
          <w:rFonts w:ascii="Times New Roman" w:hAnsi="Times New Roman"/>
          <w:szCs w:val="24"/>
        </w:rPr>
        <w:t xml:space="preserve"> </w:t>
      </w:r>
      <w:r w:rsidRPr="00242185">
        <w:rPr>
          <w:rFonts w:ascii="Times New Roman" w:hAnsi="Times New Roman"/>
          <w:szCs w:val="24"/>
        </w:rPr>
        <w:t>et d’évol</w:t>
      </w:r>
      <w:r>
        <w:rPr>
          <w:rFonts w:ascii="Times New Roman" w:hAnsi="Times New Roman"/>
          <w:szCs w:val="24"/>
        </w:rPr>
        <w:t>ution importante les concernant ;</w:t>
      </w:r>
    </w:p>
    <w:p w14:paraId="128DCC36" w14:textId="77777777" w:rsidR="00125CDA" w:rsidRPr="00FF2D26" w:rsidRDefault="00125CDA" w:rsidP="005E26A5">
      <w:pPr>
        <w:widowControl w:val="0"/>
        <w:suppressAutoHyphens/>
        <w:autoSpaceDE w:val="0"/>
        <w:autoSpaceDN w:val="0"/>
        <w:adjustRightInd w:val="0"/>
        <w:ind w:left="1134" w:right="62"/>
        <w:rPr>
          <w:rFonts w:ascii="Times New Roman" w:hAnsi="Times New Roman"/>
          <w:szCs w:val="24"/>
        </w:rPr>
      </w:pPr>
    </w:p>
    <w:p w14:paraId="64DFFDB8" w14:textId="76D843C7" w:rsidR="00125CDA" w:rsidRPr="001E3DCC" w:rsidRDefault="00125CDA" w:rsidP="005E26A5">
      <w:pPr>
        <w:widowControl w:val="0"/>
        <w:suppressAutoHyphens/>
        <w:autoSpaceDE w:val="0"/>
        <w:autoSpaceDN w:val="0"/>
        <w:adjustRightInd w:val="0"/>
        <w:ind w:left="1134" w:right="62"/>
        <w:rPr>
          <w:rFonts w:ascii="Times New Roman" w:hAnsi="Times New Roman"/>
          <w:szCs w:val="24"/>
        </w:rPr>
      </w:pPr>
      <w:r w:rsidRPr="001E3DCC">
        <w:rPr>
          <w:rFonts w:ascii="Times New Roman" w:hAnsi="Times New Roman"/>
          <w:szCs w:val="24"/>
        </w:rPr>
        <w:t>Vu l’avis</w:t>
      </w:r>
      <w:r>
        <w:rPr>
          <w:rFonts w:ascii="Times New Roman" w:hAnsi="Times New Roman"/>
          <w:szCs w:val="24"/>
        </w:rPr>
        <w:t xml:space="preserve"> de la Commission consultative </w:t>
      </w:r>
      <w:r w:rsidRPr="001E3DCC">
        <w:rPr>
          <w:rFonts w:ascii="Times New Roman" w:hAnsi="Times New Roman"/>
          <w:szCs w:val="24"/>
        </w:rPr>
        <w:t>Affaires prudentielles du</w:t>
      </w:r>
      <w:r>
        <w:rPr>
          <w:rFonts w:ascii="Times New Roman" w:hAnsi="Times New Roman"/>
          <w:szCs w:val="24"/>
        </w:rPr>
        <w:t xml:space="preserve"> 1</w:t>
      </w:r>
      <w:r w:rsidRPr="00242185">
        <w:rPr>
          <w:rFonts w:ascii="Times New Roman" w:hAnsi="Times New Roman"/>
          <w:szCs w:val="24"/>
          <w:vertAlign w:val="superscript"/>
        </w:rPr>
        <w:t>er</w:t>
      </w:r>
      <w:r w:rsidR="00251FA1">
        <w:rPr>
          <w:rFonts w:ascii="Times New Roman" w:hAnsi="Times New Roman"/>
          <w:szCs w:val="24"/>
        </w:rPr>
        <w:t> </w:t>
      </w:r>
      <w:r w:rsidR="00ED359C">
        <w:rPr>
          <w:rFonts w:ascii="Times New Roman" w:hAnsi="Times New Roman"/>
          <w:szCs w:val="24"/>
        </w:rPr>
        <w:t>juillet</w:t>
      </w:r>
      <w:r w:rsidR="005E26A5">
        <w:rPr>
          <w:rFonts w:ascii="Times New Roman" w:hAnsi="Times New Roman"/>
          <w:szCs w:val="24"/>
        </w:rPr>
        <w:t> </w:t>
      </w:r>
      <w:r w:rsidR="00ED359C">
        <w:rPr>
          <w:rFonts w:ascii="Times New Roman" w:hAnsi="Times New Roman"/>
          <w:szCs w:val="24"/>
        </w:rPr>
        <w:t>2020,</w:t>
      </w:r>
    </w:p>
    <w:p w14:paraId="00156E57" w14:textId="77777777" w:rsidR="00125CDA" w:rsidRPr="00FF2D26" w:rsidRDefault="00125CDA" w:rsidP="005E26A5">
      <w:pPr>
        <w:widowControl w:val="0"/>
        <w:suppressAutoHyphens/>
        <w:autoSpaceDE w:val="0"/>
        <w:autoSpaceDN w:val="0"/>
        <w:adjustRightInd w:val="0"/>
        <w:ind w:left="1134" w:right="62"/>
        <w:rPr>
          <w:rFonts w:ascii="Times New Roman" w:hAnsi="Times New Roman"/>
          <w:szCs w:val="24"/>
        </w:rPr>
      </w:pPr>
    </w:p>
    <w:p w14:paraId="5136A1B2" w14:textId="77777777" w:rsidR="00125CDA" w:rsidRPr="00FF2D26" w:rsidRDefault="00125CDA" w:rsidP="005E26A5">
      <w:pPr>
        <w:widowControl w:val="0"/>
        <w:suppressAutoHyphens/>
        <w:autoSpaceDE w:val="0"/>
        <w:autoSpaceDN w:val="0"/>
        <w:adjustRightInd w:val="0"/>
        <w:ind w:left="1134" w:right="62"/>
        <w:rPr>
          <w:rFonts w:ascii="Times New Roman" w:hAnsi="Times New Roman"/>
          <w:szCs w:val="24"/>
        </w:rPr>
      </w:pPr>
    </w:p>
    <w:p w14:paraId="37E61C4E" w14:textId="6C04A4B4" w:rsidR="00125CDA" w:rsidRPr="00FF2D26" w:rsidRDefault="00125CDA" w:rsidP="005E26A5">
      <w:pPr>
        <w:widowControl w:val="0"/>
        <w:suppressAutoHyphens/>
        <w:autoSpaceDE w:val="0"/>
        <w:autoSpaceDN w:val="0"/>
        <w:adjustRightInd w:val="0"/>
        <w:ind w:left="1134" w:right="62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DÉ</w:t>
      </w:r>
      <w:r w:rsidR="00ED359C">
        <w:rPr>
          <w:rFonts w:ascii="Times New Roman" w:hAnsi="Times New Roman"/>
          <w:b/>
          <w:bCs/>
          <w:szCs w:val="24"/>
        </w:rPr>
        <w:t>CIDE</w:t>
      </w:r>
    </w:p>
    <w:p w14:paraId="11D8C05E" w14:textId="77777777" w:rsidR="00125CDA" w:rsidRPr="00FF2D26" w:rsidRDefault="00125CDA" w:rsidP="005E26A5">
      <w:pPr>
        <w:ind w:left="1134" w:right="62"/>
        <w:rPr>
          <w:rFonts w:ascii="Times New Roman" w:hAnsi="Times New Roman"/>
          <w:b/>
          <w:szCs w:val="24"/>
        </w:rPr>
      </w:pPr>
    </w:p>
    <w:p w14:paraId="43589C6E" w14:textId="77777777" w:rsidR="00125CDA" w:rsidRPr="000368F9" w:rsidRDefault="00125CDA" w:rsidP="005E26A5">
      <w:pPr>
        <w:ind w:left="1134" w:right="62"/>
        <w:rPr>
          <w:rFonts w:ascii="Times New Roman" w:hAnsi="Times New Roman"/>
          <w:b/>
          <w:szCs w:val="24"/>
        </w:rPr>
      </w:pPr>
      <w:r w:rsidRPr="000368F9">
        <w:rPr>
          <w:rFonts w:ascii="Times New Roman" w:hAnsi="Times New Roman"/>
          <w:b/>
          <w:szCs w:val="24"/>
        </w:rPr>
        <w:t xml:space="preserve">Article </w:t>
      </w:r>
      <w:r>
        <w:rPr>
          <w:rFonts w:ascii="Times New Roman" w:hAnsi="Times New Roman"/>
          <w:b/>
          <w:szCs w:val="24"/>
        </w:rPr>
        <w:t>1</w:t>
      </w:r>
      <w:r w:rsidRPr="002059D4">
        <w:rPr>
          <w:rFonts w:ascii="Times New Roman" w:hAnsi="Times New Roman"/>
          <w:b/>
          <w:szCs w:val="24"/>
          <w:vertAlign w:val="superscript"/>
        </w:rPr>
        <w:t>er</w:t>
      </w:r>
      <w:r>
        <w:rPr>
          <w:rFonts w:ascii="Times New Roman" w:hAnsi="Times New Roman"/>
          <w:b/>
          <w:szCs w:val="24"/>
        </w:rPr>
        <w:t xml:space="preserve"> </w:t>
      </w:r>
      <w:r w:rsidRPr="000368F9">
        <w:rPr>
          <w:rFonts w:ascii="Times New Roman" w:hAnsi="Times New Roman"/>
          <w:b/>
          <w:szCs w:val="24"/>
        </w:rPr>
        <w:t>:</w:t>
      </w:r>
    </w:p>
    <w:p w14:paraId="39761056" w14:textId="77777777" w:rsidR="00125CDA" w:rsidRPr="00FF2D26" w:rsidRDefault="00125CDA" w:rsidP="005E26A5">
      <w:pPr>
        <w:ind w:left="1134" w:right="62"/>
        <w:rPr>
          <w:rFonts w:ascii="Times New Roman" w:hAnsi="Times New Roman"/>
          <w:szCs w:val="24"/>
        </w:rPr>
      </w:pPr>
    </w:p>
    <w:p w14:paraId="015D8E0F" w14:textId="77777777" w:rsidR="00125CDA" w:rsidRPr="00FF2D26" w:rsidRDefault="00125CDA" w:rsidP="005E26A5">
      <w:pPr>
        <w:pStyle w:val="Paragraphedeliste"/>
        <w:ind w:left="1134" w:right="62"/>
        <w:rPr>
          <w:sz w:val="24"/>
          <w:szCs w:val="24"/>
        </w:rPr>
      </w:pPr>
      <w:r w:rsidRPr="00FF2D26">
        <w:rPr>
          <w:sz w:val="24"/>
          <w:szCs w:val="24"/>
        </w:rPr>
        <w:t xml:space="preserve">L’annexe de l’instruction n° </w:t>
      </w:r>
      <w:r>
        <w:rPr>
          <w:sz w:val="24"/>
          <w:szCs w:val="24"/>
        </w:rPr>
        <w:t>2019-I-06 susvisée est remplacée par l’annexe</w:t>
      </w:r>
      <w:r w:rsidRPr="00FF2D26">
        <w:rPr>
          <w:sz w:val="24"/>
          <w:szCs w:val="24"/>
        </w:rPr>
        <w:t xml:space="preserve"> de la présente instruction. </w:t>
      </w:r>
    </w:p>
    <w:p w14:paraId="7D1F8E9E" w14:textId="77777777" w:rsidR="00125CDA" w:rsidRPr="00FF2D26" w:rsidRDefault="00125CDA" w:rsidP="005E26A5">
      <w:pPr>
        <w:pStyle w:val="Paragraphedeliste"/>
        <w:ind w:left="1134" w:right="62"/>
        <w:rPr>
          <w:sz w:val="24"/>
          <w:szCs w:val="24"/>
        </w:rPr>
      </w:pPr>
    </w:p>
    <w:p w14:paraId="3EAF33F1" w14:textId="77777777" w:rsidR="00125CDA" w:rsidRPr="00FF2D26" w:rsidRDefault="00125CDA" w:rsidP="005E26A5">
      <w:pPr>
        <w:ind w:left="1134" w:right="62"/>
        <w:rPr>
          <w:rFonts w:ascii="Times New Roman" w:hAnsi="Times New Roman"/>
          <w:szCs w:val="24"/>
        </w:rPr>
      </w:pPr>
    </w:p>
    <w:p w14:paraId="6268832F" w14:textId="77777777" w:rsidR="00125CDA" w:rsidRPr="00FF2D26" w:rsidRDefault="00125CDA" w:rsidP="005E26A5">
      <w:pPr>
        <w:ind w:left="1134" w:right="62"/>
        <w:rPr>
          <w:rFonts w:ascii="Times New Roman" w:hAnsi="Times New Roman"/>
          <w:b/>
          <w:szCs w:val="24"/>
        </w:rPr>
      </w:pPr>
      <w:r w:rsidRPr="00FF2D26">
        <w:rPr>
          <w:rFonts w:ascii="Times New Roman" w:hAnsi="Times New Roman"/>
          <w:b/>
          <w:szCs w:val="24"/>
        </w:rPr>
        <w:t xml:space="preserve">Article </w:t>
      </w:r>
      <w:r>
        <w:rPr>
          <w:rFonts w:ascii="Times New Roman" w:hAnsi="Times New Roman"/>
          <w:b/>
          <w:szCs w:val="24"/>
        </w:rPr>
        <w:t>2 :</w:t>
      </w:r>
    </w:p>
    <w:p w14:paraId="5E7D8BB9" w14:textId="77777777" w:rsidR="00125CDA" w:rsidRPr="00FF2D26" w:rsidRDefault="00125CDA" w:rsidP="005E26A5">
      <w:pPr>
        <w:ind w:left="1134" w:right="62"/>
        <w:rPr>
          <w:rFonts w:ascii="Times New Roman" w:hAnsi="Times New Roman"/>
          <w:szCs w:val="24"/>
        </w:rPr>
      </w:pPr>
    </w:p>
    <w:p w14:paraId="11661665" w14:textId="77777777" w:rsidR="00125CDA" w:rsidRPr="00FF2D26" w:rsidRDefault="00125CDA" w:rsidP="005E26A5">
      <w:pPr>
        <w:ind w:left="1134" w:right="62"/>
        <w:rPr>
          <w:rFonts w:ascii="Times New Roman" w:hAnsi="Times New Roman"/>
          <w:b/>
          <w:szCs w:val="24"/>
          <w:u w:val="single"/>
        </w:rPr>
      </w:pPr>
      <w:r w:rsidRPr="00FF2D26">
        <w:rPr>
          <w:rFonts w:ascii="Times New Roman" w:hAnsi="Times New Roman"/>
          <w:szCs w:val="24"/>
        </w:rPr>
        <w:t xml:space="preserve">La présente instruction entre en application </w:t>
      </w:r>
      <w:r>
        <w:rPr>
          <w:rFonts w:ascii="Times New Roman" w:hAnsi="Times New Roman"/>
          <w:szCs w:val="24"/>
        </w:rPr>
        <w:t>le 1</w:t>
      </w:r>
      <w:r w:rsidRPr="002059D4">
        <w:rPr>
          <w:rFonts w:ascii="Times New Roman" w:hAnsi="Times New Roman"/>
          <w:szCs w:val="24"/>
          <w:vertAlign w:val="superscript"/>
        </w:rPr>
        <w:t>er</w:t>
      </w:r>
      <w:r>
        <w:rPr>
          <w:rFonts w:ascii="Times New Roman" w:hAnsi="Times New Roman"/>
          <w:szCs w:val="24"/>
        </w:rPr>
        <w:t xml:space="preserve"> janvier 2021</w:t>
      </w:r>
      <w:r w:rsidRPr="00FF2D26">
        <w:rPr>
          <w:rFonts w:ascii="Times New Roman" w:hAnsi="Times New Roman"/>
          <w:szCs w:val="24"/>
        </w:rPr>
        <w:t xml:space="preserve">. </w:t>
      </w:r>
    </w:p>
    <w:p w14:paraId="1475E089" w14:textId="77777777" w:rsidR="00125CDA" w:rsidRPr="00FF2D26" w:rsidRDefault="00125CDA" w:rsidP="005E26A5">
      <w:pPr>
        <w:ind w:left="1134" w:right="62"/>
        <w:rPr>
          <w:rFonts w:ascii="Times New Roman" w:hAnsi="Times New Roman"/>
          <w:b/>
          <w:szCs w:val="24"/>
          <w:u w:val="single"/>
        </w:rPr>
      </w:pPr>
    </w:p>
    <w:p w14:paraId="0938D237" w14:textId="77777777" w:rsidR="005E26A5" w:rsidRDefault="005E26A5" w:rsidP="005E26A5">
      <w:pPr>
        <w:ind w:left="1134" w:right="62"/>
        <w:jc w:val="center"/>
        <w:outlineLvl w:val="0"/>
        <w:rPr>
          <w:szCs w:val="24"/>
        </w:rPr>
      </w:pPr>
    </w:p>
    <w:p w14:paraId="256EA2B1" w14:textId="26C25B64" w:rsidR="00125CDA" w:rsidRPr="000368F9" w:rsidRDefault="00125CDA" w:rsidP="005E26A5">
      <w:pPr>
        <w:ind w:left="4536" w:right="62"/>
        <w:jc w:val="center"/>
        <w:outlineLvl w:val="0"/>
        <w:rPr>
          <w:szCs w:val="24"/>
        </w:rPr>
      </w:pPr>
      <w:r w:rsidRPr="000368F9">
        <w:rPr>
          <w:szCs w:val="24"/>
        </w:rPr>
        <w:t xml:space="preserve">Paris, le </w:t>
      </w:r>
      <w:r w:rsidR="00251FA1">
        <w:rPr>
          <w:szCs w:val="24"/>
        </w:rPr>
        <w:t>8 juillet 2020</w:t>
      </w:r>
    </w:p>
    <w:p w14:paraId="20641461" w14:textId="77777777" w:rsidR="00125CDA" w:rsidRDefault="00125CDA" w:rsidP="005E26A5">
      <w:pPr>
        <w:ind w:left="4536" w:right="62"/>
        <w:jc w:val="center"/>
        <w:rPr>
          <w:szCs w:val="24"/>
        </w:rPr>
      </w:pPr>
    </w:p>
    <w:p w14:paraId="3A6E89EE" w14:textId="77777777" w:rsidR="00125CDA" w:rsidRPr="000368F9" w:rsidRDefault="00125CDA" w:rsidP="005E26A5">
      <w:pPr>
        <w:ind w:left="4536" w:right="62"/>
        <w:jc w:val="center"/>
        <w:rPr>
          <w:szCs w:val="24"/>
        </w:rPr>
      </w:pPr>
      <w:r>
        <w:rPr>
          <w:szCs w:val="24"/>
        </w:rPr>
        <w:t>Pour le Sous-Collège sectoriel de l’assurance</w:t>
      </w:r>
    </w:p>
    <w:p w14:paraId="3DAE4E3F" w14:textId="77777777" w:rsidR="00125CDA" w:rsidRPr="000368F9" w:rsidRDefault="00125CDA" w:rsidP="005E26A5">
      <w:pPr>
        <w:ind w:left="4536" w:right="62"/>
        <w:jc w:val="center"/>
        <w:outlineLvl w:val="0"/>
        <w:rPr>
          <w:szCs w:val="24"/>
        </w:rPr>
      </w:pPr>
      <w:r w:rsidRPr="000368F9">
        <w:rPr>
          <w:szCs w:val="24"/>
        </w:rPr>
        <w:t>Le Président,</w:t>
      </w:r>
    </w:p>
    <w:p w14:paraId="62FC981B" w14:textId="77777777" w:rsidR="00125CDA" w:rsidRPr="000368F9" w:rsidRDefault="00125CDA" w:rsidP="005E26A5">
      <w:pPr>
        <w:ind w:left="4536" w:right="62"/>
        <w:jc w:val="center"/>
        <w:rPr>
          <w:szCs w:val="24"/>
        </w:rPr>
      </w:pPr>
    </w:p>
    <w:p w14:paraId="0F64401E" w14:textId="77777777" w:rsidR="00125CDA" w:rsidRDefault="00125CDA" w:rsidP="005E26A5">
      <w:pPr>
        <w:ind w:left="4536" w:right="62"/>
        <w:rPr>
          <w:szCs w:val="24"/>
        </w:rPr>
      </w:pPr>
    </w:p>
    <w:p w14:paraId="13FC7F7D" w14:textId="55D3E82C" w:rsidR="00125CDA" w:rsidRDefault="00125CDA" w:rsidP="005E26A5">
      <w:pPr>
        <w:ind w:left="4536" w:right="62"/>
        <w:rPr>
          <w:szCs w:val="24"/>
        </w:rPr>
      </w:pPr>
    </w:p>
    <w:p w14:paraId="3D7ECAC2" w14:textId="77777777" w:rsidR="005E26A5" w:rsidRPr="000368F9" w:rsidRDefault="005E26A5" w:rsidP="005E26A5">
      <w:pPr>
        <w:ind w:left="4536" w:right="62"/>
        <w:rPr>
          <w:szCs w:val="24"/>
        </w:rPr>
      </w:pPr>
    </w:p>
    <w:p w14:paraId="58B3A7EA" w14:textId="4772B148" w:rsidR="00125CDA" w:rsidRDefault="00125CDA" w:rsidP="005E26A5">
      <w:pPr>
        <w:ind w:left="4536" w:right="62"/>
        <w:jc w:val="center"/>
        <w:rPr>
          <w:szCs w:val="24"/>
        </w:rPr>
      </w:pPr>
    </w:p>
    <w:p w14:paraId="1607FC63" w14:textId="77777777" w:rsidR="005E26A5" w:rsidRPr="000368F9" w:rsidRDefault="005E26A5" w:rsidP="005E26A5">
      <w:pPr>
        <w:ind w:left="4536" w:right="62"/>
        <w:jc w:val="center"/>
        <w:rPr>
          <w:szCs w:val="24"/>
        </w:rPr>
      </w:pPr>
    </w:p>
    <w:p w14:paraId="38B30F06" w14:textId="3112DC76" w:rsidR="00125CDA" w:rsidRDefault="00D17D0A" w:rsidP="005E26A5">
      <w:pPr>
        <w:tabs>
          <w:tab w:val="left" w:pos="3402"/>
        </w:tabs>
        <w:ind w:left="4536" w:right="62" w:firstLine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Bernard DELAS</w:t>
      </w:r>
    </w:p>
    <w:p w14:paraId="3E72D389" w14:textId="7DFE4F6E" w:rsidR="00ED359C" w:rsidRDefault="00ED359C" w:rsidP="005E26A5">
      <w:pPr>
        <w:tabs>
          <w:tab w:val="left" w:pos="3402"/>
        </w:tabs>
        <w:ind w:left="4536" w:right="62" w:firstLine="567"/>
        <w:rPr>
          <w:szCs w:val="24"/>
        </w:rPr>
      </w:pPr>
    </w:p>
    <w:p w14:paraId="203A1AA3" w14:textId="79C19853" w:rsidR="002028BC" w:rsidRDefault="002028BC" w:rsidP="005E26A5">
      <w:pPr>
        <w:tabs>
          <w:tab w:val="left" w:pos="3402"/>
        </w:tabs>
        <w:ind w:left="4536" w:right="62" w:firstLine="567"/>
        <w:rPr>
          <w:szCs w:val="24"/>
        </w:rPr>
      </w:pPr>
    </w:p>
    <w:p w14:paraId="12FD9421" w14:textId="77777777" w:rsidR="00064934" w:rsidRDefault="00064934" w:rsidP="005E26A5">
      <w:pPr>
        <w:tabs>
          <w:tab w:val="left" w:pos="3402"/>
        </w:tabs>
        <w:ind w:left="4536" w:right="62" w:firstLine="567"/>
        <w:rPr>
          <w:szCs w:val="24"/>
        </w:rPr>
      </w:pPr>
    </w:p>
    <w:p w14:paraId="25EE34CD" w14:textId="77777777" w:rsidR="005E26A5" w:rsidRDefault="005E26A5" w:rsidP="005E26A5">
      <w:pPr>
        <w:tabs>
          <w:tab w:val="left" w:pos="3402"/>
        </w:tabs>
        <w:ind w:left="4536" w:right="62" w:firstLine="567"/>
        <w:rPr>
          <w:szCs w:val="24"/>
        </w:rPr>
      </w:pPr>
    </w:p>
    <w:p w14:paraId="7B511640" w14:textId="77777777" w:rsidR="002E5BC2" w:rsidRDefault="002E5BC2" w:rsidP="002E5BC2">
      <w:pPr>
        <w:spacing w:after="143" w:line="248" w:lineRule="auto"/>
        <w:ind w:left="358" w:right="61"/>
        <w:rPr>
          <w:szCs w:val="24"/>
        </w:rPr>
      </w:pPr>
    </w:p>
    <w:p w14:paraId="70CF83C4" w14:textId="1CBC7275" w:rsidR="002E5BC2" w:rsidRPr="0062058F" w:rsidRDefault="002E5BC2" w:rsidP="00466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color w:val="FF0000"/>
          <w:sz w:val="32"/>
        </w:rPr>
      </w:pPr>
      <w:r>
        <w:rPr>
          <w:sz w:val="32"/>
        </w:rPr>
        <w:t xml:space="preserve">Annexe à l’instruction </w:t>
      </w:r>
      <w:r w:rsidRPr="0062058F">
        <w:rPr>
          <w:sz w:val="32"/>
        </w:rPr>
        <w:t>n° 20</w:t>
      </w:r>
      <w:r w:rsidR="004669E0">
        <w:rPr>
          <w:sz w:val="32"/>
        </w:rPr>
        <w:t>20</w:t>
      </w:r>
      <w:r w:rsidRPr="0062058F">
        <w:rPr>
          <w:sz w:val="32"/>
        </w:rPr>
        <w:t>-I-0</w:t>
      </w:r>
      <w:r w:rsidR="004669E0">
        <w:rPr>
          <w:sz w:val="32"/>
        </w:rPr>
        <w:t>9</w:t>
      </w:r>
    </w:p>
    <w:p w14:paraId="63FEF368" w14:textId="77777777" w:rsidR="002E5BC2" w:rsidRDefault="002E5BC2" w:rsidP="002E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2"/>
        </w:rPr>
      </w:pPr>
      <w:r w:rsidRPr="00676F88">
        <w:rPr>
          <w:sz w:val="32"/>
        </w:rPr>
        <w:t>Formulaire de notification d’</w:t>
      </w:r>
      <w:r>
        <w:rPr>
          <w:sz w:val="32"/>
        </w:rPr>
        <w:t xml:space="preserve">une </w:t>
      </w:r>
      <w:r w:rsidRPr="00676F88">
        <w:rPr>
          <w:sz w:val="32"/>
        </w:rPr>
        <w:t>externalisation</w:t>
      </w:r>
      <w:r>
        <w:rPr>
          <w:sz w:val="32"/>
        </w:rPr>
        <w:t xml:space="preserve"> </w:t>
      </w:r>
      <w:r w:rsidRPr="00820F98">
        <w:rPr>
          <w:sz w:val="32"/>
        </w:rPr>
        <w:t xml:space="preserve">d’activité ou </w:t>
      </w:r>
      <w:r>
        <w:rPr>
          <w:sz w:val="32"/>
        </w:rPr>
        <w:t xml:space="preserve">de </w:t>
      </w:r>
      <w:r w:rsidRPr="00820F98">
        <w:rPr>
          <w:sz w:val="32"/>
        </w:rPr>
        <w:t>fonction importante ou critique</w:t>
      </w:r>
      <w:r>
        <w:rPr>
          <w:sz w:val="32"/>
        </w:rPr>
        <w:t xml:space="preserve"> ou d’évolution importante concernant cette externalisation</w:t>
      </w:r>
    </w:p>
    <w:p w14:paraId="46CCCAB3" w14:textId="77777777" w:rsidR="002E5BC2" w:rsidRPr="00DB4E89" w:rsidRDefault="002E5BC2" w:rsidP="002E5BC2">
      <w:pPr>
        <w:rPr>
          <w:u w:val="single"/>
        </w:rPr>
      </w:pPr>
    </w:p>
    <w:p w14:paraId="398920C6" w14:textId="77777777" w:rsidR="002E5BC2" w:rsidRDefault="002E5BC2" w:rsidP="002E5BC2">
      <w:r>
        <w:t xml:space="preserve">Date de la notification :  </w:t>
      </w:r>
    </w:p>
    <w:p w14:paraId="5CBB2D69" w14:textId="77777777" w:rsidR="002E5BC2" w:rsidRDefault="002E5BC2" w:rsidP="002E5BC2">
      <w:pPr>
        <w:jc w:val="center"/>
        <w:rPr>
          <w:b/>
          <w:highlight w:val="lightGray"/>
        </w:rPr>
      </w:pPr>
    </w:p>
    <w:p w14:paraId="13C9FB0D" w14:textId="77777777" w:rsidR="002E5BC2" w:rsidRPr="005F2AA9" w:rsidRDefault="002E5BC2" w:rsidP="002E5BC2">
      <w:pPr>
        <w:jc w:val="center"/>
        <w:rPr>
          <w:b/>
        </w:rPr>
      </w:pPr>
      <w:r>
        <w:rPr>
          <w:b/>
          <w:highlight w:val="lightGray"/>
        </w:rPr>
        <w:t xml:space="preserve"> </w:t>
      </w:r>
      <w:r w:rsidRPr="00547863">
        <w:rPr>
          <w:b/>
          <w:highlight w:val="lightGray"/>
        </w:rPr>
        <w:t xml:space="preserve">Organisme </w:t>
      </w:r>
      <w:r>
        <w:rPr>
          <w:b/>
          <w:highlight w:val="lightGray"/>
        </w:rPr>
        <w:t>assujetti</w:t>
      </w:r>
      <w:r>
        <w:rPr>
          <w:b/>
        </w:rPr>
        <w:t xml:space="preserve"> </w:t>
      </w:r>
      <w:r w:rsidRPr="005F2AA9">
        <w:rPr>
          <w:b/>
        </w:rPr>
        <w:t> </w:t>
      </w:r>
    </w:p>
    <w:p w14:paraId="46B0D666" w14:textId="77777777" w:rsidR="002E5BC2" w:rsidRDefault="002E5BC2" w:rsidP="002E5BC2">
      <w:r>
        <w:t xml:space="preserve">Raison sociale/Dénomination 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Numéro SIREN :</w:t>
      </w:r>
      <w:r>
        <w:tab/>
      </w:r>
    </w:p>
    <w:p w14:paraId="091DD522" w14:textId="77777777" w:rsidR="002E5BC2" w:rsidRDefault="002E5BC2" w:rsidP="002E5BC2">
      <w:r>
        <w:t xml:space="preserve">Personne responsable de la notification : </w:t>
      </w:r>
    </w:p>
    <w:p w14:paraId="5886372B" w14:textId="77777777" w:rsidR="002E5BC2" w:rsidRDefault="002E5BC2" w:rsidP="002E5BC2">
      <w:pPr>
        <w:tabs>
          <w:tab w:val="left" w:pos="5670"/>
        </w:tabs>
        <w:ind w:firstLine="708"/>
      </w:pPr>
      <w:r>
        <w:t>Civilité :                        Nom :</w:t>
      </w:r>
      <w:r>
        <w:tab/>
        <w:t xml:space="preserve">                                 Prénom :</w:t>
      </w:r>
    </w:p>
    <w:p w14:paraId="2FFF40D8" w14:textId="77777777" w:rsidR="002E5BC2" w:rsidRDefault="002E5BC2" w:rsidP="002E5BC2">
      <w:pPr>
        <w:tabs>
          <w:tab w:val="left" w:pos="5670"/>
        </w:tabs>
        <w:ind w:firstLine="708"/>
      </w:pPr>
      <w:r>
        <w:t>Titre / Fonction :</w:t>
      </w:r>
    </w:p>
    <w:p w14:paraId="6E67583C" w14:textId="77777777" w:rsidR="002E5BC2" w:rsidRDefault="002E5BC2" w:rsidP="002E5BC2">
      <w:pPr>
        <w:tabs>
          <w:tab w:val="left" w:pos="5670"/>
        </w:tabs>
        <w:ind w:firstLine="708"/>
      </w:pPr>
      <w:r>
        <w:t>Téléphone :</w:t>
      </w:r>
      <w:r>
        <w:tab/>
        <w:t>Courriel :</w:t>
      </w:r>
    </w:p>
    <w:p w14:paraId="0DB0F7BA" w14:textId="77777777" w:rsidR="002E5BC2" w:rsidRDefault="002E5BC2" w:rsidP="002E5BC2">
      <w:pPr>
        <w:jc w:val="center"/>
        <w:rPr>
          <w:b/>
          <w:highlight w:val="lightGray"/>
        </w:rPr>
      </w:pPr>
    </w:p>
    <w:p w14:paraId="591C4CD9" w14:textId="77777777" w:rsidR="002E5BC2" w:rsidRPr="005F2AA9" w:rsidRDefault="002E5BC2" w:rsidP="002E5BC2">
      <w:pPr>
        <w:jc w:val="center"/>
        <w:rPr>
          <w:b/>
        </w:rPr>
      </w:pPr>
      <w:r>
        <w:rPr>
          <w:b/>
          <w:highlight w:val="lightGray"/>
        </w:rPr>
        <w:t xml:space="preserve"> </w:t>
      </w:r>
      <w:r w:rsidRPr="00547863">
        <w:rPr>
          <w:b/>
          <w:highlight w:val="lightGray"/>
        </w:rPr>
        <w:t xml:space="preserve">Information sur l’accord </w:t>
      </w:r>
      <w:r>
        <w:rPr>
          <w:b/>
          <w:highlight w:val="lightGray"/>
        </w:rPr>
        <w:t>d’</w:t>
      </w:r>
      <w:r w:rsidRPr="00547863">
        <w:rPr>
          <w:b/>
          <w:highlight w:val="lightGray"/>
        </w:rPr>
        <w:t>externalisation</w:t>
      </w:r>
      <w:r>
        <w:rPr>
          <w:b/>
        </w:rPr>
        <w:t xml:space="preserve"> </w:t>
      </w:r>
      <w:r w:rsidRPr="005F2AA9">
        <w:rPr>
          <w:b/>
        </w:rPr>
        <w:t> </w:t>
      </w:r>
    </w:p>
    <w:p w14:paraId="2DBCF61A" w14:textId="2CFB2DA7" w:rsidR="002E5BC2" w:rsidRPr="001B570F" w:rsidRDefault="002E5BC2" w:rsidP="002E5BC2">
      <w:pPr>
        <w:spacing w:before="60"/>
        <w:ind w:right="690"/>
        <w:rPr>
          <w:rFonts w:cstheme="minorHAnsi"/>
        </w:rPr>
      </w:pPr>
      <w:r>
        <w:t>Type d’externalisation</w:t>
      </w:r>
      <w:r>
        <w:rPr>
          <w:rFonts w:cstheme="minorHAnsi"/>
        </w:rPr>
        <w:t xml:space="preserve"> </w:t>
      </w:r>
      <w:r>
        <w:t xml:space="preserve">:    </w:t>
      </w:r>
    </w:p>
    <w:p w14:paraId="453A120C" w14:textId="77777777" w:rsidR="002E5BC2" w:rsidRDefault="002E5BC2" w:rsidP="002E5BC2">
      <w:pPr>
        <w:numPr>
          <w:ilvl w:val="0"/>
          <w:numId w:val="39"/>
        </w:numPr>
        <w:tabs>
          <w:tab w:val="left" w:pos="5670"/>
        </w:tabs>
        <w:spacing w:before="60"/>
        <w:ind w:right="690"/>
      </w:pPr>
      <w:r>
        <w:t>Fonction clé</w:t>
      </w:r>
    </w:p>
    <w:p w14:paraId="5FD31E97" w14:textId="77777777" w:rsidR="002E5BC2" w:rsidRDefault="002E5BC2" w:rsidP="002E5BC2">
      <w:pPr>
        <w:numPr>
          <w:ilvl w:val="1"/>
          <w:numId w:val="39"/>
        </w:numPr>
        <w:tabs>
          <w:tab w:val="left" w:pos="5670"/>
        </w:tabs>
        <w:spacing w:before="60"/>
        <w:ind w:right="690"/>
      </w:pPr>
      <w:r>
        <w:t>Externalisation intragroupe</w:t>
      </w:r>
    </w:p>
    <w:p w14:paraId="41496497" w14:textId="77777777" w:rsidR="002E5BC2" w:rsidRPr="00AD218C" w:rsidRDefault="002E5BC2" w:rsidP="002E5BC2">
      <w:pPr>
        <w:numPr>
          <w:ilvl w:val="0"/>
          <w:numId w:val="39"/>
        </w:numPr>
        <w:spacing w:before="60"/>
        <w:ind w:right="690"/>
        <w:rPr>
          <w:rFonts w:cstheme="minorHAnsi"/>
          <w:color w:val="FF0000"/>
        </w:rPr>
      </w:pPr>
      <w:r w:rsidRPr="00AD218C">
        <w:rPr>
          <w:rFonts w:cstheme="minorHAnsi"/>
          <w:color w:val="FF0000"/>
        </w:rPr>
        <w:t>Externalisation vers un prestataire de services en nuage</w:t>
      </w:r>
    </w:p>
    <w:p w14:paraId="37A4D79D" w14:textId="77777777" w:rsidR="002E5BC2" w:rsidRPr="00AD218C" w:rsidRDefault="002E5BC2" w:rsidP="002E5BC2">
      <w:pPr>
        <w:numPr>
          <w:ilvl w:val="1"/>
          <w:numId w:val="39"/>
        </w:numPr>
        <w:tabs>
          <w:tab w:val="left" w:pos="5670"/>
        </w:tabs>
        <w:spacing w:before="60"/>
        <w:ind w:right="690"/>
        <w:rPr>
          <w:color w:val="FF0000"/>
        </w:rPr>
      </w:pPr>
      <w:r w:rsidRPr="00AD218C">
        <w:rPr>
          <w:color w:val="FF0000"/>
        </w:rPr>
        <w:t>Externalisation intragroupe</w:t>
      </w:r>
    </w:p>
    <w:p w14:paraId="49F064F2" w14:textId="77777777" w:rsidR="002E5BC2" w:rsidRPr="001B570F" w:rsidRDefault="002E5BC2" w:rsidP="002E5BC2">
      <w:pPr>
        <w:numPr>
          <w:ilvl w:val="0"/>
          <w:numId w:val="39"/>
        </w:numPr>
        <w:spacing w:before="60"/>
        <w:ind w:right="690"/>
        <w:rPr>
          <w:rFonts w:cstheme="minorHAnsi"/>
        </w:rPr>
      </w:pPr>
      <w:r>
        <w:t>Autre activité critique ou importante</w:t>
      </w:r>
    </w:p>
    <w:p w14:paraId="265D799F" w14:textId="77777777" w:rsidR="002E5BC2" w:rsidRPr="00B85964" w:rsidRDefault="002E5BC2" w:rsidP="002E5BC2">
      <w:pPr>
        <w:spacing w:before="60"/>
        <w:ind w:left="720" w:right="690"/>
        <w:rPr>
          <w:rFonts w:cstheme="minorHAnsi"/>
        </w:rPr>
      </w:pPr>
      <w:r>
        <w:t>Précisions complémentaires :</w:t>
      </w:r>
    </w:p>
    <w:p w14:paraId="6B0F9D34" w14:textId="77777777" w:rsidR="002E5BC2" w:rsidRDefault="002E5BC2" w:rsidP="002E5BC2">
      <w:pPr>
        <w:numPr>
          <w:ilvl w:val="1"/>
          <w:numId w:val="39"/>
        </w:numPr>
        <w:tabs>
          <w:tab w:val="left" w:pos="5670"/>
        </w:tabs>
        <w:spacing w:before="60"/>
        <w:ind w:right="690"/>
      </w:pPr>
      <w:r>
        <w:t>Externalisation intragroupe</w:t>
      </w:r>
    </w:p>
    <w:p w14:paraId="510EC8EE" w14:textId="77777777" w:rsidR="002E5BC2" w:rsidRDefault="002E5BC2" w:rsidP="002E5BC2">
      <w:pPr>
        <w:spacing w:before="60"/>
        <w:ind w:right="690"/>
        <w:rPr>
          <w:rFonts w:cstheme="minorHAnsi"/>
        </w:rPr>
      </w:pPr>
    </w:p>
    <w:p w14:paraId="3F3F21CF" w14:textId="77777777" w:rsidR="002E5BC2" w:rsidRDefault="002E5BC2" w:rsidP="002E5BC2">
      <w:pPr>
        <w:numPr>
          <w:ilvl w:val="0"/>
          <w:numId w:val="39"/>
        </w:numPr>
        <w:tabs>
          <w:tab w:val="left" w:pos="5670"/>
        </w:tabs>
        <w:spacing w:before="60"/>
        <w:ind w:right="690"/>
      </w:pPr>
      <w:r>
        <w:t>Notification dans le cadre d’une évolution importante de l’externalisation ?</w:t>
      </w:r>
    </w:p>
    <w:p w14:paraId="7400E9BF" w14:textId="1CB2E950" w:rsidR="002E5BC2" w:rsidRDefault="002E5BC2" w:rsidP="002E5BC2">
      <w:pPr>
        <w:numPr>
          <w:ilvl w:val="1"/>
          <w:numId w:val="39"/>
        </w:numPr>
        <w:tabs>
          <w:tab w:val="left" w:pos="5670"/>
        </w:tabs>
        <w:spacing w:before="60"/>
        <w:ind w:right="690"/>
      </w:pPr>
      <w:r>
        <w:t xml:space="preserve">Si case cochée, date de la première notification : ……… </w:t>
      </w:r>
    </w:p>
    <w:p w14:paraId="621445A3" w14:textId="77777777" w:rsidR="002E5BC2" w:rsidRDefault="002E5BC2" w:rsidP="002E5BC2">
      <w:pPr>
        <w:spacing w:before="60"/>
        <w:ind w:right="690"/>
        <w:rPr>
          <w:rFonts w:cstheme="minorHAnsi"/>
        </w:rPr>
      </w:pPr>
    </w:p>
    <w:p w14:paraId="3EC064CB" w14:textId="77777777" w:rsidR="002E5BC2" w:rsidRPr="000E1535" w:rsidRDefault="002E5BC2" w:rsidP="002E5BC2">
      <w:pPr>
        <w:spacing w:before="60"/>
        <w:ind w:right="690"/>
        <w:rPr>
          <w:rFonts w:cstheme="minorHAnsi"/>
        </w:rPr>
      </w:pPr>
      <w:r>
        <w:rPr>
          <w:rFonts w:cstheme="minorHAnsi"/>
        </w:rPr>
        <w:t>Description de l’activité externalisée et de son caractère critique ou important :</w:t>
      </w:r>
    </w:p>
    <w:p w14:paraId="75E78CC5" w14:textId="77777777" w:rsidR="002E5BC2" w:rsidRPr="00EB63C2" w:rsidRDefault="002E5BC2" w:rsidP="002E5BC2">
      <w:pPr>
        <w:spacing w:before="60"/>
        <w:ind w:right="690"/>
        <w:rPr>
          <w:rFonts w:cstheme="minorHAnsi"/>
        </w:rPr>
      </w:pPr>
    </w:p>
    <w:p w14:paraId="4F105747" w14:textId="77777777" w:rsidR="002E5BC2" w:rsidRDefault="002E5BC2" w:rsidP="002E5BC2">
      <w:r>
        <w:t>Raison de l’externalisation (en regard de la stratégie de l’organisme notamment) :</w:t>
      </w:r>
    </w:p>
    <w:p w14:paraId="40F1266B" w14:textId="77777777" w:rsidR="002E5BC2" w:rsidRDefault="002E5BC2" w:rsidP="002E5BC2">
      <w:pPr>
        <w:tabs>
          <w:tab w:val="left" w:pos="6096"/>
        </w:tabs>
      </w:pPr>
    </w:p>
    <w:p w14:paraId="7E5BB8B9" w14:textId="77777777" w:rsidR="002E5BC2" w:rsidRDefault="002E5BC2" w:rsidP="002E5BC2">
      <w:pPr>
        <w:tabs>
          <w:tab w:val="left" w:pos="6096"/>
        </w:tabs>
      </w:pPr>
      <w:r>
        <w:t>Date de validation de la décision en interne dans l’organisme :</w:t>
      </w:r>
    </w:p>
    <w:p w14:paraId="1FCA99F4" w14:textId="77777777" w:rsidR="002E5BC2" w:rsidRDefault="002E5BC2" w:rsidP="002E5BC2">
      <w:pPr>
        <w:tabs>
          <w:tab w:val="left" w:pos="6096"/>
        </w:tabs>
      </w:pPr>
      <w:r>
        <w:t>Instance décisionnelle :</w:t>
      </w:r>
    </w:p>
    <w:p w14:paraId="3A80EC26" w14:textId="77777777" w:rsidR="002E5BC2" w:rsidRDefault="002E5BC2" w:rsidP="002E5BC2">
      <w:pPr>
        <w:tabs>
          <w:tab w:val="left" w:pos="6096"/>
        </w:tabs>
      </w:pPr>
      <w:r>
        <w:t>Date de mise en œuvre :</w:t>
      </w:r>
    </w:p>
    <w:p w14:paraId="7EF044B8" w14:textId="77777777" w:rsidR="002E5BC2" w:rsidRPr="00AD218C" w:rsidRDefault="002E5BC2" w:rsidP="002E5BC2">
      <w:pPr>
        <w:tabs>
          <w:tab w:val="left" w:pos="6096"/>
        </w:tabs>
        <w:rPr>
          <w:color w:val="FF0000"/>
        </w:rPr>
      </w:pPr>
      <w:r w:rsidRPr="00AD218C">
        <w:rPr>
          <w:color w:val="FF0000"/>
        </w:rPr>
        <w:t>La législation applicable à l’accord de sous-traitance :</w:t>
      </w:r>
    </w:p>
    <w:p w14:paraId="62893BA8" w14:textId="77777777" w:rsidR="002E5BC2" w:rsidRDefault="002E5BC2" w:rsidP="002E5BC2">
      <w:pPr>
        <w:tabs>
          <w:tab w:val="left" w:pos="6096"/>
        </w:tabs>
      </w:pPr>
      <w:r>
        <w:t>L</w:t>
      </w:r>
      <w:r w:rsidRPr="0080207E">
        <w:t>e siège social et autres coordonnées pertinentes</w:t>
      </w:r>
      <w:r>
        <w:t xml:space="preserve"> du prestataire</w:t>
      </w:r>
      <w:r w:rsidRPr="0080207E">
        <w:t xml:space="preserve">, </w:t>
      </w:r>
      <w:r w:rsidRPr="00AD218C">
        <w:rPr>
          <w:color w:val="FF0000"/>
        </w:rPr>
        <w:t xml:space="preserve">le pays où les sous-traitants sont enregistrés, où le service sera exécuté et, le cas échéant, où les données sont stockées, ainsi que le nom de son entreprise mère (le cas échéant) </w:t>
      </w:r>
      <w:r>
        <w:tab/>
      </w:r>
    </w:p>
    <w:p w14:paraId="45C27CC3" w14:textId="77777777" w:rsidR="002E5BC2" w:rsidRDefault="002E5BC2" w:rsidP="002E5BC2">
      <w:pPr>
        <w:tabs>
          <w:tab w:val="left" w:pos="6096"/>
        </w:tabs>
      </w:pPr>
      <w:r>
        <w:t>Dernière date d’approbation de la p</w:t>
      </w:r>
      <w:r w:rsidRPr="00B07E0F">
        <w:t>olitique écrite relative à l’externalisation</w:t>
      </w:r>
      <w:r>
        <w:t xml:space="preserve"> : </w:t>
      </w:r>
    </w:p>
    <w:p w14:paraId="513931C9" w14:textId="77777777" w:rsidR="002E5BC2" w:rsidRDefault="002E5BC2" w:rsidP="002E5BC2">
      <w:pPr>
        <w:tabs>
          <w:tab w:val="left" w:pos="6096"/>
        </w:tabs>
      </w:pPr>
    </w:p>
    <w:p w14:paraId="1A37C9E8" w14:textId="77777777" w:rsidR="002E5BC2" w:rsidRPr="00AD218C" w:rsidRDefault="002E5BC2" w:rsidP="002E5BC2">
      <w:pPr>
        <w:tabs>
          <w:tab w:val="left" w:pos="6096"/>
        </w:tabs>
        <w:rPr>
          <w:color w:val="FF0000"/>
        </w:rPr>
      </w:pPr>
      <w:r w:rsidRPr="00AD218C">
        <w:rPr>
          <w:color w:val="FF0000"/>
        </w:rPr>
        <w:t>Prochaine date de renouvellement du contrat, la date de fin et/ou les délais de préavis pour le prestataire de services en nuage et pour l’entreprise :</w:t>
      </w:r>
    </w:p>
    <w:p w14:paraId="6949939C" w14:textId="77777777" w:rsidR="002E5BC2" w:rsidRDefault="002E5BC2" w:rsidP="002E5BC2">
      <w:pPr>
        <w:tabs>
          <w:tab w:val="left" w:pos="6096"/>
        </w:tabs>
      </w:pPr>
    </w:p>
    <w:p w14:paraId="46B0A8B4" w14:textId="77777777" w:rsidR="002E5BC2" w:rsidRDefault="002E5BC2" w:rsidP="002E5BC2">
      <w:r w:rsidRPr="00B501D7">
        <w:rPr>
          <w:u w:val="single"/>
        </w:rPr>
        <w:lastRenderedPageBreak/>
        <w:t xml:space="preserve">Remarque : </w:t>
      </w:r>
      <w:r w:rsidRPr="00DA3EE6">
        <w:rPr>
          <w:i/>
          <w:u w:val="single"/>
        </w:rPr>
        <w:t xml:space="preserve">pour les sections suivantes, </w:t>
      </w:r>
      <w:r w:rsidRPr="00B501D7">
        <w:rPr>
          <w:i/>
          <w:u w:val="single"/>
        </w:rPr>
        <w:t xml:space="preserve">en </w:t>
      </w:r>
      <w:r w:rsidRPr="00B501D7">
        <w:rPr>
          <w:i/>
          <w:iCs/>
          <w:u w:val="single"/>
        </w:rPr>
        <w:t>cas d’externalisation intra-groupe dans une structure dédiée au groupe et contrôlée par les entités y faisant appel, l</w:t>
      </w:r>
      <w:r>
        <w:rPr>
          <w:i/>
          <w:iCs/>
          <w:u w:val="single"/>
        </w:rPr>
        <w:t>es informations relatives à l</w:t>
      </w:r>
      <w:r w:rsidRPr="00B501D7">
        <w:rPr>
          <w:i/>
          <w:iCs/>
          <w:u w:val="single"/>
        </w:rPr>
        <w:t>’évaluation et la documentation peuvent être adaptées</w:t>
      </w:r>
      <w:r>
        <w:rPr>
          <w:i/>
          <w:iCs/>
          <w:u w:val="single"/>
        </w:rPr>
        <w:t xml:space="preserve"> après consultation de la brigade de contrôle en amont de la notification.</w:t>
      </w:r>
    </w:p>
    <w:p w14:paraId="0244E3DA" w14:textId="77777777" w:rsidR="002E5BC2" w:rsidRDefault="002E5BC2" w:rsidP="002E5BC2">
      <w:pPr>
        <w:jc w:val="center"/>
        <w:rPr>
          <w:b/>
          <w:highlight w:val="lightGray"/>
        </w:rPr>
      </w:pPr>
    </w:p>
    <w:p w14:paraId="27E5C93C" w14:textId="77777777" w:rsidR="002E5BC2" w:rsidRPr="005F2AA9" w:rsidRDefault="002E5BC2" w:rsidP="002E5BC2">
      <w:pPr>
        <w:jc w:val="center"/>
        <w:rPr>
          <w:b/>
        </w:rPr>
      </w:pPr>
      <w:r>
        <w:rPr>
          <w:b/>
          <w:highlight w:val="lightGray"/>
        </w:rPr>
        <w:t xml:space="preserve"> P</w:t>
      </w:r>
      <w:r w:rsidRPr="00547863">
        <w:rPr>
          <w:b/>
          <w:highlight w:val="lightGray"/>
        </w:rPr>
        <w:t>restataire de l’externalisation</w:t>
      </w:r>
    </w:p>
    <w:p w14:paraId="3565CEA1" w14:textId="77777777" w:rsidR="002E5BC2" w:rsidRPr="00260184" w:rsidRDefault="002E5BC2" w:rsidP="002E5BC2">
      <w:pPr>
        <w:rPr>
          <w:i/>
          <w:sz w:val="20"/>
          <w:u w:val="single"/>
        </w:rPr>
      </w:pPr>
    </w:p>
    <w:p w14:paraId="1DB4BA13" w14:textId="77777777" w:rsidR="002E5BC2" w:rsidRDefault="002E5BC2" w:rsidP="002E5BC2">
      <w:pPr>
        <w:tabs>
          <w:tab w:val="left" w:pos="7371"/>
        </w:tabs>
      </w:pPr>
      <w:r>
        <w:t xml:space="preserve">Raison Sociale :  </w:t>
      </w:r>
      <w:r>
        <w:tab/>
        <w:t>SIREN :</w:t>
      </w:r>
    </w:p>
    <w:p w14:paraId="39533E99" w14:textId="77777777" w:rsidR="002E5BC2" w:rsidRDefault="002E5BC2" w:rsidP="002E5BC2">
      <w:r>
        <w:t xml:space="preserve">Pays du siège social : </w:t>
      </w:r>
    </w:p>
    <w:p w14:paraId="4995494D" w14:textId="77777777" w:rsidR="002E5BC2" w:rsidRDefault="002E5BC2" w:rsidP="002E5BC2">
      <w:r>
        <w:t>Adresse :</w:t>
      </w:r>
    </w:p>
    <w:p w14:paraId="7F29E104" w14:textId="77777777" w:rsidR="002E5BC2" w:rsidRPr="00AD218C" w:rsidRDefault="002E5BC2" w:rsidP="002E5BC2">
      <w:pPr>
        <w:rPr>
          <w:color w:val="FF0000"/>
        </w:rPr>
      </w:pPr>
      <w:r w:rsidRPr="00AD218C">
        <w:rPr>
          <w:color w:val="FF0000"/>
        </w:rPr>
        <w:t>Nom de l’entreprise-mère (le cas échéant) :</w:t>
      </w:r>
    </w:p>
    <w:p w14:paraId="04AA52B0" w14:textId="77777777" w:rsidR="002E5BC2" w:rsidRDefault="002E5BC2" w:rsidP="002E5BC2">
      <w:r>
        <w:t>Secteur d’activité :</w:t>
      </w:r>
    </w:p>
    <w:p w14:paraId="1532E3B6" w14:textId="77777777" w:rsidR="002E5BC2" w:rsidRDefault="002E5BC2" w:rsidP="002E5BC2">
      <w:r>
        <w:t xml:space="preserve">Dans le cas d’une externalisation d’une fonction clé, information de la personne responsable au sein du prestataire : </w:t>
      </w:r>
    </w:p>
    <w:p w14:paraId="5C567251" w14:textId="77777777" w:rsidR="002E5BC2" w:rsidRDefault="002E5BC2" w:rsidP="002E5BC2">
      <w:pPr>
        <w:tabs>
          <w:tab w:val="left" w:pos="5670"/>
        </w:tabs>
        <w:ind w:firstLine="708"/>
      </w:pPr>
      <w:r>
        <w:t>Civilité :                        Nom :</w:t>
      </w:r>
      <w:r>
        <w:tab/>
        <w:t xml:space="preserve">                                 Prénom :</w:t>
      </w:r>
    </w:p>
    <w:p w14:paraId="7B6C65EA" w14:textId="77777777" w:rsidR="002E5BC2" w:rsidRDefault="002E5BC2" w:rsidP="002E5BC2">
      <w:pPr>
        <w:tabs>
          <w:tab w:val="left" w:pos="5670"/>
        </w:tabs>
        <w:ind w:firstLine="708"/>
      </w:pPr>
      <w:r>
        <w:t>Titre / Fonction :</w:t>
      </w:r>
    </w:p>
    <w:p w14:paraId="088EAFB5" w14:textId="77777777" w:rsidR="002E5BC2" w:rsidRDefault="002E5BC2" w:rsidP="002E5BC2">
      <w:pPr>
        <w:tabs>
          <w:tab w:val="left" w:pos="5670"/>
        </w:tabs>
        <w:ind w:firstLine="708"/>
      </w:pPr>
      <w:r>
        <w:t>Téléphone :</w:t>
      </w:r>
      <w:r>
        <w:tab/>
        <w:t>Courriel :</w:t>
      </w:r>
    </w:p>
    <w:p w14:paraId="64F7633B" w14:textId="77777777" w:rsidR="002E5BC2" w:rsidRDefault="002E5BC2" w:rsidP="002E5BC2">
      <w:pPr>
        <w:ind w:firstLine="708"/>
      </w:pPr>
      <w:r w:rsidRPr="00260184">
        <w:t xml:space="preserve">- </w:t>
      </w:r>
      <w:r>
        <w:t>R</w:t>
      </w:r>
      <w:r w:rsidRPr="00260184">
        <w:t>ésultat de l’évaluation d’honorabilité et compétence </w:t>
      </w:r>
      <w:r>
        <w:t xml:space="preserve">par l’organisme d’assurance </w:t>
      </w:r>
      <w:r w:rsidRPr="00260184">
        <w:t>:</w:t>
      </w:r>
    </w:p>
    <w:p w14:paraId="01A6BC48" w14:textId="77777777" w:rsidR="002E5BC2" w:rsidRDefault="002E5BC2" w:rsidP="002E5BC2">
      <w:pPr>
        <w:ind w:firstLine="708"/>
      </w:pPr>
    </w:p>
    <w:p w14:paraId="7491D492" w14:textId="77777777" w:rsidR="002E5BC2" w:rsidRDefault="002E5BC2" w:rsidP="002E5BC2">
      <w:r>
        <w:tab/>
        <w:t>-</w:t>
      </w:r>
      <w:r w:rsidRPr="00260184">
        <w:t xml:space="preserve"> </w:t>
      </w:r>
      <w:r>
        <w:t>M</w:t>
      </w:r>
      <w:r w:rsidRPr="00260184">
        <w:t>odalités de suivi d’honorabilité et compétence</w:t>
      </w:r>
      <w:r>
        <w:t xml:space="preserve"> par l’organisme d’assurance</w:t>
      </w:r>
      <w:r w:rsidRPr="00260184">
        <w:t> :</w:t>
      </w:r>
    </w:p>
    <w:p w14:paraId="1994CAA5" w14:textId="77777777" w:rsidR="002E5BC2" w:rsidRPr="00260184" w:rsidRDefault="002E5BC2" w:rsidP="002E5BC2"/>
    <w:p w14:paraId="7C2EE6A4" w14:textId="77777777" w:rsidR="002E5BC2" w:rsidRDefault="002E5BC2" w:rsidP="002E5BC2">
      <w:r>
        <w:t>Possibilité pour le prestataire de recourir à un sous-traitant : OUI – NON</w:t>
      </w:r>
    </w:p>
    <w:p w14:paraId="2E532574" w14:textId="77777777" w:rsidR="002E5BC2" w:rsidRDefault="002E5BC2" w:rsidP="002E5BC2"/>
    <w:p w14:paraId="46D0A0FE" w14:textId="77777777" w:rsidR="002E5BC2" w:rsidRDefault="002E5BC2" w:rsidP="002E5BC2">
      <w:pPr>
        <w:jc w:val="center"/>
        <w:rPr>
          <w:b/>
          <w:highlight w:val="lightGray"/>
        </w:rPr>
      </w:pPr>
      <w:r>
        <w:rPr>
          <w:b/>
          <w:highlight w:val="lightGray"/>
        </w:rPr>
        <w:t>C</w:t>
      </w:r>
      <w:r w:rsidRPr="00A46B31">
        <w:rPr>
          <w:b/>
          <w:highlight w:val="lightGray"/>
        </w:rPr>
        <w:t>oopération du prestataire avec l’ACPR</w:t>
      </w:r>
      <w:r>
        <w:rPr>
          <w:b/>
          <w:highlight w:val="lightGray"/>
        </w:rPr>
        <w:t xml:space="preserve"> et droits d’accès</w:t>
      </w:r>
      <w:r w:rsidRPr="00A46B31">
        <w:rPr>
          <w:b/>
          <w:highlight w:val="lightGray"/>
        </w:rPr>
        <w:t> </w:t>
      </w:r>
    </w:p>
    <w:p w14:paraId="4CBCFF8C" w14:textId="77777777" w:rsidR="002E5BC2" w:rsidRPr="00A46B31" w:rsidRDefault="002E5BC2" w:rsidP="002E5BC2">
      <w:pPr>
        <w:jc w:val="center"/>
        <w:rPr>
          <w:b/>
          <w:highlight w:val="lightGray"/>
        </w:rPr>
      </w:pPr>
    </w:p>
    <w:p w14:paraId="09A47E72" w14:textId="77777777" w:rsidR="002E5BC2" w:rsidRDefault="002E5BC2" w:rsidP="002E5BC2">
      <w:pPr>
        <w:pStyle w:val="Paragraphedeliste"/>
        <w:numPr>
          <w:ilvl w:val="0"/>
          <w:numId w:val="44"/>
        </w:numPr>
        <w:spacing w:after="200" w:line="276" w:lineRule="auto"/>
      </w:pPr>
      <w:r>
        <w:t>Clause(s) contractuelle(s) sur la coopération du prestataire avec l’ACPR : OUI – NON et description le cas échéant</w:t>
      </w:r>
    </w:p>
    <w:p w14:paraId="06939410" w14:textId="77777777" w:rsidR="002E5BC2" w:rsidRDefault="002E5BC2" w:rsidP="002E5BC2">
      <w:pPr>
        <w:pStyle w:val="Paragraphedeliste"/>
      </w:pPr>
    </w:p>
    <w:p w14:paraId="182EC40C" w14:textId="56A60BB5" w:rsidR="002E5BC2" w:rsidRPr="002F04DB" w:rsidRDefault="002E5BC2" w:rsidP="002E5BC2">
      <w:pPr>
        <w:pStyle w:val="Paragraphedeliste"/>
        <w:numPr>
          <w:ilvl w:val="0"/>
          <w:numId w:val="44"/>
        </w:numPr>
        <w:spacing w:after="200" w:line="276" w:lineRule="auto"/>
      </w:pPr>
      <w:r>
        <w:t>Droits et modalités d</w:t>
      </w:r>
      <w:r w:rsidRPr="00165A2C">
        <w:t>’accès pour l’organisme</w:t>
      </w:r>
      <w:r>
        <w:t xml:space="preserve"> assujetti</w:t>
      </w:r>
      <w:r w:rsidRPr="00165A2C">
        <w:t xml:space="preserve">, son auditeur externe et l’ACPR aux informations relatives aux fonctions et activités </w:t>
      </w:r>
      <w:r>
        <w:t>externalisées : OUI – NON et description le cas échéant</w:t>
      </w:r>
    </w:p>
    <w:p w14:paraId="5523BF4C" w14:textId="77777777" w:rsidR="002E5BC2" w:rsidRDefault="002E5BC2" w:rsidP="002E5BC2">
      <w:pPr>
        <w:jc w:val="center"/>
      </w:pPr>
      <w:r w:rsidRPr="00A46B31">
        <w:rPr>
          <w:b/>
          <w:highlight w:val="lightGray"/>
        </w:rPr>
        <w:t xml:space="preserve">Description du dispositif du contrôle interne </w:t>
      </w:r>
      <w:r>
        <w:rPr>
          <w:b/>
          <w:highlight w:val="lightGray"/>
        </w:rPr>
        <w:t>destiné à encadrer l’externalisation</w:t>
      </w:r>
      <w:r w:rsidRPr="00A46B31">
        <w:rPr>
          <w:b/>
          <w:highlight w:val="lightGray"/>
        </w:rPr>
        <w:t xml:space="preserve"> </w:t>
      </w:r>
    </w:p>
    <w:p w14:paraId="576EB6A0" w14:textId="77777777" w:rsidR="002E5BC2" w:rsidRPr="00AD218C" w:rsidRDefault="002E5BC2" w:rsidP="002E5BC2">
      <w:pPr>
        <w:pStyle w:val="Paragraphedeliste"/>
        <w:rPr>
          <w:i/>
          <w:u w:val="single"/>
        </w:rPr>
      </w:pPr>
      <w:r w:rsidRPr="00260184">
        <w:rPr>
          <w:i/>
          <w:u w:val="single"/>
        </w:rPr>
        <w:t xml:space="preserve">Les descriptions ci-dessous </w:t>
      </w:r>
      <w:r w:rsidRPr="00AD218C">
        <w:rPr>
          <w:i/>
          <w:u w:val="single"/>
        </w:rPr>
        <w:t>peuvent faire l’objet d’une note séparée</w:t>
      </w:r>
    </w:p>
    <w:p w14:paraId="4D61072B" w14:textId="77777777" w:rsidR="002E5BC2" w:rsidRPr="00AD218C" w:rsidRDefault="002E5BC2" w:rsidP="002E5BC2">
      <w:pPr>
        <w:pStyle w:val="Paragraphedeliste"/>
      </w:pPr>
    </w:p>
    <w:p w14:paraId="6BB5F1DD" w14:textId="07A095AE" w:rsidR="002E5BC2" w:rsidRDefault="00AD218C" w:rsidP="00AD218C">
      <w:pPr>
        <w:pStyle w:val="Paragraphedeliste"/>
        <w:numPr>
          <w:ilvl w:val="0"/>
          <w:numId w:val="40"/>
        </w:numPr>
        <w:spacing w:after="200" w:line="276" w:lineRule="auto"/>
      </w:pPr>
      <w:r w:rsidRPr="00AD218C">
        <w:t>Résumé de l’évaluation des risques liés à l’externalisation et date d’évaluation la plus récente</w:t>
      </w:r>
    </w:p>
    <w:p w14:paraId="369AF207" w14:textId="77777777" w:rsidR="002F04DB" w:rsidRDefault="002F04DB" w:rsidP="002F04DB">
      <w:pPr>
        <w:pStyle w:val="Paragraphedeliste"/>
        <w:spacing w:after="200" w:line="276" w:lineRule="auto"/>
      </w:pPr>
    </w:p>
    <w:p w14:paraId="3E0C96CF" w14:textId="1C16173C" w:rsidR="002E5BC2" w:rsidRDefault="002E5BC2" w:rsidP="002E5BC2">
      <w:pPr>
        <w:pStyle w:val="Paragraphedeliste"/>
        <w:numPr>
          <w:ilvl w:val="0"/>
          <w:numId w:val="40"/>
        </w:numPr>
        <w:spacing w:after="200" w:line="276" w:lineRule="auto"/>
      </w:pPr>
      <w:r>
        <w:t>Gouvernance et dispositif de contrôle interne de l’activité externalisée :</w:t>
      </w:r>
    </w:p>
    <w:p w14:paraId="04024FDB" w14:textId="77777777" w:rsidR="002E5BC2" w:rsidRDefault="002E5BC2" w:rsidP="002E5BC2">
      <w:pPr>
        <w:pStyle w:val="Paragraphedeliste"/>
      </w:pPr>
    </w:p>
    <w:p w14:paraId="67BE3110" w14:textId="77777777" w:rsidR="002E5BC2" w:rsidRDefault="002E5BC2" w:rsidP="002E5BC2">
      <w:pPr>
        <w:pStyle w:val="Paragraphedeliste"/>
        <w:numPr>
          <w:ilvl w:val="0"/>
          <w:numId w:val="40"/>
        </w:numPr>
        <w:ind w:firstLine="0"/>
      </w:pPr>
      <w:r>
        <w:t>Résumé du plan de continuité de l’activité (PCA) relatif à l’externalisation :</w:t>
      </w:r>
    </w:p>
    <w:p w14:paraId="066D2EF9" w14:textId="77777777" w:rsidR="002E5BC2" w:rsidRDefault="002E5BC2" w:rsidP="002E5BC2">
      <w:pPr>
        <w:pStyle w:val="Paragraphedeliste"/>
      </w:pPr>
    </w:p>
    <w:p w14:paraId="25AFB91C" w14:textId="77777777" w:rsidR="002E5BC2" w:rsidRPr="008328BA" w:rsidRDefault="002E5BC2" w:rsidP="002E5BC2">
      <w:pPr>
        <w:pStyle w:val="Paragraphedeliste"/>
        <w:numPr>
          <w:ilvl w:val="0"/>
          <w:numId w:val="40"/>
        </w:numPr>
        <w:ind w:firstLine="0"/>
        <w:contextualSpacing w:val="0"/>
      </w:pPr>
      <w:r w:rsidRPr="008328BA">
        <w:t>Modalités de reporting du prestataire (format, fréquence</w:t>
      </w:r>
      <w:r>
        <w:t>,</w:t>
      </w:r>
      <w:r w:rsidRPr="008328BA">
        <w:t xml:space="preserve"> support</w:t>
      </w:r>
      <w:r>
        <w:t>, …</w:t>
      </w:r>
      <w:r w:rsidRPr="008328BA">
        <w:t>) :</w:t>
      </w:r>
    </w:p>
    <w:p w14:paraId="615D38EB" w14:textId="77777777" w:rsidR="002E5BC2" w:rsidRDefault="002E5BC2" w:rsidP="002E5BC2"/>
    <w:p w14:paraId="505D6FBA" w14:textId="77777777" w:rsidR="002E5BC2" w:rsidRDefault="002E5BC2" w:rsidP="002E5BC2">
      <w:pPr>
        <w:pStyle w:val="Paragraphedeliste"/>
        <w:numPr>
          <w:ilvl w:val="0"/>
          <w:numId w:val="40"/>
        </w:numPr>
        <w:ind w:firstLine="0"/>
      </w:pPr>
      <w:r w:rsidRPr="00AD218C">
        <w:rPr>
          <w:color w:val="FF0000"/>
        </w:rPr>
        <w:t xml:space="preserve">Dates des derniers audits </w:t>
      </w:r>
      <w:r>
        <w:t>et f</w:t>
      </w:r>
      <w:r w:rsidRPr="008328BA">
        <w:t>réquence prévue des audits :</w:t>
      </w:r>
    </w:p>
    <w:p w14:paraId="2B94230A" w14:textId="77777777" w:rsidR="002E5BC2" w:rsidRPr="008328BA" w:rsidRDefault="002E5BC2" w:rsidP="002E5BC2">
      <w:pPr>
        <w:pStyle w:val="Paragraphedeliste"/>
      </w:pPr>
    </w:p>
    <w:p w14:paraId="6D1102C2" w14:textId="77777777" w:rsidR="002E5BC2" w:rsidRDefault="002E5BC2" w:rsidP="002E5BC2">
      <w:pPr>
        <w:pStyle w:val="Paragraphedeliste"/>
        <w:numPr>
          <w:ilvl w:val="0"/>
          <w:numId w:val="40"/>
        </w:numPr>
        <w:ind w:firstLine="0"/>
      </w:pPr>
      <w:r w:rsidRPr="00260184">
        <w:t>Éléments démontrant que l’externalisation n’est pas susceptible de compromettre gravement la qualité du système de gouvernance :</w:t>
      </w:r>
    </w:p>
    <w:p w14:paraId="40A3BB4C" w14:textId="77777777" w:rsidR="002E5BC2" w:rsidRPr="001B570F" w:rsidRDefault="002E5BC2" w:rsidP="002E5BC2"/>
    <w:p w14:paraId="64551EF6" w14:textId="77777777" w:rsidR="002E5BC2" w:rsidRPr="00260184" w:rsidRDefault="002E5BC2" w:rsidP="002E5BC2">
      <w:pPr>
        <w:pStyle w:val="Paragraphedeliste"/>
        <w:numPr>
          <w:ilvl w:val="0"/>
          <w:numId w:val="41"/>
        </w:numPr>
        <w:ind w:firstLine="0"/>
        <w:rPr>
          <w:rFonts w:cstheme="minorHAnsi"/>
        </w:rPr>
      </w:pPr>
      <w:r w:rsidRPr="00B33AED">
        <w:rPr>
          <w:rFonts w:cstheme="minorHAnsi"/>
        </w:rPr>
        <w:t>Éléments démontrant que l’externalisation n’est pas susceptible d’accroître indûment le risque opérationnel</w:t>
      </w:r>
      <w:r>
        <w:rPr>
          <w:rFonts w:cstheme="minorHAnsi"/>
        </w:rPr>
        <w:t> :</w:t>
      </w:r>
    </w:p>
    <w:p w14:paraId="3091A0BB" w14:textId="77777777" w:rsidR="002E5BC2" w:rsidRPr="00260184" w:rsidRDefault="002E5BC2" w:rsidP="002E5BC2"/>
    <w:p w14:paraId="5DCFE5D9" w14:textId="77777777" w:rsidR="002E5BC2" w:rsidRDefault="002E5BC2" w:rsidP="002E5BC2">
      <w:pPr>
        <w:pStyle w:val="Paragraphedeliste"/>
        <w:numPr>
          <w:ilvl w:val="0"/>
          <w:numId w:val="42"/>
        </w:numPr>
        <w:ind w:firstLine="0"/>
        <w:rPr>
          <w:rFonts w:cstheme="minorHAnsi"/>
        </w:rPr>
      </w:pPr>
      <w:r w:rsidRPr="00260184">
        <w:rPr>
          <w:rFonts w:cstheme="minorHAnsi"/>
        </w:rPr>
        <w:lastRenderedPageBreak/>
        <w:t xml:space="preserve">Éléments démontrant que l’externalisation n’est pas susceptible de </w:t>
      </w:r>
      <w:r>
        <w:rPr>
          <w:rFonts w:cstheme="minorHAnsi"/>
        </w:rPr>
        <w:t>nuire à</w:t>
      </w:r>
      <w:r w:rsidRPr="00260184">
        <w:rPr>
          <w:rFonts w:cstheme="minorHAnsi"/>
        </w:rPr>
        <w:t xml:space="preserve"> la prestation continue d’un niveau de service satisfaisant à l’égard des assurés</w:t>
      </w:r>
      <w:r>
        <w:rPr>
          <w:rFonts w:cstheme="minorHAnsi"/>
        </w:rPr>
        <w:t>, souscripteurs et bénéficiaires de contrats et entreprises réassurées :</w:t>
      </w:r>
    </w:p>
    <w:p w14:paraId="0BB18D5A" w14:textId="77777777" w:rsidR="002E5BC2" w:rsidRDefault="002E5BC2" w:rsidP="002E5BC2">
      <w:pPr>
        <w:pStyle w:val="Paragraphedeliste"/>
        <w:rPr>
          <w:rFonts w:cstheme="minorHAnsi"/>
        </w:rPr>
      </w:pPr>
    </w:p>
    <w:p w14:paraId="4E1D844F" w14:textId="77777777" w:rsidR="002E5BC2" w:rsidRPr="00B33AED" w:rsidRDefault="002E5BC2" w:rsidP="002E5BC2">
      <w:pPr>
        <w:pStyle w:val="Paragraphedeliste"/>
        <w:rPr>
          <w:rFonts w:cstheme="minorHAnsi"/>
        </w:rPr>
      </w:pPr>
    </w:p>
    <w:p w14:paraId="5D69B3AC" w14:textId="77777777" w:rsidR="002E5BC2" w:rsidRPr="00AD218C" w:rsidRDefault="002E5BC2" w:rsidP="002E5BC2">
      <w:pPr>
        <w:rPr>
          <w:color w:val="FF0000"/>
        </w:rPr>
      </w:pPr>
    </w:p>
    <w:p w14:paraId="3B1EB9AE" w14:textId="77777777" w:rsidR="002E5BC2" w:rsidRPr="00AD218C" w:rsidRDefault="002E5BC2" w:rsidP="002E5BC2">
      <w:pPr>
        <w:jc w:val="center"/>
        <w:rPr>
          <w:color w:val="FF0000"/>
        </w:rPr>
      </w:pPr>
      <w:r w:rsidRPr="00AD218C">
        <w:rPr>
          <w:b/>
          <w:color w:val="FF0000"/>
        </w:rPr>
        <w:t xml:space="preserve">Précisions spécifiques aux externalisations vers des prestataires de services en nuage </w:t>
      </w:r>
      <w:r w:rsidRPr="00AD218C">
        <w:rPr>
          <w:color w:val="FF0000"/>
        </w:rPr>
        <w:br/>
      </w:r>
    </w:p>
    <w:p w14:paraId="24C62D24" w14:textId="77777777" w:rsidR="002E5BC2" w:rsidRPr="00AD218C" w:rsidRDefault="002E5BC2" w:rsidP="002E5BC2">
      <w:pPr>
        <w:rPr>
          <w:rFonts w:ascii="Times New Roman" w:hAnsi="Times New Roman"/>
          <w:color w:val="FF0000"/>
          <w:szCs w:val="24"/>
        </w:rPr>
      </w:pPr>
      <w:r w:rsidRPr="00AD218C">
        <w:rPr>
          <w:rFonts w:ascii="Times New Roman" w:hAnsi="Times New Roman"/>
          <w:color w:val="FF0000"/>
          <w:szCs w:val="24"/>
        </w:rPr>
        <w:t xml:space="preserve">Modèles de services et de déploiement en nuage (c.-à-d. en nuage public/privé/hybride/communautaire) : </w:t>
      </w:r>
    </w:p>
    <w:p w14:paraId="61BE8B41" w14:textId="77777777" w:rsidR="002E5BC2" w:rsidRPr="00AD218C" w:rsidRDefault="002E5BC2" w:rsidP="002E5BC2">
      <w:pPr>
        <w:rPr>
          <w:rFonts w:ascii="Times New Roman" w:hAnsi="Times New Roman"/>
          <w:color w:val="FF0000"/>
          <w:szCs w:val="24"/>
        </w:rPr>
      </w:pPr>
    </w:p>
    <w:p w14:paraId="65F119E6" w14:textId="77777777" w:rsidR="002E5BC2" w:rsidRPr="00AD218C" w:rsidRDefault="002E5BC2" w:rsidP="002E5BC2">
      <w:pPr>
        <w:rPr>
          <w:rFonts w:ascii="Times New Roman" w:hAnsi="Times New Roman"/>
          <w:color w:val="FF0000"/>
          <w:szCs w:val="24"/>
        </w:rPr>
      </w:pPr>
      <w:r w:rsidRPr="00AD218C">
        <w:rPr>
          <w:rFonts w:ascii="Times New Roman" w:hAnsi="Times New Roman"/>
          <w:color w:val="FF0000"/>
          <w:szCs w:val="24"/>
        </w:rPr>
        <w:t>Nature spécifique des données conservées et les lieux (c.-à-d. les pays ou régions) où ces données seront stockées :</w:t>
      </w:r>
    </w:p>
    <w:p w14:paraId="6D7B6BDC" w14:textId="77777777" w:rsidR="002E5BC2" w:rsidRPr="00AD218C" w:rsidRDefault="002E5BC2" w:rsidP="002E5BC2">
      <w:pPr>
        <w:rPr>
          <w:color w:val="FF0000"/>
        </w:rPr>
      </w:pPr>
    </w:p>
    <w:p w14:paraId="32E5D8EC" w14:textId="77777777" w:rsidR="002E5BC2" w:rsidRPr="00AD218C" w:rsidRDefault="002E5BC2" w:rsidP="002E5BC2">
      <w:pPr>
        <w:spacing w:after="143" w:line="247" w:lineRule="auto"/>
        <w:ind w:right="61"/>
        <w:rPr>
          <w:rFonts w:ascii="Times New Roman" w:hAnsi="Times New Roman"/>
          <w:color w:val="FF0000"/>
          <w:szCs w:val="24"/>
        </w:rPr>
      </w:pPr>
      <w:r w:rsidRPr="00AD218C">
        <w:rPr>
          <w:rFonts w:ascii="Times New Roman" w:hAnsi="Times New Roman"/>
          <w:color w:val="FF0000"/>
          <w:szCs w:val="24"/>
        </w:rPr>
        <w:t>Résultats des évaluations de la substituabilité (par exemple, facile, difficile ou impossible) du prestataire de services en nuage :</w:t>
      </w:r>
    </w:p>
    <w:p w14:paraId="36BFB545" w14:textId="77777777" w:rsidR="002E5BC2" w:rsidRPr="00AD218C" w:rsidRDefault="002E5BC2" w:rsidP="002E5BC2">
      <w:pPr>
        <w:spacing w:after="143" w:line="247" w:lineRule="auto"/>
        <w:ind w:right="61"/>
        <w:rPr>
          <w:rFonts w:ascii="Times New Roman" w:hAnsi="Times New Roman"/>
          <w:color w:val="FF0000"/>
          <w:szCs w:val="24"/>
        </w:rPr>
      </w:pPr>
      <w:r w:rsidRPr="00AD218C">
        <w:rPr>
          <w:rFonts w:ascii="Times New Roman" w:hAnsi="Times New Roman"/>
          <w:color w:val="FF0000"/>
          <w:szCs w:val="24"/>
        </w:rPr>
        <w:t xml:space="preserve">Si l’activité ou fonction opérationnelle importante ou critique sous-traitée soutient ou non des activités économiques soumises à des exigences horaires pour leur fonctionnement : </w:t>
      </w:r>
    </w:p>
    <w:p w14:paraId="7399E23E" w14:textId="77777777" w:rsidR="002E5BC2" w:rsidRPr="00AD218C" w:rsidRDefault="002E5BC2" w:rsidP="002E5BC2">
      <w:pPr>
        <w:spacing w:after="143" w:line="247" w:lineRule="auto"/>
        <w:ind w:right="61"/>
        <w:rPr>
          <w:rFonts w:ascii="Times New Roman" w:hAnsi="Times New Roman"/>
          <w:color w:val="FF0000"/>
          <w:szCs w:val="24"/>
        </w:rPr>
      </w:pPr>
      <w:r w:rsidRPr="00AD218C">
        <w:rPr>
          <w:rFonts w:ascii="Times New Roman" w:hAnsi="Times New Roman"/>
          <w:color w:val="FF0000"/>
          <w:szCs w:val="24"/>
        </w:rPr>
        <w:t>Les coûts budgétaires annuels estimés :</w:t>
      </w:r>
    </w:p>
    <w:p w14:paraId="3A1FAA13" w14:textId="2844A5B8" w:rsidR="00CF70DD" w:rsidRDefault="002E5BC2" w:rsidP="00046B98">
      <w:pPr>
        <w:spacing w:after="143" w:line="247" w:lineRule="auto"/>
        <w:ind w:right="61"/>
        <w:rPr>
          <w:rFonts w:ascii="Times New Roman" w:hAnsi="Times New Roman"/>
          <w:color w:val="FF0000"/>
          <w:szCs w:val="24"/>
        </w:rPr>
      </w:pPr>
      <w:r w:rsidRPr="00AD218C">
        <w:rPr>
          <w:rFonts w:ascii="Times New Roman" w:hAnsi="Times New Roman"/>
          <w:color w:val="FF0000"/>
          <w:szCs w:val="24"/>
        </w:rPr>
        <w:t>Si l’entreprise dispose d’une stratégie de retrait en cas de résiliation par l’une des parties ou en cas d’interruption des services par le prestataire de services en nuage :</w:t>
      </w:r>
    </w:p>
    <w:p w14:paraId="2D8BB71F" w14:textId="77777777" w:rsidR="001A3F95" w:rsidRPr="001A3F95" w:rsidRDefault="001A3F95" w:rsidP="001A3F95">
      <w:pPr>
        <w:rPr>
          <w:rFonts w:cstheme="minorHAnsi"/>
          <w:color w:val="FF0000"/>
        </w:rPr>
      </w:pPr>
      <w:r w:rsidRPr="001A3F95">
        <w:rPr>
          <w:color w:val="FF0000"/>
          <w:szCs w:val="24"/>
        </w:rPr>
        <w:t xml:space="preserve">En cas de groupe, les entreprises d’assurance ou de réassurance et les autres entreprises entrant dans le périmètre de la consolidation prudentielle qui utilisent les services en nuage; </w:t>
      </w:r>
    </w:p>
    <w:p w14:paraId="6C963E83" w14:textId="77777777" w:rsidR="001A3F95" w:rsidRPr="00AD218C" w:rsidRDefault="001A3F95" w:rsidP="00046B98">
      <w:pPr>
        <w:spacing w:after="143" w:line="247" w:lineRule="auto"/>
        <w:ind w:right="61"/>
        <w:rPr>
          <w:rFonts w:ascii="Times New Roman" w:hAnsi="Times New Roman"/>
          <w:color w:val="FF0000"/>
          <w:szCs w:val="24"/>
        </w:rPr>
      </w:pPr>
    </w:p>
    <w:p w14:paraId="0076052E" w14:textId="4021F286" w:rsidR="00BC6B62" w:rsidRPr="00046B98" w:rsidRDefault="00BC6B62" w:rsidP="00AD218C">
      <w:pPr>
        <w:spacing w:after="143" w:line="247" w:lineRule="auto"/>
        <w:ind w:right="62"/>
        <w:rPr>
          <w:rFonts w:ascii="Times New Roman" w:hAnsi="Times New Roman"/>
          <w:szCs w:val="24"/>
        </w:rPr>
      </w:pPr>
    </w:p>
    <w:sectPr w:rsidR="00BC6B62" w:rsidRPr="00046B98" w:rsidSect="00ED359C">
      <w:headerReference w:type="default" r:id="rId8"/>
      <w:footerReference w:type="default" r:id="rId9"/>
      <w:pgSz w:w="11906" w:h="16838"/>
      <w:pgMar w:top="568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90BD3" w14:textId="77777777" w:rsidR="00E03533" w:rsidRDefault="00E03533" w:rsidP="00930E07">
      <w:r>
        <w:separator/>
      </w:r>
    </w:p>
  </w:endnote>
  <w:endnote w:type="continuationSeparator" w:id="0">
    <w:p w14:paraId="2BF8C85F" w14:textId="77777777" w:rsidR="00E03533" w:rsidRDefault="00E03533" w:rsidP="0093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E106E" w14:textId="4F164D8B" w:rsidR="00FB4B72" w:rsidRDefault="00FB4B72" w:rsidP="00251FA1">
    <w:pPr>
      <w:pStyle w:val="Pieddepage"/>
      <w:pBdr>
        <w:top w:val="none" w:sz="0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00A92" w14:textId="77777777" w:rsidR="00E03533" w:rsidRDefault="00E03533" w:rsidP="00930E07">
      <w:r>
        <w:separator/>
      </w:r>
    </w:p>
  </w:footnote>
  <w:footnote w:type="continuationSeparator" w:id="0">
    <w:p w14:paraId="7485B93B" w14:textId="77777777" w:rsidR="00E03533" w:rsidRDefault="00E03533" w:rsidP="0093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080466"/>
      <w:docPartObj>
        <w:docPartGallery w:val="Page Numbers (Top of Page)"/>
        <w:docPartUnique/>
      </w:docPartObj>
    </w:sdtPr>
    <w:sdtEndPr/>
    <w:sdtContent>
      <w:p w14:paraId="6A38B4E2" w14:textId="5137DC38" w:rsidR="00ED359C" w:rsidRDefault="00ED359C" w:rsidP="00ED359C">
        <w:pPr>
          <w:pStyle w:val="En-tte"/>
          <w:pBdr>
            <w:bottom w:val="none" w:sz="0" w:space="0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9C0">
          <w:rPr>
            <w:noProof/>
          </w:rPr>
          <w:t>4</w:t>
        </w:r>
        <w:r>
          <w:fldChar w:fldCharType="end"/>
        </w:r>
      </w:p>
    </w:sdtContent>
  </w:sdt>
  <w:p w14:paraId="1E1E62C7" w14:textId="77777777" w:rsidR="00ED359C" w:rsidRDefault="00ED359C" w:rsidP="00ED359C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474"/>
    <w:multiLevelType w:val="hybridMultilevel"/>
    <w:tmpl w:val="3FE6E4B6"/>
    <w:lvl w:ilvl="0" w:tplc="DC32FEA6">
      <w:start w:val="44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F64DC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2306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443B4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72846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DAEDE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EF6A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86C3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E215C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B0CA2"/>
    <w:multiLevelType w:val="hybridMultilevel"/>
    <w:tmpl w:val="3AAA0782"/>
    <w:lvl w:ilvl="0" w:tplc="269475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2CD6"/>
    <w:multiLevelType w:val="hybridMultilevel"/>
    <w:tmpl w:val="AFA269DC"/>
    <w:lvl w:ilvl="0" w:tplc="7DE2CB6A">
      <w:start w:val="1"/>
      <w:numFmt w:val="lowerLetter"/>
      <w:lvlText w:val="%1.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08BF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4AF3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4E5CF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A53E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C8CF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A5A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EB25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1A836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5F7FEB"/>
    <w:multiLevelType w:val="hybridMultilevel"/>
    <w:tmpl w:val="76CE4778"/>
    <w:lvl w:ilvl="0" w:tplc="EE00F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AC9"/>
    <w:multiLevelType w:val="hybridMultilevel"/>
    <w:tmpl w:val="EEEEA96E"/>
    <w:lvl w:ilvl="0" w:tplc="E37A7096">
      <w:numFmt w:val="bullet"/>
      <w:lvlText w:val="-"/>
      <w:lvlJc w:val="left"/>
      <w:pPr>
        <w:ind w:left="144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B21999"/>
    <w:multiLevelType w:val="hybridMultilevel"/>
    <w:tmpl w:val="5BAC653C"/>
    <w:lvl w:ilvl="0" w:tplc="3E78D86C">
      <w:start w:val="1"/>
      <w:numFmt w:val="lowerLetter"/>
      <w:lvlText w:val="%1.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A62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C4E68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45C6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F0D61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BAC17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78075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E29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E73A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5A3852"/>
    <w:multiLevelType w:val="hybridMultilevel"/>
    <w:tmpl w:val="3B40723A"/>
    <w:lvl w:ilvl="0" w:tplc="FE74502C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51EB"/>
    <w:multiLevelType w:val="hybridMultilevel"/>
    <w:tmpl w:val="FC68B836"/>
    <w:lvl w:ilvl="0" w:tplc="858CACF4">
      <w:start w:val="47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44F9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BE6AC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6FF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F4D5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A87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CA2B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C434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4D3C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0C22CA"/>
    <w:multiLevelType w:val="hybridMultilevel"/>
    <w:tmpl w:val="BFCA5484"/>
    <w:lvl w:ilvl="0" w:tplc="E4D20CC4">
      <w:start w:val="28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EA53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878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20A6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EAB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E5C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069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E14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0ED8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5648E3"/>
    <w:multiLevelType w:val="hybridMultilevel"/>
    <w:tmpl w:val="419C5446"/>
    <w:lvl w:ilvl="0" w:tplc="E37A7096">
      <w:numFmt w:val="bullet"/>
      <w:lvlText w:val="-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0C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115E674B"/>
    <w:multiLevelType w:val="hybridMultilevel"/>
    <w:tmpl w:val="069E40BE"/>
    <w:lvl w:ilvl="0" w:tplc="055C0B84">
      <w:start w:val="1"/>
      <w:numFmt w:val="lowerLetter"/>
      <w:lvlText w:val="%1.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0F31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8515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70E3B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4D48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DAFA9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12A6F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847F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413C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F87E00"/>
    <w:multiLevelType w:val="hybridMultilevel"/>
    <w:tmpl w:val="4A1C7CB6"/>
    <w:lvl w:ilvl="0" w:tplc="C1DA614C">
      <w:start w:val="1"/>
      <w:numFmt w:val="lowerLetter"/>
      <w:lvlText w:val="%1.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2D018">
      <w:start w:val="1"/>
      <w:numFmt w:val="lowerRoman"/>
      <w:lvlText w:val="%2."/>
      <w:lvlJc w:val="left"/>
      <w:pPr>
        <w:ind w:left="20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241AE">
      <w:start w:val="1"/>
      <w:numFmt w:val="lowerRoman"/>
      <w:lvlText w:val="%3"/>
      <w:lvlJc w:val="left"/>
      <w:pPr>
        <w:ind w:left="26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8C9A4A">
      <w:start w:val="1"/>
      <w:numFmt w:val="decimal"/>
      <w:lvlText w:val="%4"/>
      <w:lvlJc w:val="left"/>
      <w:pPr>
        <w:ind w:left="33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44A70">
      <w:start w:val="1"/>
      <w:numFmt w:val="lowerLetter"/>
      <w:lvlText w:val="%5"/>
      <w:lvlJc w:val="left"/>
      <w:pPr>
        <w:ind w:left="4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B81C24">
      <w:start w:val="1"/>
      <w:numFmt w:val="lowerRoman"/>
      <w:lvlText w:val="%6"/>
      <w:lvlJc w:val="left"/>
      <w:pPr>
        <w:ind w:left="4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B0C164">
      <w:start w:val="1"/>
      <w:numFmt w:val="decimal"/>
      <w:lvlText w:val="%7"/>
      <w:lvlJc w:val="left"/>
      <w:pPr>
        <w:ind w:left="5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D4AB6C">
      <w:start w:val="1"/>
      <w:numFmt w:val="lowerLetter"/>
      <w:lvlText w:val="%8"/>
      <w:lvlJc w:val="left"/>
      <w:pPr>
        <w:ind w:left="6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845C8">
      <w:start w:val="1"/>
      <w:numFmt w:val="lowerRoman"/>
      <w:lvlText w:val="%9"/>
      <w:lvlJc w:val="left"/>
      <w:pPr>
        <w:ind w:left="6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1B757E"/>
    <w:multiLevelType w:val="hybridMultilevel"/>
    <w:tmpl w:val="7218622C"/>
    <w:lvl w:ilvl="0" w:tplc="C76878B8">
      <w:start w:val="15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32CA6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AAA41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56D30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40D2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F0B67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ACD8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AE2D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E4492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012353"/>
    <w:multiLevelType w:val="hybridMultilevel"/>
    <w:tmpl w:val="AFE8D77A"/>
    <w:lvl w:ilvl="0" w:tplc="147C191E">
      <w:start w:val="1"/>
      <w:numFmt w:val="lowerLetter"/>
      <w:lvlText w:val="%1.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FEDF6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A40B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4A1D7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98E8C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D8BB2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88E2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0201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081DA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074B91"/>
    <w:multiLevelType w:val="hybridMultilevel"/>
    <w:tmpl w:val="6CFA5032"/>
    <w:lvl w:ilvl="0" w:tplc="E1F61E28">
      <w:start w:val="1"/>
      <w:numFmt w:val="lowerLetter"/>
      <w:lvlText w:val="%1.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F62D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268D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9E134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AC8D2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B8BA8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441AF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5C9B8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C093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C429C1"/>
    <w:multiLevelType w:val="hybridMultilevel"/>
    <w:tmpl w:val="2B048E22"/>
    <w:lvl w:ilvl="0" w:tplc="A1781F6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63BDB"/>
    <w:multiLevelType w:val="hybridMultilevel"/>
    <w:tmpl w:val="FC62E09A"/>
    <w:lvl w:ilvl="0" w:tplc="1DA0CD24">
      <w:start w:val="1"/>
      <w:numFmt w:val="lowerLetter"/>
      <w:lvlText w:val="%1.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E8A7E">
      <w:start w:val="1"/>
      <w:numFmt w:val="lowerRoman"/>
      <w:lvlText w:val="%2."/>
      <w:lvlJc w:val="left"/>
      <w:pPr>
        <w:ind w:left="20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C8ADB2">
      <w:start w:val="1"/>
      <w:numFmt w:val="lowerRoman"/>
      <w:lvlText w:val="%3"/>
      <w:lvlJc w:val="left"/>
      <w:pPr>
        <w:ind w:left="26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0C2E28">
      <w:start w:val="1"/>
      <w:numFmt w:val="decimal"/>
      <w:lvlText w:val="%4"/>
      <w:lvlJc w:val="left"/>
      <w:pPr>
        <w:ind w:left="33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3E566A">
      <w:start w:val="1"/>
      <w:numFmt w:val="lowerLetter"/>
      <w:lvlText w:val="%5"/>
      <w:lvlJc w:val="left"/>
      <w:pPr>
        <w:ind w:left="40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A509E">
      <w:start w:val="1"/>
      <w:numFmt w:val="lowerRoman"/>
      <w:lvlText w:val="%6"/>
      <w:lvlJc w:val="left"/>
      <w:pPr>
        <w:ind w:left="47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2ECD02">
      <w:start w:val="1"/>
      <w:numFmt w:val="decimal"/>
      <w:lvlText w:val="%7"/>
      <w:lvlJc w:val="left"/>
      <w:pPr>
        <w:ind w:left="54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70CD32">
      <w:start w:val="1"/>
      <w:numFmt w:val="lowerLetter"/>
      <w:lvlText w:val="%8"/>
      <w:lvlJc w:val="left"/>
      <w:pPr>
        <w:ind w:left="62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6287A">
      <w:start w:val="1"/>
      <w:numFmt w:val="lowerRoman"/>
      <w:lvlText w:val="%9"/>
      <w:lvlJc w:val="left"/>
      <w:pPr>
        <w:ind w:left="6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519B5"/>
    <w:multiLevelType w:val="hybridMultilevel"/>
    <w:tmpl w:val="D0ACD7EE"/>
    <w:lvl w:ilvl="0" w:tplc="5EB4861C">
      <w:start w:val="57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08E2F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38B98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2B59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4D63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300A3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AD38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9EE8A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9ED2D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E90BB0"/>
    <w:multiLevelType w:val="hybridMultilevel"/>
    <w:tmpl w:val="42AC1DA4"/>
    <w:lvl w:ilvl="0" w:tplc="C35E831C">
      <w:start w:val="1"/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D2C5E"/>
    <w:multiLevelType w:val="hybridMultilevel"/>
    <w:tmpl w:val="9B78E45C"/>
    <w:lvl w:ilvl="0" w:tplc="24867CF6">
      <w:start w:val="1"/>
      <w:numFmt w:val="lowerLetter"/>
      <w:lvlText w:val="%1.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26420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44BA0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2CB9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3290D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34F4D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087C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50796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A034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087FE9"/>
    <w:multiLevelType w:val="hybridMultilevel"/>
    <w:tmpl w:val="E6560CCE"/>
    <w:lvl w:ilvl="0" w:tplc="E37A7096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72451"/>
    <w:multiLevelType w:val="hybridMultilevel"/>
    <w:tmpl w:val="FCD084BA"/>
    <w:lvl w:ilvl="0" w:tplc="638684A6">
      <w:start w:val="60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A2C1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C74C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0C27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34842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AE77B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A5D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2056C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88C9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E03A7D"/>
    <w:multiLevelType w:val="hybridMultilevel"/>
    <w:tmpl w:val="257C7958"/>
    <w:lvl w:ilvl="0" w:tplc="C960E3CA">
      <w:start w:val="1"/>
      <w:numFmt w:val="lowerLetter"/>
      <w:lvlText w:val="%1.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87BF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0483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BC60E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924FA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C05E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EE0C8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ECE65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AE556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DCB773A"/>
    <w:multiLevelType w:val="hybridMultilevel"/>
    <w:tmpl w:val="9CD41166"/>
    <w:lvl w:ilvl="0" w:tplc="BC0A4046">
      <w:start w:val="38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C41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ABCD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A377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675A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54C32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24F1C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3A6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281AE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E30611"/>
    <w:multiLevelType w:val="hybridMultilevel"/>
    <w:tmpl w:val="CBDC40AE"/>
    <w:lvl w:ilvl="0" w:tplc="DF9CED48">
      <w:start w:val="23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3EA75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0A2D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FEA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68567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0C836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E05D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90FB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223C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FE6532D"/>
    <w:multiLevelType w:val="hybridMultilevel"/>
    <w:tmpl w:val="7CB6ADBA"/>
    <w:lvl w:ilvl="0" w:tplc="3BF4489A">
      <w:start w:val="21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5CAF6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F2744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0EB3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043C4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083F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2DFC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66DFF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6C5F5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8F61BB"/>
    <w:multiLevelType w:val="hybridMultilevel"/>
    <w:tmpl w:val="FF6212C6"/>
    <w:lvl w:ilvl="0" w:tplc="77068EEC">
      <w:start w:val="1"/>
      <w:numFmt w:val="lowerLetter"/>
      <w:lvlText w:val="%1.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C8219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A0D0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476C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F2C72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9CC0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48B2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2561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E613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7520F1B"/>
    <w:multiLevelType w:val="hybridMultilevel"/>
    <w:tmpl w:val="5A365C0C"/>
    <w:lvl w:ilvl="0" w:tplc="C9207A9C">
      <w:start w:val="8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EAC0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29FC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1A514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E21D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F4BA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140FF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EEF57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18A1F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88318B"/>
    <w:multiLevelType w:val="hybridMultilevel"/>
    <w:tmpl w:val="DDB2AEEE"/>
    <w:lvl w:ilvl="0" w:tplc="5B428F4A">
      <w:start w:val="1"/>
      <w:numFmt w:val="lowerLetter"/>
      <w:lvlText w:val="%1.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2E6EF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0A7E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C2FB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45E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52E84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A238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C691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610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B1D7CD3"/>
    <w:multiLevelType w:val="hybridMultilevel"/>
    <w:tmpl w:val="EF60E6FA"/>
    <w:lvl w:ilvl="0" w:tplc="A52857BC">
      <w:start w:val="1"/>
      <w:numFmt w:val="lowerLetter"/>
      <w:lvlText w:val="%1.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38F55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EC5DC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761B4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80BD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2D9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7A870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82DC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98598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737954"/>
    <w:multiLevelType w:val="hybridMultilevel"/>
    <w:tmpl w:val="CE54135C"/>
    <w:lvl w:ilvl="0" w:tplc="EE00F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021C2B"/>
    <w:multiLevelType w:val="hybridMultilevel"/>
    <w:tmpl w:val="C1985782"/>
    <w:lvl w:ilvl="0" w:tplc="8110E6B4">
      <w:start w:val="17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32E78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86891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CBFA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2EDE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6881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A7E4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3446C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8CB6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CD0BE8"/>
    <w:multiLevelType w:val="hybridMultilevel"/>
    <w:tmpl w:val="D944C174"/>
    <w:lvl w:ilvl="0" w:tplc="1DC43DC0">
      <w:start w:val="51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7CD10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07CF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8449B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001D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DA076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AEB89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4504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C6005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8E23861"/>
    <w:multiLevelType w:val="hybridMultilevel"/>
    <w:tmpl w:val="35905FA0"/>
    <w:lvl w:ilvl="0" w:tplc="1AB846EE">
      <w:start w:val="30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EE65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E26A5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9A0B4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92D6B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A620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1AC94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C82D3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E2723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9033524"/>
    <w:multiLevelType w:val="hybridMultilevel"/>
    <w:tmpl w:val="B8169A6E"/>
    <w:lvl w:ilvl="0" w:tplc="FECC6E2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27566A84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CFBACD92">
      <w:start w:val="1"/>
      <w:numFmt w:val="bullet"/>
      <w:lvlText w:val="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A1E2E7A">
      <w:start w:val="1"/>
      <w:numFmt w:val="bullet"/>
      <w:lvlText w:val="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654C7074">
      <w:start w:val="1"/>
      <w:numFmt w:val="bullet"/>
      <w:lvlText w:val="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7CF4FA86">
      <w:start w:val="1"/>
      <w:numFmt w:val="bullet"/>
      <w:lvlText w:val="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0A437C2">
      <w:start w:val="1"/>
      <w:numFmt w:val="bullet"/>
      <w:lvlText w:val="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83FCCE22">
      <w:start w:val="1"/>
      <w:numFmt w:val="bullet"/>
      <w:lvlText w:val="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977854FC">
      <w:start w:val="1"/>
      <w:numFmt w:val="bullet"/>
      <w:lvlText w:val="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9620710"/>
    <w:multiLevelType w:val="hybridMultilevel"/>
    <w:tmpl w:val="38AEEE40"/>
    <w:lvl w:ilvl="0" w:tplc="E37A7096">
      <w:numFmt w:val="bullet"/>
      <w:lvlText w:val="-"/>
      <w:lvlJc w:val="left"/>
      <w:pPr>
        <w:ind w:left="144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3EB231F"/>
    <w:multiLevelType w:val="hybridMultilevel"/>
    <w:tmpl w:val="4FCA6C04"/>
    <w:lvl w:ilvl="0" w:tplc="33D279E4">
      <w:start w:val="1"/>
      <w:numFmt w:val="lowerLetter"/>
      <w:lvlText w:val="%1.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82230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2EE3D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9892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211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C2C1D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6F02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6F3A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EE784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5F2785A"/>
    <w:multiLevelType w:val="hybridMultilevel"/>
    <w:tmpl w:val="B3B004B6"/>
    <w:lvl w:ilvl="0" w:tplc="282EC132">
      <w:start w:val="63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6F9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88279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E0698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49C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A9B7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36399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183C0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7A77E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C03105"/>
    <w:multiLevelType w:val="hybridMultilevel"/>
    <w:tmpl w:val="828A525E"/>
    <w:lvl w:ilvl="0" w:tplc="3648CA68">
      <w:start w:val="1"/>
      <w:numFmt w:val="lowerLetter"/>
      <w:lvlText w:val="%1.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FC2ED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61F9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03EA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24F3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CDF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5E5A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8288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60481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95C68F3"/>
    <w:multiLevelType w:val="hybridMultilevel"/>
    <w:tmpl w:val="0262BEF4"/>
    <w:lvl w:ilvl="0" w:tplc="0F7C7814">
      <w:start w:val="1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70902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00A27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54E98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E44C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0FC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2280B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E4CD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1CF2D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ABF2AE4"/>
    <w:multiLevelType w:val="hybridMultilevel"/>
    <w:tmpl w:val="485A0ADE"/>
    <w:lvl w:ilvl="0" w:tplc="46AA60A8">
      <w:start w:val="33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8A64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6A3FE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0CF0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08883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20346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4DBC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CA33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6F8F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DB7061B"/>
    <w:multiLevelType w:val="hybridMultilevel"/>
    <w:tmpl w:val="B7443D36"/>
    <w:lvl w:ilvl="0" w:tplc="D77407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1828EE"/>
    <w:multiLevelType w:val="hybridMultilevel"/>
    <w:tmpl w:val="DB04C5F2"/>
    <w:lvl w:ilvl="0" w:tplc="62BAEA9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8335A"/>
    <w:multiLevelType w:val="hybridMultilevel"/>
    <w:tmpl w:val="622EDD36"/>
    <w:lvl w:ilvl="0" w:tplc="E37A7096">
      <w:numFmt w:val="bullet"/>
      <w:lvlText w:val="-"/>
      <w:lvlJc w:val="left"/>
      <w:pPr>
        <w:ind w:left="144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5" w15:restartNumberingAfterBreak="0">
    <w:nsid w:val="6959378D"/>
    <w:multiLevelType w:val="hybridMultilevel"/>
    <w:tmpl w:val="370C4E14"/>
    <w:lvl w:ilvl="0" w:tplc="1EC6FD70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D8584A"/>
    <w:multiLevelType w:val="hybridMultilevel"/>
    <w:tmpl w:val="ABA6705A"/>
    <w:lvl w:ilvl="0" w:tplc="E37A7096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4472D"/>
    <w:multiLevelType w:val="hybridMultilevel"/>
    <w:tmpl w:val="66B475EE"/>
    <w:lvl w:ilvl="0" w:tplc="AA8E939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D65619"/>
    <w:multiLevelType w:val="hybridMultilevel"/>
    <w:tmpl w:val="890052E6"/>
    <w:lvl w:ilvl="0" w:tplc="C6E6E60E">
      <w:start w:val="1"/>
      <w:numFmt w:val="lowerLetter"/>
      <w:lvlText w:val="%1.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85E1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5AAE8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F015B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68CE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3CAF7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30809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44701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CC8A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6AD133C"/>
    <w:multiLevelType w:val="hybridMultilevel"/>
    <w:tmpl w:val="1318E138"/>
    <w:lvl w:ilvl="0" w:tplc="EFDA06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D115A4"/>
    <w:multiLevelType w:val="hybridMultilevel"/>
    <w:tmpl w:val="E0D4EAE0"/>
    <w:lvl w:ilvl="0" w:tplc="310E71F2">
      <w:start w:val="10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54378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56DAF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4639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C3E6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8B4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0E92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5037D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32686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B9972C4"/>
    <w:multiLevelType w:val="hybridMultilevel"/>
    <w:tmpl w:val="1B0CF8E2"/>
    <w:lvl w:ilvl="0" w:tplc="A5DA1F50">
      <w:start w:val="1"/>
      <w:numFmt w:val="lowerLetter"/>
      <w:lvlText w:val="%1.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0AB884">
      <w:start w:val="1"/>
      <w:numFmt w:val="lowerRoman"/>
      <w:lvlText w:val="%2."/>
      <w:lvlJc w:val="left"/>
      <w:pPr>
        <w:ind w:left="20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1C4C86">
      <w:start w:val="1"/>
      <w:numFmt w:val="decimal"/>
      <w:lvlText w:val="%3."/>
      <w:lvlJc w:val="left"/>
      <w:pPr>
        <w:ind w:left="29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F479CE">
      <w:start w:val="1"/>
      <w:numFmt w:val="decimal"/>
      <w:lvlText w:val="%4"/>
      <w:lvlJc w:val="left"/>
      <w:pPr>
        <w:ind w:left="36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623560">
      <w:start w:val="1"/>
      <w:numFmt w:val="lowerLetter"/>
      <w:lvlText w:val="%5"/>
      <w:lvlJc w:val="left"/>
      <w:pPr>
        <w:ind w:left="43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FE5B9E">
      <w:start w:val="1"/>
      <w:numFmt w:val="lowerRoman"/>
      <w:lvlText w:val="%6"/>
      <w:lvlJc w:val="left"/>
      <w:pPr>
        <w:ind w:left="5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0D3C2">
      <w:start w:val="1"/>
      <w:numFmt w:val="decimal"/>
      <w:lvlText w:val="%7"/>
      <w:lvlJc w:val="left"/>
      <w:pPr>
        <w:ind w:left="5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CA0A5A">
      <w:start w:val="1"/>
      <w:numFmt w:val="lowerLetter"/>
      <w:lvlText w:val="%8"/>
      <w:lvlJc w:val="left"/>
      <w:pPr>
        <w:ind w:left="6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1CFFAA">
      <w:start w:val="1"/>
      <w:numFmt w:val="lowerRoman"/>
      <w:lvlText w:val="%9"/>
      <w:lvlJc w:val="left"/>
      <w:pPr>
        <w:ind w:left="7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E136302"/>
    <w:multiLevelType w:val="hybridMultilevel"/>
    <w:tmpl w:val="127694BC"/>
    <w:lvl w:ilvl="0" w:tplc="7E52A982">
      <w:start w:val="25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CC59D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AF3E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94264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2BCF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C511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AB24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246E4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0867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E8E5122"/>
    <w:multiLevelType w:val="hybridMultilevel"/>
    <w:tmpl w:val="BB568BC6"/>
    <w:lvl w:ilvl="0" w:tplc="A5BEEE98">
      <w:start w:val="36"/>
      <w:numFmt w:val="decimal"/>
      <w:lvlText w:val="%1.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D076F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49C1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A842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A0FF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8D93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EED2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CBDC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3623F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44"/>
  </w:num>
  <w:num w:numId="3">
    <w:abstractNumId w:val="9"/>
  </w:num>
  <w:num w:numId="4">
    <w:abstractNumId w:val="39"/>
  </w:num>
  <w:num w:numId="5">
    <w:abstractNumId w:val="27"/>
  </w:num>
  <w:num w:numId="6">
    <w:abstractNumId w:val="50"/>
  </w:num>
  <w:num w:numId="7">
    <w:abstractNumId w:val="10"/>
  </w:num>
  <w:num w:numId="8">
    <w:abstractNumId w:val="12"/>
  </w:num>
  <w:num w:numId="9">
    <w:abstractNumId w:val="31"/>
  </w:num>
  <w:num w:numId="10">
    <w:abstractNumId w:val="5"/>
  </w:num>
  <w:num w:numId="11">
    <w:abstractNumId w:val="25"/>
  </w:num>
  <w:num w:numId="12">
    <w:abstractNumId w:val="48"/>
  </w:num>
  <w:num w:numId="13">
    <w:abstractNumId w:val="24"/>
  </w:num>
  <w:num w:numId="14">
    <w:abstractNumId w:val="22"/>
  </w:num>
  <w:num w:numId="15">
    <w:abstractNumId w:val="52"/>
  </w:num>
  <w:num w:numId="16">
    <w:abstractNumId w:val="13"/>
  </w:num>
  <w:num w:numId="17">
    <w:abstractNumId w:val="8"/>
  </w:num>
  <w:num w:numId="18">
    <w:abstractNumId w:val="11"/>
  </w:num>
  <w:num w:numId="19">
    <w:abstractNumId w:val="33"/>
  </w:num>
  <w:num w:numId="20">
    <w:abstractNumId w:val="51"/>
  </w:num>
  <w:num w:numId="21">
    <w:abstractNumId w:val="40"/>
  </w:num>
  <w:num w:numId="22">
    <w:abstractNumId w:val="53"/>
  </w:num>
  <w:num w:numId="23">
    <w:abstractNumId w:val="16"/>
  </w:num>
  <w:num w:numId="24">
    <w:abstractNumId w:val="23"/>
  </w:num>
  <w:num w:numId="25">
    <w:abstractNumId w:val="29"/>
  </w:num>
  <w:num w:numId="26">
    <w:abstractNumId w:val="14"/>
  </w:num>
  <w:num w:numId="27">
    <w:abstractNumId w:val="0"/>
  </w:num>
  <w:num w:numId="28">
    <w:abstractNumId w:val="7"/>
  </w:num>
  <w:num w:numId="29">
    <w:abstractNumId w:val="2"/>
  </w:num>
  <w:num w:numId="30">
    <w:abstractNumId w:val="36"/>
  </w:num>
  <w:num w:numId="31">
    <w:abstractNumId w:val="32"/>
  </w:num>
  <w:num w:numId="32">
    <w:abstractNumId w:val="19"/>
  </w:num>
  <w:num w:numId="33">
    <w:abstractNumId w:val="38"/>
  </w:num>
  <w:num w:numId="34">
    <w:abstractNumId w:val="17"/>
  </w:num>
  <w:num w:numId="35">
    <w:abstractNumId w:val="28"/>
  </w:num>
  <w:num w:numId="36">
    <w:abstractNumId w:val="26"/>
  </w:num>
  <w:num w:numId="37">
    <w:abstractNumId w:val="21"/>
  </w:num>
  <w:num w:numId="38">
    <w:abstractNumId w:val="37"/>
  </w:num>
  <w:num w:numId="39">
    <w:abstractNumId w:val="34"/>
  </w:num>
  <w:num w:numId="40">
    <w:abstractNumId w:val="49"/>
  </w:num>
  <w:num w:numId="41">
    <w:abstractNumId w:val="3"/>
  </w:num>
  <w:num w:numId="42">
    <w:abstractNumId w:val="30"/>
  </w:num>
  <w:num w:numId="43">
    <w:abstractNumId w:val="47"/>
  </w:num>
  <w:num w:numId="44">
    <w:abstractNumId w:val="1"/>
  </w:num>
  <w:num w:numId="45">
    <w:abstractNumId w:val="45"/>
  </w:num>
  <w:num w:numId="46">
    <w:abstractNumId w:val="6"/>
  </w:num>
  <w:num w:numId="47">
    <w:abstractNumId w:val="42"/>
  </w:num>
  <w:num w:numId="48">
    <w:abstractNumId w:val="15"/>
  </w:num>
  <w:num w:numId="49">
    <w:abstractNumId w:val="18"/>
  </w:num>
  <w:num w:numId="50">
    <w:abstractNumId w:val="41"/>
  </w:num>
  <w:num w:numId="51">
    <w:abstractNumId w:val="46"/>
  </w:num>
  <w:num w:numId="52">
    <w:abstractNumId w:val="35"/>
  </w:num>
  <w:num w:numId="53">
    <w:abstractNumId w:val="43"/>
  </w:num>
  <w:num w:numId="54">
    <w:abstractNumId w:val="20"/>
  </w:num>
  <w:num w:numId="55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8B"/>
    <w:rsid w:val="00002E02"/>
    <w:rsid w:val="00012385"/>
    <w:rsid w:val="00012E88"/>
    <w:rsid w:val="000237D4"/>
    <w:rsid w:val="000244E0"/>
    <w:rsid w:val="00027432"/>
    <w:rsid w:val="000331B7"/>
    <w:rsid w:val="00036AD2"/>
    <w:rsid w:val="00046B98"/>
    <w:rsid w:val="00051AB2"/>
    <w:rsid w:val="00056EC5"/>
    <w:rsid w:val="00064934"/>
    <w:rsid w:val="00070EFD"/>
    <w:rsid w:val="0007420D"/>
    <w:rsid w:val="000865D8"/>
    <w:rsid w:val="00094721"/>
    <w:rsid w:val="000954C8"/>
    <w:rsid w:val="0009614D"/>
    <w:rsid w:val="000A1FA7"/>
    <w:rsid w:val="000A698D"/>
    <w:rsid w:val="000A7B08"/>
    <w:rsid w:val="000B0226"/>
    <w:rsid w:val="000C3928"/>
    <w:rsid w:val="000C3EFB"/>
    <w:rsid w:val="000C5B62"/>
    <w:rsid w:val="000C5DF3"/>
    <w:rsid w:val="000C6748"/>
    <w:rsid w:val="000C7155"/>
    <w:rsid w:val="000D513B"/>
    <w:rsid w:val="000D555D"/>
    <w:rsid w:val="000D7663"/>
    <w:rsid w:val="000E1649"/>
    <w:rsid w:val="000E358A"/>
    <w:rsid w:val="000E3BB1"/>
    <w:rsid w:val="000E63F0"/>
    <w:rsid w:val="000F3C68"/>
    <w:rsid w:val="001056B8"/>
    <w:rsid w:val="00106B86"/>
    <w:rsid w:val="00125CDA"/>
    <w:rsid w:val="001263AF"/>
    <w:rsid w:val="0013041B"/>
    <w:rsid w:val="001304AF"/>
    <w:rsid w:val="00131815"/>
    <w:rsid w:val="0013250A"/>
    <w:rsid w:val="0013554A"/>
    <w:rsid w:val="00136660"/>
    <w:rsid w:val="00153B8E"/>
    <w:rsid w:val="001549B3"/>
    <w:rsid w:val="001624D1"/>
    <w:rsid w:val="001651B2"/>
    <w:rsid w:val="001703FA"/>
    <w:rsid w:val="00174A4C"/>
    <w:rsid w:val="00175867"/>
    <w:rsid w:val="00183ED1"/>
    <w:rsid w:val="001850D3"/>
    <w:rsid w:val="001A1C42"/>
    <w:rsid w:val="001A1EDF"/>
    <w:rsid w:val="001A2006"/>
    <w:rsid w:val="001A239F"/>
    <w:rsid w:val="001A3F95"/>
    <w:rsid w:val="001B05F5"/>
    <w:rsid w:val="001B0EE1"/>
    <w:rsid w:val="001B35F3"/>
    <w:rsid w:val="001B4D3C"/>
    <w:rsid w:val="001C3926"/>
    <w:rsid w:val="001C59D0"/>
    <w:rsid w:val="001C6BBF"/>
    <w:rsid w:val="001E4E85"/>
    <w:rsid w:val="001E74D1"/>
    <w:rsid w:val="0020182C"/>
    <w:rsid w:val="00201C6A"/>
    <w:rsid w:val="002028BC"/>
    <w:rsid w:val="0020454B"/>
    <w:rsid w:val="002127D7"/>
    <w:rsid w:val="00231313"/>
    <w:rsid w:val="00231D0C"/>
    <w:rsid w:val="00233E4B"/>
    <w:rsid w:val="00235D2D"/>
    <w:rsid w:val="00244E8C"/>
    <w:rsid w:val="00245C99"/>
    <w:rsid w:val="00251921"/>
    <w:rsid w:val="00251FA1"/>
    <w:rsid w:val="002532C2"/>
    <w:rsid w:val="00255CEB"/>
    <w:rsid w:val="00272650"/>
    <w:rsid w:val="00277CD3"/>
    <w:rsid w:val="0028125D"/>
    <w:rsid w:val="00281E0A"/>
    <w:rsid w:val="002823A7"/>
    <w:rsid w:val="00287360"/>
    <w:rsid w:val="00291C82"/>
    <w:rsid w:val="00294F73"/>
    <w:rsid w:val="002B7119"/>
    <w:rsid w:val="002B7F69"/>
    <w:rsid w:val="002C3F88"/>
    <w:rsid w:val="002D07EF"/>
    <w:rsid w:val="002D18D5"/>
    <w:rsid w:val="002D2B65"/>
    <w:rsid w:val="002D2CD8"/>
    <w:rsid w:val="002D62EB"/>
    <w:rsid w:val="002E1557"/>
    <w:rsid w:val="002E5BC2"/>
    <w:rsid w:val="002E783F"/>
    <w:rsid w:val="002F04DB"/>
    <w:rsid w:val="003045B3"/>
    <w:rsid w:val="00310D5C"/>
    <w:rsid w:val="00314385"/>
    <w:rsid w:val="0031702F"/>
    <w:rsid w:val="00330761"/>
    <w:rsid w:val="003364A5"/>
    <w:rsid w:val="0034102C"/>
    <w:rsid w:val="00351CAF"/>
    <w:rsid w:val="0035686B"/>
    <w:rsid w:val="00362A10"/>
    <w:rsid w:val="0037317B"/>
    <w:rsid w:val="003919E0"/>
    <w:rsid w:val="00393F3B"/>
    <w:rsid w:val="003B5262"/>
    <w:rsid w:val="003B6374"/>
    <w:rsid w:val="003D103E"/>
    <w:rsid w:val="003D61C8"/>
    <w:rsid w:val="003D6E83"/>
    <w:rsid w:val="003E296E"/>
    <w:rsid w:val="003E33F7"/>
    <w:rsid w:val="003E5E16"/>
    <w:rsid w:val="003F1DDF"/>
    <w:rsid w:val="003F6FE9"/>
    <w:rsid w:val="00410DF7"/>
    <w:rsid w:val="00411D21"/>
    <w:rsid w:val="00414502"/>
    <w:rsid w:val="00434D0A"/>
    <w:rsid w:val="0043609A"/>
    <w:rsid w:val="00437FA2"/>
    <w:rsid w:val="00443B5D"/>
    <w:rsid w:val="00446A7D"/>
    <w:rsid w:val="0044773E"/>
    <w:rsid w:val="00450BCA"/>
    <w:rsid w:val="00457DD3"/>
    <w:rsid w:val="004669E0"/>
    <w:rsid w:val="00470213"/>
    <w:rsid w:val="00474016"/>
    <w:rsid w:val="004740A3"/>
    <w:rsid w:val="0047782F"/>
    <w:rsid w:val="004A1EFE"/>
    <w:rsid w:val="004A7314"/>
    <w:rsid w:val="004B7D9F"/>
    <w:rsid w:val="004C5673"/>
    <w:rsid w:val="004C6D3A"/>
    <w:rsid w:val="004D7201"/>
    <w:rsid w:val="004E10B8"/>
    <w:rsid w:val="004E7DC1"/>
    <w:rsid w:val="004F4B85"/>
    <w:rsid w:val="0051392B"/>
    <w:rsid w:val="00541959"/>
    <w:rsid w:val="005429C6"/>
    <w:rsid w:val="005518E6"/>
    <w:rsid w:val="00557A67"/>
    <w:rsid w:val="005659F3"/>
    <w:rsid w:val="005A43EA"/>
    <w:rsid w:val="005A697D"/>
    <w:rsid w:val="005B32C8"/>
    <w:rsid w:val="005C3743"/>
    <w:rsid w:val="005C5A06"/>
    <w:rsid w:val="005D047E"/>
    <w:rsid w:val="005D1F60"/>
    <w:rsid w:val="005D3F39"/>
    <w:rsid w:val="005E0D53"/>
    <w:rsid w:val="005E26A5"/>
    <w:rsid w:val="005E372F"/>
    <w:rsid w:val="005E6FCE"/>
    <w:rsid w:val="005E7CB4"/>
    <w:rsid w:val="005F1531"/>
    <w:rsid w:val="005F1B47"/>
    <w:rsid w:val="00601345"/>
    <w:rsid w:val="00610CAE"/>
    <w:rsid w:val="00610DA2"/>
    <w:rsid w:val="0061247F"/>
    <w:rsid w:val="006138E8"/>
    <w:rsid w:val="00616EFA"/>
    <w:rsid w:val="00620201"/>
    <w:rsid w:val="0062058F"/>
    <w:rsid w:val="0063170B"/>
    <w:rsid w:val="006325A4"/>
    <w:rsid w:val="006367F8"/>
    <w:rsid w:val="00637DB2"/>
    <w:rsid w:val="00653794"/>
    <w:rsid w:val="00661D3B"/>
    <w:rsid w:val="00661DB8"/>
    <w:rsid w:val="0066343A"/>
    <w:rsid w:val="00663E8E"/>
    <w:rsid w:val="00664A6E"/>
    <w:rsid w:val="00670CC3"/>
    <w:rsid w:val="00671644"/>
    <w:rsid w:val="0067355E"/>
    <w:rsid w:val="006748C6"/>
    <w:rsid w:val="00697F51"/>
    <w:rsid w:val="006A2160"/>
    <w:rsid w:val="006A3D95"/>
    <w:rsid w:val="006B24F9"/>
    <w:rsid w:val="006D47B7"/>
    <w:rsid w:val="006E14E6"/>
    <w:rsid w:val="006E18D6"/>
    <w:rsid w:val="006F1EDE"/>
    <w:rsid w:val="006F2313"/>
    <w:rsid w:val="006F5E0E"/>
    <w:rsid w:val="0070285F"/>
    <w:rsid w:val="00707045"/>
    <w:rsid w:val="00715715"/>
    <w:rsid w:val="0073165F"/>
    <w:rsid w:val="00741061"/>
    <w:rsid w:val="00755E61"/>
    <w:rsid w:val="007563D4"/>
    <w:rsid w:val="007679F5"/>
    <w:rsid w:val="00772E9E"/>
    <w:rsid w:val="00774ECC"/>
    <w:rsid w:val="00781CCC"/>
    <w:rsid w:val="007868B6"/>
    <w:rsid w:val="00790A68"/>
    <w:rsid w:val="007913B1"/>
    <w:rsid w:val="007A00CF"/>
    <w:rsid w:val="007A15AF"/>
    <w:rsid w:val="007B6B0E"/>
    <w:rsid w:val="007C26DD"/>
    <w:rsid w:val="007C324F"/>
    <w:rsid w:val="007C64A5"/>
    <w:rsid w:val="007C66BD"/>
    <w:rsid w:val="007D1619"/>
    <w:rsid w:val="007D41BE"/>
    <w:rsid w:val="007D690B"/>
    <w:rsid w:val="007F4923"/>
    <w:rsid w:val="007F4B01"/>
    <w:rsid w:val="00800EB0"/>
    <w:rsid w:val="00804191"/>
    <w:rsid w:val="00804B93"/>
    <w:rsid w:val="00813888"/>
    <w:rsid w:val="00822566"/>
    <w:rsid w:val="00825BC8"/>
    <w:rsid w:val="00827BCE"/>
    <w:rsid w:val="008315A3"/>
    <w:rsid w:val="00832EAF"/>
    <w:rsid w:val="008360F5"/>
    <w:rsid w:val="008412B9"/>
    <w:rsid w:val="00843B6D"/>
    <w:rsid w:val="00843E4B"/>
    <w:rsid w:val="00845245"/>
    <w:rsid w:val="00845A2A"/>
    <w:rsid w:val="00847A73"/>
    <w:rsid w:val="00850481"/>
    <w:rsid w:val="00871700"/>
    <w:rsid w:val="00871BB7"/>
    <w:rsid w:val="008772DB"/>
    <w:rsid w:val="00883B6F"/>
    <w:rsid w:val="008845F4"/>
    <w:rsid w:val="00896E5B"/>
    <w:rsid w:val="00897FD3"/>
    <w:rsid w:val="008A0097"/>
    <w:rsid w:val="008A278B"/>
    <w:rsid w:val="008B3322"/>
    <w:rsid w:val="008C482A"/>
    <w:rsid w:val="008C5C83"/>
    <w:rsid w:val="008C7C53"/>
    <w:rsid w:val="008D3F48"/>
    <w:rsid w:val="008D5E57"/>
    <w:rsid w:val="008E0627"/>
    <w:rsid w:val="008E553E"/>
    <w:rsid w:val="008E793D"/>
    <w:rsid w:val="008F22B2"/>
    <w:rsid w:val="008F6387"/>
    <w:rsid w:val="00930E07"/>
    <w:rsid w:val="00933721"/>
    <w:rsid w:val="009406DD"/>
    <w:rsid w:val="009436B7"/>
    <w:rsid w:val="00950328"/>
    <w:rsid w:val="00955A3A"/>
    <w:rsid w:val="0095665A"/>
    <w:rsid w:val="009607AC"/>
    <w:rsid w:val="00987CBC"/>
    <w:rsid w:val="009A1501"/>
    <w:rsid w:val="009A5EC2"/>
    <w:rsid w:val="009A6921"/>
    <w:rsid w:val="009A7AA7"/>
    <w:rsid w:val="009C4824"/>
    <w:rsid w:val="009E6932"/>
    <w:rsid w:val="009E770A"/>
    <w:rsid w:val="00A02D11"/>
    <w:rsid w:val="00A044BD"/>
    <w:rsid w:val="00A04645"/>
    <w:rsid w:val="00A06D83"/>
    <w:rsid w:val="00A157DA"/>
    <w:rsid w:val="00A21866"/>
    <w:rsid w:val="00A22CCF"/>
    <w:rsid w:val="00A249CD"/>
    <w:rsid w:val="00A24EB1"/>
    <w:rsid w:val="00A26FEF"/>
    <w:rsid w:val="00A30A4F"/>
    <w:rsid w:val="00A3428B"/>
    <w:rsid w:val="00A3482F"/>
    <w:rsid w:val="00A37847"/>
    <w:rsid w:val="00A43502"/>
    <w:rsid w:val="00A44F5B"/>
    <w:rsid w:val="00A5433B"/>
    <w:rsid w:val="00A55E3C"/>
    <w:rsid w:val="00A560BD"/>
    <w:rsid w:val="00A60F32"/>
    <w:rsid w:val="00A666DE"/>
    <w:rsid w:val="00A71B72"/>
    <w:rsid w:val="00A72042"/>
    <w:rsid w:val="00A769AE"/>
    <w:rsid w:val="00A76FD0"/>
    <w:rsid w:val="00A8280F"/>
    <w:rsid w:val="00A83C4F"/>
    <w:rsid w:val="00A846E3"/>
    <w:rsid w:val="00AA3B78"/>
    <w:rsid w:val="00AA58BD"/>
    <w:rsid w:val="00AB1362"/>
    <w:rsid w:val="00AB37FF"/>
    <w:rsid w:val="00AB5947"/>
    <w:rsid w:val="00AB70EB"/>
    <w:rsid w:val="00AC0B92"/>
    <w:rsid w:val="00AC3B63"/>
    <w:rsid w:val="00AD04C7"/>
    <w:rsid w:val="00AD218C"/>
    <w:rsid w:val="00AD2DB2"/>
    <w:rsid w:val="00AE308D"/>
    <w:rsid w:val="00AE6950"/>
    <w:rsid w:val="00AE7DA3"/>
    <w:rsid w:val="00AF22E8"/>
    <w:rsid w:val="00B00E4C"/>
    <w:rsid w:val="00B04E09"/>
    <w:rsid w:val="00B06B54"/>
    <w:rsid w:val="00B100E1"/>
    <w:rsid w:val="00B105EA"/>
    <w:rsid w:val="00B15EEC"/>
    <w:rsid w:val="00B2353A"/>
    <w:rsid w:val="00B248CA"/>
    <w:rsid w:val="00B40B7D"/>
    <w:rsid w:val="00B45AD4"/>
    <w:rsid w:val="00B50B50"/>
    <w:rsid w:val="00B55619"/>
    <w:rsid w:val="00B6116B"/>
    <w:rsid w:val="00B62968"/>
    <w:rsid w:val="00B635BF"/>
    <w:rsid w:val="00B64B05"/>
    <w:rsid w:val="00B65B12"/>
    <w:rsid w:val="00B66DBF"/>
    <w:rsid w:val="00B70DCF"/>
    <w:rsid w:val="00B71D3A"/>
    <w:rsid w:val="00B74D65"/>
    <w:rsid w:val="00B760F6"/>
    <w:rsid w:val="00B828D9"/>
    <w:rsid w:val="00B838E5"/>
    <w:rsid w:val="00B87F1E"/>
    <w:rsid w:val="00B906F6"/>
    <w:rsid w:val="00BA6B94"/>
    <w:rsid w:val="00BB0A1F"/>
    <w:rsid w:val="00BB61C5"/>
    <w:rsid w:val="00BB759A"/>
    <w:rsid w:val="00BC0953"/>
    <w:rsid w:val="00BC232F"/>
    <w:rsid w:val="00BC56BB"/>
    <w:rsid w:val="00BC6B62"/>
    <w:rsid w:val="00BC6EEC"/>
    <w:rsid w:val="00BC7D49"/>
    <w:rsid w:val="00BD64BE"/>
    <w:rsid w:val="00BE6908"/>
    <w:rsid w:val="00BF3C3D"/>
    <w:rsid w:val="00BF441C"/>
    <w:rsid w:val="00BF5026"/>
    <w:rsid w:val="00BF7A6A"/>
    <w:rsid w:val="00C01CBA"/>
    <w:rsid w:val="00C03AFA"/>
    <w:rsid w:val="00C20083"/>
    <w:rsid w:val="00C249E8"/>
    <w:rsid w:val="00C34AF3"/>
    <w:rsid w:val="00C357CA"/>
    <w:rsid w:val="00C442CA"/>
    <w:rsid w:val="00C46E37"/>
    <w:rsid w:val="00C47193"/>
    <w:rsid w:val="00C544BA"/>
    <w:rsid w:val="00C640B3"/>
    <w:rsid w:val="00C654B5"/>
    <w:rsid w:val="00C7160D"/>
    <w:rsid w:val="00C71EA4"/>
    <w:rsid w:val="00C732F9"/>
    <w:rsid w:val="00C74F8C"/>
    <w:rsid w:val="00C760FE"/>
    <w:rsid w:val="00C77856"/>
    <w:rsid w:val="00C77D34"/>
    <w:rsid w:val="00C8388C"/>
    <w:rsid w:val="00C843B6"/>
    <w:rsid w:val="00C921C9"/>
    <w:rsid w:val="00C926EB"/>
    <w:rsid w:val="00C974B1"/>
    <w:rsid w:val="00CA7AAE"/>
    <w:rsid w:val="00CB05D5"/>
    <w:rsid w:val="00CB27D4"/>
    <w:rsid w:val="00CB5A73"/>
    <w:rsid w:val="00CC1EA4"/>
    <w:rsid w:val="00CC2750"/>
    <w:rsid w:val="00CD01EA"/>
    <w:rsid w:val="00CD0694"/>
    <w:rsid w:val="00CE46EA"/>
    <w:rsid w:val="00CF1EC4"/>
    <w:rsid w:val="00CF2A41"/>
    <w:rsid w:val="00CF41F8"/>
    <w:rsid w:val="00CF70DD"/>
    <w:rsid w:val="00D00077"/>
    <w:rsid w:val="00D0080A"/>
    <w:rsid w:val="00D07994"/>
    <w:rsid w:val="00D10420"/>
    <w:rsid w:val="00D13775"/>
    <w:rsid w:val="00D15B06"/>
    <w:rsid w:val="00D17D0A"/>
    <w:rsid w:val="00D22F75"/>
    <w:rsid w:val="00D27B57"/>
    <w:rsid w:val="00D822EA"/>
    <w:rsid w:val="00D870D9"/>
    <w:rsid w:val="00D87435"/>
    <w:rsid w:val="00D90173"/>
    <w:rsid w:val="00D901D8"/>
    <w:rsid w:val="00D90302"/>
    <w:rsid w:val="00D923EA"/>
    <w:rsid w:val="00DA3CC5"/>
    <w:rsid w:val="00DA6974"/>
    <w:rsid w:val="00DA6984"/>
    <w:rsid w:val="00DB209F"/>
    <w:rsid w:val="00DC01A6"/>
    <w:rsid w:val="00DC25EE"/>
    <w:rsid w:val="00DC41DC"/>
    <w:rsid w:val="00DC7686"/>
    <w:rsid w:val="00DD2844"/>
    <w:rsid w:val="00DD47D8"/>
    <w:rsid w:val="00DD7137"/>
    <w:rsid w:val="00DF0643"/>
    <w:rsid w:val="00DF47DC"/>
    <w:rsid w:val="00DF5A5F"/>
    <w:rsid w:val="00E03533"/>
    <w:rsid w:val="00E0427D"/>
    <w:rsid w:val="00E0520C"/>
    <w:rsid w:val="00E16BB0"/>
    <w:rsid w:val="00E26949"/>
    <w:rsid w:val="00E325E4"/>
    <w:rsid w:val="00E3586A"/>
    <w:rsid w:val="00E453E2"/>
    <w:rsid w:val="00E45A02"/>
    <w:rsid w:val="00E46502"/>
    <w:rsid w:val="00E51B1D"/>
    <w:rsid w:val="00E5366D"/>
    <w:rsid w:val="00E72426"/>
    <w:rsid w:val="00E740E6"/>
    <w:rsid w:val="00E804F3"/>
    <w:rsid w:val="00E84E3F"/>
    <w:rsid w:val="00E87381"/>
    <w:rsid w:val="00E954F7"/>
    <w:rsid w:val="00EB19C0"/>
    <w:rsid w:val="00EB5E93"/>
    <w:rsid w:val="00ED107E"/>
    <w:rsid w:val="00ED3158"/>
    <w:rsid w:val="00ED359C"/>
    <w:rsid w:val="00ED3985"/>
    <w:rsid w:val="00ED3AA2"/>
    <w:rsid w:val="00ED4EB4"/>
    <w:rsid w:val="00ED55F2"/>
    <w:rsid w:val="00EE40C2"/>
    <w:rsid w:val="00EF0D68"/>
    <w:rsid w:val="00EF3025"/>
    <w:rsid w:val="00EF5B16"/>
    <w:rsid w:val="00EF67BC"/>
    <w:rsid w:val="00EF6D03"/>
    <w:rsid w:val="00F0684D"/>
    <w:rsid w:val="00F10058"/>
    <w:rsid w:val="00F10615"/>
    <w:rsid w:val="00F11752"/>
    <w:rsid w:val="00F20265"/>
    <w:rsid w:val="00F20DE0"/>
    <w:rsid w:val="00F22754"/>
    <w:rsid w:val="00F23173"/>
    <w:rsid w:val="00F256AA"/>
    <w:rsid w:val="00F25B6E"/>
    <w:rsid w:val="00F27360"/>
    <w:rsid w:val="00F320B0"/>
    <w:rsid w:val="00F32D41"/>
    <w:rsid w:val="00F501BA"/>
    <w:rsid w:val="00F528C6"/>
    <w:rsid w:val="00F54F00"/>
    <w:rsid w:val="00F571C6"/>
    <w:rsid w:val="00F60706"/>
    <w:rsid w:val="00F615E4"/>
    <w:rsid w:val="00F61B69"/>
    <w:rsid w:val="00F71696"/>
    <w:rsid w:val="00F74A0E"/>
    <w:rsid w:val="00F760D1"/>
    <w:rsid w:val="00F90187"/>
    <w:rsid w:val="00F9176B"/>
    <w:rsid w:val="00F953D8"/>
    <w:rsid w:val="00FA315A"/>
    <w:rsid w:val="00FB1AD3"/>
    <w:rsid w:val="00FB4B72"/>
    <w:rsid w:val="00FB61BA"/>
    <w:rsid w:val="00FB6A10"/>
    <w:rsid w:val="00FB71F3"/>
    <w:rsid w:val="00FC687E"/>
    <w:rsid w:val="00FD3539"/>
    <w:rsid w:val="00FE32F9"/>
    <w:rsid w:val="00FE52C6"/>
    <w:rsid w:val="00FF152B"/>
    <w:rsid w:val="00FF15CD"/>
    <w:rsid w:val="00FF2970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2862E43"/>
  <w15:docId w15:val="{41E4D7E1-3B9C-46C0-8752-E365428B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644"/>
    <w:pPr>
      <w:jc w:val="both"/>
    </w:pPr>
    <w:rPr>
      <w:rFonts w:ascii="Tms Rmn" w:hAnsi="Tms Rm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D62EB"/>
    <w:pPr>
      <w:keepNext/>
      <w:numPr>
        <w:numId w:val="2"/>
      </w:numPr>
      <w:spacing w:before="480" w:after="240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2D62EB"/>
    <w:pPr>
      <w:numPr>
        <w:ilvl w:val="1"/>
      </w:numPr>
      <w:spacing w:before="360" w:after="120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2D62EB"/>
    <w:pPr>
      <w:numPr>
        <w:ilvl w:val="2"/>
      </w:numPr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2D62EB"/>
    <w:pPr>
      <w:numPr>
        <w:ilvl w:val="3"/>
      </w:numPr>
      <w:spacing w:before="240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2D62EB"/>
    <w:pPr>
      <w:numPr>
        <w:ilvl w:val="4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link w:val="En-tteCar"/>
    <w:uiPriority w:val="99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link w:val="NotedebasdepageCar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2D62EB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2D62EB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2D62E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2D62EB"/>
    <w:rPr>
      <w:i/>
      <w:iCs/>
    </w:rPr>
  </w:style>
  <w:style w:type="paragraph" w:styleId="Paragraphedeliste">
    <w:name w:val="List Paragraph"/>
    <w:basedOn w:val="Normal"/>
    <w:link w:val="ParagraphedelisteCar"/>
    <w:uiPriority w:val="34"/>
    <w:qFormat/>
    <w:rsid w:val="00671644"/>
    <w:pPr>
      <w:ind w:left="720"/>
      <w:contextualSpacing/>
    </w:pPr>
    <w:rPr>
      <w:rFonts w:ascii="Times New Roman" w:hAnsi="Times New Roman"/>
      <w:sz w:val="22"/>
    </w:rPr>
  </w:style>
  <w:style w:type="paragraph" w:styleId="Textedebulles">
    <w:name w:val="Balloon Text"/>
    <w:basedOn w:val="Normal"/>
    <w:link w:val="TextedebullesCar"/>
    <w:rsid w:val="00DF06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0643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E40C2"/>
    <w:rPr>
      <w:rFonts w:ascii="Arial" w:hAnsi="Arial"/>
      <w:sz w:val="18"/>
    </w:rPr>
  </w:style>
  <w:style w:type="character" w:customStyle="1" w:styleId="NotedebasdepageCar">
    <w:name w:val="Note de bas de page Car"/>
    <w:basedOn w:val="Policepardfaut"/>
    <w:link w:val="Notedebasdepage"/>
    <w:semiHidden/>
    <w:rsid w:val="00FA315A"/>
    <w:rPr>
      <w:rFonts w:ascii="Tms Rmn" w:hAnsi="Tms Rmn"/>
      <w:sz w:val="16"/>
    </w:rPr>
  </w:style>
  <w:style w:type="character" w:styleId="Marquedecommentaire">
    <w:name w:val="annotation reference"/>
    <w:basedOn w:val="Policepardfaut"/>
    <w:uiPriority w:val="99"/>
    <w:rsid w:val="00661D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61D3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61D3B"/>
    <w:rPr>
      <w:rFonts w:ascii="Tms Rmn" w:hAnsi="Tms Rmn"/>
    </w:rPr>
  </w:style>
  <w:style w:type="paragraph" w:styleId="Objetducommentaire">
    <w:name w:val="annotation subject"/>
    <w:basedOn w:val="Commentaire"/>
    <w:next w:val="Commentaire"/>
    <w:link w:val="ObjetducommentaireCar"/>
    <w:rsid w:val="00661D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61D3B"/>
    <w:rPr>
      <w:rFonts w:ascii="Tms Rmn" w:hAnsi="Tms Rmn"/>
      <w:b/>
      <w:bCs/>
    </w:rPr>
  </w:style>
  <w:style w:type="character" w:customStyle="1" w:styleId="En-tteCar">
    <w:name w:val="En-tête Car"/>
    <w:basedOn w:val="Policepardfaut"/>
    <w:link w:val="En-tte"/>
    <w:uiPriority w:val="99"/>
    <w:rsid w:val="00715715"/>
    <w:rPr>
      <w:rFonts w:ascii="Tms Rmn" w:hAnsi="Tms Rmn"/>
      <w:sz w:val="18"/>
    </w:rPr>
  </w:style>
  <w:style w:type="paragraph" w:styleId="Rvision">
    <w:name w:val="Revision"/>
    <w:hidden/>
    <w:uiPriority w:val="99"/>
    <w:semiHidden/>
    <w:rsid w:val="00002E02"/>
    <w:rPr>
      <w:rFonts w:ascii="Tms Rmn" w:hAnsi="Tms Rmn"/>
      <w:sz w:val="24"/>
    </w:rPr>
  </w:style>
  <w:style w:type="character" w:styleId="Lienhypertexte">
    <w:name w:val="Hyperlink"/>
    <w:basedOn w:val="Policepardfaut"/>
    <w:unhideWhenUsed/>
    <w:rsid w:val="005659F3"/>
    <w:rPr>
      <w:color w:val="0000FF" w:themeColor="hyperlink"/>
      <w:u w:val="single"/>
    </w:rPr>
  </w:style>
  <w:style w:type="character" w:customStyle="1" w:styleId="Titre1Car">
    <w:name w:val="Titre 1 Car"/>
    <w:link w:val="Titre1"/>
    <w:uiPriority w:val="9"/>
    <w:rsid w:val="008C482A"/>
    <w:rPr>
      <w:rFonts w:ascii="Arial" w:hAnsi="Arial"/>
      <w:b/>
      <w:sz w:val="36"/>
    </w:rPr>
  </w:style>
  <w:style w:type="paragraph" w:customStyle="1" w:styleId="footnotedescription">
    <w:name w:val="footnote description"/>
    <w:next w:val="Normal"/>
    <w:link w:val="footnotedescriptionChar"/>
    <w:hidden/>
    <w:rsid w:val="008C482A"/>
    <w:pPr>
      <w:spacing w:line="259" w:lineRule="auto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8C482A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8C482A"/>
    <w:rPr>
      <w:rFonts w:ascii="Verdana" w:eastAsia="Verdana" w:hAnsi="Verdana" w:cs="Verdana"/>
      <w:color w:val="000000"/>
      <w:sz w:val="16"/>
      <w:vertAlign w:val="superscript"/>
    </w:rPr>
  </w:style>
  <w:style w:type="table" w:customStyle="1" w:styleId="TableGrid">
    <w:name w:val="TableGrid"/>
    <w:rsid w:val="008C482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501BA"/>
    <w:rPr>
      <w:sz w:val="22"/>
    </w:rPr>
  </w:style>
  <w:style w:type="character" w:styleId="Lienhypertextesuivivisit">
    <w:name w:val="FollowedHyperlink"/>
    <w:basedOn w:val="Policepardfaut"/>
    <w:semiHidden/>
    <w:unhideWhenUsed/>
    <w:rsid w:val="009406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F0D3-8E83-4B51-9B30-49BECC9E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Magali TERZIMAN</dc:creator>
  <cp:lastModifiedBy>LEITE Mariam (UA 2782)</cp:lastModifiedBy>
  <cp:revision>2</cp:revision>
  <cp:lastPrinted>2011-10-11T07:57:00Z</cp:lastPrinted>
  <dcterms:created xsi:type="dcterms:W3CDTF">2020-07-16T10:04:00Z</dcterms:created>
  <dcterms:modified xsi:type="dcterms:W3CDTF">2020-07-16T10:04:00Z</dcterms:modified>
</cp:coreProperties>
</file>