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F" w:rsidRDefault="00EA5EFF" w:rsidP="0063328B">
      <w:pPr>
        <w:spacing w:line="240" w:lineRule="auto"/>
        <w:rPr>
          <w:rFonts w:ascii="Arial" w:eastAsia="Times New Roman" w:hAnsi="Arial" w:cs="Arial"/>
          <w:b/>
          <w:color w:val="1F497D" w:themeColor="text2"/>
          <w:u w:val="single"/>
          <w:lang w:eastAsia="fr-FR"/>
        </w:rPr>
      </w:pPr>
      <w:bookmarkStart w:id="0" w:name="_GoBack"/>
      <w:bookmarkEnd w:id="0"/>
    </w:p>
    <w:p w:rsidR="00EA5EFF" w:rsidRDefault="00EA5EFF" w:rsidP="00437192">
      <w:pPr>
        <w:spacing w:line="240" w:lineRule="auto"/>
        <w:jc w:val="both"/>
        <w:rPr>
          <w:rFonts w:ascii="Arial" w:eastAsia="Times New Roman" w:hAnsi="Arial" w:cs="Arial"/>
          <w:b/>
          <w:color w:val="1F497D" w:themeColor="text2"/>
          <w:u w:val="single"/>
          <w:lang w:eastAsia="fr-FR"/>
        </w:rPr>
      </w:pPr>
    </w:p>
    <w:p w:rsidR="00437192" w:rsidRDefault="00A23BCD" w:rsidP="00437192">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1312" behindDoc="0" locked="0" layoutInCell="1" allowOverlap="1" wp14:anchorId="2CC44E56" wp14:editId="01FE10B0">
            <wp:simplePos x="0" y="0"/>
            <wp:positionH relativeFrom="column">
              <wp:posOffset>-523875</wp:posOffset>
            </wp:positionH>
            <wp:positionV relativeFrom="paragraph">
              <wp:posOffset>-606425</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192" w:rsidRDefault="00437192" w:rsidP="00437192">
      <w:pPr>
        <w:spacing w:line="240" w:lineRule="auto"/>
        <w:jc w:val="both"/>
        <w:rPr>
          <w:rFonts w:ascii="Arial" w:eastAsia="Times New Roman" w:hAnsi="Arial" w:cs="Arial"/>
          <w:b/>
          <w:color w:val="1F497D" w:themeColor="text2"/>
          <w:u w:val="single"/>
          <w:lang w:eastAsia="fr-FR"/>
        </w:rPr>
      </w:pPr>
    </w:p>
    <w:p w:rsidR="00437192" w:rsidRDefault="00437192" w:rsidP="00437192">
      <w:pPr>
        <w:spacing w:line="240" w:lineRule="auto"/>
        <w:jc w:val="both"/>
        <w:rPr>
          <w:rFonts w:ascii="Arial" w:eastAsia="Times New Roman" w:hAnsi="Arial" w:cs="Arial"/>
          <w:b/>
          <w:color w:val="1F497D" w:themeColor="text2"/>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0AD2E271" wp14:editId="5745CCDD">
                <wp:simplePos x="0" y="0"/>
                <wp:positionH relativeFrom="margin">
                  <wp:posOffset>509270</wp:posOffset>
                </wp:positionH>
                <wp:positionV relativeFrom="margin">
                  <wp:posOffset>748030</wp:posOffset>
                </wp:positionV>
                <wp:extent cx="4867275" cy="746125"/>
                <wp:effectExtent l="38100" t="38100" r="142875" b="1085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 xml:space="preserve">Formulaire de </w:t>
                            </w:r>
                            <w:r w:rsidR="00BF7B55">
                              <w:rPr>
                                <w:b/>
                                <w:color w:val="1F497D" w:themeColor="text2"/>
                                <w:sz w:val="32"/>
                                <w:szCs w:val="32"/>
                              </w:rPr>
                              <w:t>déclaration</w:t>
                            </w:r>
                          </w:p>
                          <w:p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Exemption d’agrément </w:t>
                            </w:r>
                          </w:p>
                          <w:p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d’établissement </w:t>
                            </w:r>
                            <w:r w:rsidR="00E867A3" w:rsidRPr="00E867A3">
                              <w:rPr>
                                <w:b/>
                                <w:color w:val="1F497D" w:themeColor="text2"/>
                                <w:sz w:val="36"/>
                                <w:szCs w:val="40"/>
                              </w:rPr>
                              <w:t>de monnaie électronique</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sidR="00E867A3">
                              <w:rPr>
                                <w:b/>
                                <w:i/>
                                <w:color w:val="1F497D" w:themeColor="text2"/>
                                <w:sz w:val="28"/>
                                <w:szCs w:val="28"/>
                              </w:rPr>
                              <w:t>5</w:t>
                            </w:r>
                            <w:r w:rsidRPr="002A75B9">
                              <w:rPr>
                                <w:b/>
                                <w:i/>
                                <w:color w:val="1F497D" w:themeColor="text2"/>
                                <w:sz w:val="28"/>
                                <w:szCs w:val="28"/>
                              </w:rPr>
                              <w:t>-</w:t>
                            </w:r>
                            <w:r w:rsidR="00E867A3">
                              <w:rPr>
                                <w:b/>
                                <w:i/>
                                <w:color w:val="1F497D" w:themeColor="text2"/>
                                <w:sz w:val="28"/>
                                <w:szCs w:val="28"/>
                              </w:rPr>
                              <w:t>5</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0.1pt;margin-top:58.9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 xml:space="preserve">Formulaire de </w:t>
                      </w:r>
                      <w:r w:rsidR="00BF7B55">
                        <w:rPr>
                          <w:b/>
                          <w:color w:val="1F497D" w:themeColor="text2"/>
                          <w:sz w:val="32"/>
                          <w:szCs w:val="32"/>
                        </w:rPr>
                        <w:t>déclaration</w:t>
                      </w:r>
                    </w:p>
                    <w:p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Exemption d’agrément </w:t>
                      </w:r>
                    </w:p>
                    <w:p w:rsidR="00437192" w:rsidRPr="00E867A3" w:rsidRDefault="00437192" w:rsidP="00437192">
                      <w:pPr>
                        <w:ind w:left="-2268" w:firstLine="2268"/>
                        <w:jc w:val="center"/>
                        <w:rPr>
                          <w:b/>
                          <w:color w:val="1F497D" w:themeColor="text2"/>
                          <w:sz w:val="36"/>
                          <w:szCs w:val="40"/>
                        </w:rPr>
                      </w:pPr>
                      <w:proofErr w:type="gramStart"/>
                      <w:r w:rsidRPr="00E867A3">
                        <w:rPr>
                          <w:b/>
                          <w:color w:val="1F497D" w:themeColor="text2"/>
                          <w:sz w:val="36"/>
                          <w:szCs w:val="40"/>
                        </w:rPr>
                        <w:t>d’établissement</w:t>
                      </w:r>
                      <w:proofErr w:type="gramEnd"/>
                      <w:r w:rsidRPr="00E867A3">
                        <w:rPr>
                          <w:b/>
                          <w:color w:val="1F497D" w:themeColor="text2"/>
                          <w:sz w:val="36"/>
                          <w:szCs w:val="40"/>
                        </w:rPr>
                        <w:t xml:space="preserve"> </w:t>
                      </w:r>
                      <w:r w:rsidR="00E867A3" w:rsidRPr="00E867A3">
                        <w:rPr>
                          <w:b/>
                          <w:color w:val="1F497D" w:themeColor="text2"/>
                          <w:sz w:val="36"/>
                          <w:szCs w:val="40"/>
                        </w:rPr>
                        <w:t>de monnaie électronique</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sidR="00E867A3">
                        <w:rPr>
                          <w:b/>
                          <w:i/>
                          <w:color w:val="1F497D" w:themeColor="text2"/>
                          <w:sz w:val="28"/>
                          <w:szCs w:val="28"/>
                        </w:rPr>
                        <w:t>5</w:t>
                      </w:r>
                      <w:r w:rsidRPr="002A75B9">
                        <w:rPr>
                          <w:b/>
                          <w:i/>
                          <w:color w:val="1F497D" w:themeColor="text2"/>
                          <w:sz w:val="28"/>
                          <w:szCs w:val="28"/>
                        </w:rPr>
                        <w:t>-</w:t>
                      </w:r>
                      <w:r w:rsidR="00E867A3">
                        <w:rPr>
                          <w:b/>
                          <w:i/>
                          <w:color w:val="1F497D" w:themeColor="text2"/>
                          <w:sz w:val="28"/>
                          <w:szCs w:val="28"/>
                        </w:rPr>
                        <w:t>5</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563425" w:rsidRDefault="00315E00" w:rsidP="00315E00">
      <w:pPr>
        <w:spacing w:line="240" w:lineRule="auto"/>
        <w:jc w:val="both"/>
        <w:rPr>
          <w:rFonts w:ascii="Arial" w:eastAsia="Times New Roman" w:hAnsi="Arial" w:cs="Arial"/>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437192" w:rsidRDefault="00437192" w:rsidP="00315E00">
      <w:pPr>
        <w:spacing w:line="240" w:lineRule="auto"/>
        <w:jc w:val="both"/>
        <w:rPr>
          <w:rFonts w:ascii="Arial" w:eastAsia="Times New Roman" w:hAnsi="Arial" w:cs="Arial"/>
          <w:b/>
          <w:color w:val="1F497D" w:themeColor="text2"/>
          <w:lang w:eastAsia="fr-FR"/>
        </w:rPr>
      </w:pPr>
    </w:p>
    <w:p w:rsidR="00EA5EFF" w:rsidRDefault="00EA5EF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276DCB" w:rsidRPr="00BD006B">
        <w:rPr>
          <w:rFonts w:ascii="Arial" w:eastAsia="Times New Roman" w:hAnsi="Arial" w:cs="Arial"/>
          <w:b/>
          <w:color w:val="1F497D" w:themeColor="text2"/>
          <w:lang w:eastAsia="fr-FR"/>
        </w:rPr>
        <w:t xml:space="preserve">à </w:t>
      </w:r>
      <w:r w:rsidR="004A4685">
        <w:rPr>
          <w:rFonts w:ascii="Arial" w:eastAsia="Times New Roman" w:hAnsi="Arial" w:cs="Arial"/>
          <w:b/>
          <w:color w:val="1F497D" w:themeColor="text2"/>
          <w:lang w:eastAsia="fr-FR"/>
        </w:rPr>
        <w:t>l'article L. 52</w:t>
      </w:r>
      <w:r w:rsidR="00E867A3">
        <w:rPr>
          <w:rFonts w:ascii="Arial" w:eastAsia="Times New Roman" w:hAnsi="Arial" w:cs="Arial"/>
          <w:b/>
          <w:color w:val="1F497D" w:themeColor="text2"/>
          <w:lang w:eastAsia="fr-FR"/>
        </w:rPr>
        <w:t>5-5</w:t>
      </w:r>
      <w:r w:rsidRPr="00BD006B">
        <w:rPr>
          <w:rFonts w:ascii="Arial" w:eastAsia="Times New Roman" w:hAnsi="Arial" w:cs="Arial"/>
          <w:b/>
          <w:color w:val="1F497D" w:themeColor="text2"/>
          <w:lang w:eastAsia="fr-FR"/>
        </w:rPr>
        <w:t xml:space="preserve"> du Code monétaire et financier.</w:t>
      </w:r>
    </w:p>
    <w:p w:rsidR="00ED5DE5" w:rsidRDefault="00ED5DE5" w:rsidP="00ED5DE5">
      <w:pPr>
        <w:pStyle w:val="Corpsdetexte2"/>
      </w:pPr>
    </w:p>
    <w:p w:rsidR="00ED5DE5" w:rsidRPr="00ED5DE5" w:rsidRDefault="00ED5DE5" w:rsidP="00ED5DE5">
      <w:pPr>
        <w:pStyle w:val="Corpsdetexte2"/>
        <w:rPr>
          <w:rFonts w:eastAsia="Times New Roman"/>
          <w:b/>
          <w:color w:val="1F497D" w:themeColor="text2"/>
          <w:sz w:val="22"/>
          <w:szCs w:val="22"/>
          <w:lang w:eastAsia="fr-FR"/>
        </w:rPr>
      </w:pPr>
      <w:r w:rsidRPr="00ED5DE5">
        <w:rPr>
          <w:rFonts w:eastAsia="Times New Roman"/>
          <w:b/>
          <w:color w:val="1F497D" w:themeColor="text2"/>
          <w:sz w:val="22"/>
          <w:szCs w:val="22"/>
          <w:lang w:eastAsia="fr-FR"/>
        </w:rPr>
        <w:t>Seules les entreprises</w:t>
      </w:r>
      <w:r w:rsidR="00D67FC2">
        <w:rPr>
          <w:rFonts w:eastAsia="Times New Roman"/>
          <w:b/>
          <w:color w:val="1F497D" w:themeColor="text2"/>
          <w:sz w:val="22"/>
          <w:szCs w:val="22"/>
          <w:lang w:eastAsia="fr-FR"/>
        </w:rPr>
        <w:t>,</w:t>
      </w:r>
      <w:r w:rsidRPr="00ED5DE5">
        <w:rPr>
          <w:rFonts w:eastAsia="Times New Roman"/>
          <w:b/>
          <w:color w:val="1F497D" w:themeColor="text2"/>
          <w:sz w:val="22"/>
          <w:szCs w:val="22"/>
          <w:lang w:eastAsia="fr-FR"/>
        </w:rPr>
        <w:t xml:space="preserve"> mentionné</w:t>
      </w:r>
      <w:r w:rsidR="00D67FC2">
        <w:rPr>
          <w:rFonts w:eastAsia="Times New Roman"/>
          <w:b/>
          <w:color w:val="1F497D" w:themeColor="text2"/>
          <w:sz w:val="22"/>
          <w:szCs w:val="22"/>
          <w:lang w:eastAsia="fr-FR"/>
        </w:rPr>
        <w:t>e</w:t>
      </w:r>
      <w:r w:rsidRPr="00ED5DE5">
        <w:rPr>
          <w:rFonts w:eastAsia="Times New Roman"/>
          <w:b/>
          <w:color w:val="1F497D" w:themeColor="text2"/>
          <w:sz w:val="22"/>
          <w:szCs w:val="22"/>
          <w:lang w:eastAsia="fr-FR"/>
        </w:rPr>
        <w:t>s à l’article précité</w:t>
      </w:r>
      <w:r w:rsidR="00D67FC2">
        <w:rPr>
          <w:rFonts w:eastAsia="Times New Roman"/>
          <w:b/>
          <w:color w:val="1F497D" w:themeColor="text2"/>
          <w:sz w:val="22"/>
          <w:szCs w:val="22"/>
          <w:lang w:eastAsia="fr-FR"/>
        </w:rPr>
        <w:t>,</w:t>
      </w:r>
      <w:r w:rsidR="00E867A3">
        <w:rPr>
          <w:rFonts w:eastAsia="Times New Roman"/>
          <w:b/>
          <w:color w:val="1F497D" w:themeColor="text2"/>
          <w:sz w:val="22"/>
          <w:szCs w:val="22"/>
          <w:lang w:eastAsia="fr-FR"/>
        </w:rPr>
        <w:t xml:space="preserve"> dont la valeur de la monnaie électronique en circulation</w:t>
      </w:r>
      <w:r w:rsidRPr="00ED5DE5">
        <w:rPr>
          <w:rFonts w:eastAsia="Times New Roman"/>
          <w:b/>
          <w:color w:val="1F497D" w:themeColor="text2"/>
          <w:sz w:val="22"/>
          <w:szCs w:val="22"/>
          <w:lang w:eastAsia="fr-FR"/>
        </w:rPr>
        <w:t xml:space="preserve"> dépasse un million d'euros, adresse une déclaration à </w:t>
      </w:r>
      <w:r>
        <w:rPr>
          <w:rFonts w:eastAsia="Times New Roman"/>
          <w:b/>
          <w:color w:val="1F497D" w:themeColor="text2"/>
          <w:sz w:val="22"/>
          <w:szCs w:val="22"/>
          <w:lang w:eastAsia="fr-FR"/>
        </w:rPr>
        <w:t>l’ACPR.</w:t>
      </w:r>
    </w:p>
    <w:p w:rsidR="0003038E" w:rsidRDefault="0003038E" w:rsidP="00315E00">
      <w:pPr>
        <w:spacing w:line="240" w:lineRule="auto"/>
        <w:jc w:val="both"/>
        <w:rPr>
          <w:rFonts w:ascii="Arial" w:hAnsi="Arial" w:cs="Arial"/>
          <w:sz w:val="20"/>
        </w:rPr>
      </w:pPr>
    </w:p>
    <w:p w:rsidR="001377EB" w:rsidRPr="00BD006B" w:rsidRDefault="001377EB" w:rsidP="001377EB">
      <w:pPr>
        <w:spacing w:line="240" w:lineRule="auto"/>
        <w:jc w:val="both"/>
        <w:rPr>
          <w:rFonts w:ascii="Arial" w:eastAsia="Times New Roman" w:hAnsi="Arial" w:cs="Arial"/>
          <w:b/>
          <w:color w:val="1F497D" w:themeColor="text2"/>
          <w:lang w:eastAsia="fr-FR"/>
        </w:rPr>
      </w:pPr>
    </w:p>
    <w:p w:rsidR="001377EB" w:rsidRPr="00563425"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B1A12" w:rsidRDefault="009B1A12"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r w:rsidRPr="006F6391">
        <w:rPr>
          <w:rFonts w:ascii="Arial" w:hAnsi="Arial" w:cs="Arial"/>
        </w:rPr>
        <w:t>Le formulaire et les documents complémentaires, dûment remplis et signés, sont à adresser sous format électronique à l’Autorité de contrôle prudentiel et de résolution en les déposant sur le portail Autorisations à l’adresse:</w:t>
      </w:r>
    </w:p>
    <w:p w:rsidR="009B1A12" w:rsidRDefault="009B1A12"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p>
    <w:p w:rsidR="009B1A12" w:rsidRDefault="009B1A12"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0"/>
        </w:rPr>
      </w:pPr>
      <w:hyperlink r:id="rId10" w:history="1">
        <w:r w:rsidRPr="00466FBD">
          <w:rPr>
            <w:rFonts w:ascii="Arial" w:hAnsi="Arial"/>
          </w:rPr>
          <w:t>https://acpr-autorisations.banque-france.fr/</w:t>
        </w:r>
      </w:hyperlink>
    </w:p>
    <w:p w:rsidR="00BF7B55" w:rsidRDefault="00BF7B55" w:rsidP="00105981">
      <w:pPr>
        <w:spacing w:after="200"/>
        <w:rPr>
          <w:rFonts w:ascii="Arial" w:eastAsia="Times New Roman" w:hAnsi="Arial" w:cs="Arial"/>
          <w:b/>
          <w:sz w:val="20"/>
          <w:szCs w:val="20"/>
          <w:lang w:eastAsia="fr-FR"/>
        </w:rPr>
      </w:pPr>
    </w:p>
    <w:p w:rsidR="0086353E" w:rsidRPr="00105981" w:rsidRDefault="00BF7B55" w:rsidP="00BF7B55">
      <w:pPr>
        <w:spacing w:after="200"/>
        <w:jc w:val="both"/>
        <w:rPr>
          <w:rFonts w:ascii="Arial" w:eastAsia="Times New Roman" w:hAnsi="Arial" w:cs="Arial"/>
          <w:b/>
          <w:color w:val="1F497D" w:themeColor="text2"/>
          <w:sz w:val="24"/>
          <w:szCs w:val="24"/>
          <w:lang w:eastAsia="fr-FR"/>
        </w:rPr>
      </w:pPr>
      <w:r w:rsidRPr="00960CF1">
        <w:rPr>
          <w:rFonts w:ascii="Arial" w:eastAsia="Times New Roman" w:hAnsi="Arial" w:cs="Arial"/>
          <w:b/>
          <w:sz w:val="20"/>
          <w:szCs w:val="20"/>
          <w:lang w:eastAsia="fr-FR"/>
        </w:rPr>
        <w:t xml:space="preserve">Point d’attention : </w:t>
      </w:r>
      <w:r>
        <w:rPr>
          <w:rFonts w:ascii="Arial" w:eastAsia="Times New Roman" w:hAnsi="Arial" w:cs="Arial"/>
          <w:b/>
          <w:sz w:val="20"/>
          <w:szCs w:val="20"/>
          <w:lang w:eastAsia="fr-FR"/>
        </w:rPr>
        <w:t>C</w:t>
      </w:r>
      <w:r w:rsidRPr="00960CF1">
        <w:rPr>
          <w:rFonts w:ascii="Arial" w:eastAsia="Times New Roman" w:hAnsi="Arial" w:cs="Arial"/>
          <w:b/>
          <w:sz w:val="20"/>
          <w:szCs w:val="20"/>
          <w:lang w:eastAsia="fr-FR"/>
        </w:rPr>
        <w:t>onformément aux dispositions de l’article L. 52</w:t>
      </w:r>
      <w:r w:rsidR="00E74F71">
        <w:rPr>
          <w:rFonts w:ascii="Arial" w:eastAsia="Times New Roman" w:hAnsi="Arial" w:cs="Arial"/>
          <w:b/>
          <w:sz w:val="20"/>
          <w:szCs w:val="20"/>
          <w:lang w:eastAsia="fr-FR"/>
        </w:rPr>
        <w:t>5-6</w:t>
      </w:r>
      <w:r w:rsidRPr="00960CF1">
        <w:rPr>
          <w:rFonts w:ascii="Arial" w:eastAsia="Times New Roman" w:hAnsi="Arial" w:cs="Arial"/>
          <w:b/>
          <w:sz w:val="20"/>
          <w:szCs w:val="20"/>
          <w:lang w:eastAsia="fr-FR"/>
        </w:rPr>
        <w:t xml:space="preserve"> du Code monétaire et financier</w:t>
      </w:r>
      <w:r>
        <w:rPr>
          <w:rFonts w:ascii="Arial" w:eastAsia="Times New Roman" w:hAnsi="Arial" w:cs="Arial"/>
          <w:b/>
          <w:sz w:val="20"/>
          <w:szCs w:val="20"/>
          <w:lang w:eastAsia="fr-FR"/>
        </w:rPr>
        <w:t xml:space="preserve"> et à</w:t>
      </w:r>
      <w:r w:rsidRPr="00960CF1">
        <w:rPr>
          <w:rFonts w:ascii="Arial" w:eastAsia="Times New Roman" w:hAnsi="Arial" w:cs="Arial"/>
          <w:b/>
          <w:sz w:val="20"/>
          <w:szCs w:val="20"/>
          <w:lang w:eastAsia="fr-FR"/>
        </w:rPr>
        <w:t xml:space="preserve"> la position 2017-P-01 de l’ACPR</w:t>
      </w:r>
      <w:r>
        <w:rPr>
          <w:rFonts w:ascii="Arial" w:eastAsia="Times New Roman" w:hAnsi="Arial" w:cs="Arial"/>
          <w:b/>
          <w:sz w:val="20"/>
          <w:szCs w:val="20"/>
          <w:lang w:eastAsia="fr-FR"/>
        </w:rPr>
        <w:t>, le demandeur</w:t>
      </w:r>
      <w:r w:rsidRPr="00960CF1">
        <w:rPr>
          <w:rFonts w:ascii="Arial" w:eastAsia="Times New Roman" w:hAnsi="Arial" w:cs="Arial"/>
          <w:b/>
          <w:sz w:val="20"/>
          <w:szCs w:val="20"/>
          <w:lang w:eastAsia="fr-FR"/>
        </w:rPr>
        <w:t xml:space="preserve"> sera soumis à l’</w:t>
      </w:r>
      <w:r>
        <w:rPr>
          <w:rFonts w:ascii="Arial" w:eastAsia="Times New Roman" w:hAnsi="Arial" w:cs="Arial"/>
          <w:b/>
          <w:sz w:val="20"/>
          <w:szCs w:val="20"/>
          <w:lang w:eastAsia="fr-FR"/>
        </w:rPr>
        <w:t xml:space="preserve">obligation </w:t>
      </w:r>
      <w:r w:rsidRPr="00960CF1">
        <w:rPr>
          <w:rFonts w:ascii="Arial" w:eastAsia="Times New Roman" w:hAnsi="Arial" w:cs="Arial"/>
          <w:b/>
          <w:sz w:val="20"/>
          <w:szCs w:val="20"/>
          <w:lang w:eastAsia="fr-FR"/>
        </w:rPr>
        <w:t>d’adresser</w:t>
      </w:r>
      <w:r>
        <w:rPr>
          <w:rFonts w:ascii="Arial" w:eastAsia="Times New Roman" w:hAnsi="Arial" w:cs="Arial"/>
          <w:b/>
          <w:sz w:val="20"/>
          <w:szCs w:val="20"/>
          <w:lang w:eastAsia="fr-FR"/>
        </w:rPr>
        <w:t xml:space="preserve">, au plus tard le 30 juin chaque année,  à l’Autorité de contrôle prudentiel et de résolution, qui le transmettra à la Banque de France, une </w:t>
      </w:r>
      <w:r w:rsidR="00500FF0">
        <w:rPr>
          <w:rFonts w:ascii="Arial" w:eastAsia="Times New Roman" w:hAnsi="Arial" w:cs="Arial"/>
          <w:b/>
          <w:sz w:val="20"/>
          <w:szCs w:val="20"/>
          <w:lang w:eastAsia="fr-FR"/>
        </w:rPr>
        <w:t xml:space="preserve">actualisation de la </w:t>
      </w:r>
      <w:r>
        <w:rPr>
          <w:rFonts w:ascii="Arial" w:eastAsia="Times New Roman" w:hAnsi="Arial" w:cs="Arial"/>
          <w:b/>
          <w:sz w:val="20"/>
          <w:szCs w:val="20"/>
          <w:lang w:eastAsia="fr-FR"/>
        </w:rPr>
        <w:t>déclaration justifiant le respect des dispositions liées à son exemption d’agrément et la sécurité des moyens de paiement émis et gérés.</w:t>
      </w:r>
      <w:r w:rsidR="00C60C85">
        <w:rPr>
          <w:rFonts w:ascii="Arial" w:eastAsia="Times New Roman" w:hAnsi="Arial" w:cs="Arial"/>
          <w:b/>
          <w:color w:val="1F497D" w:themeColor="text2"/>
          <w:sz w:val="24"/>
          <w:szCs w:val="24"/>
          <w:lang w:eastAsia="fr-FR"/>
        </w:rPr>
        <w:br w:type="page"/>
      </w: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437192"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b/>
          <w:color w:val="1F497D" w:themeColor="text2"/>
          <w:sz w:val="24"/>
          <w:szCs w:val="24"/>
          <w:lang w:eastAsia="fr-FR"/>
        </w:rPr>
      </w:pP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437192" w:rsidRPr="00610094" w:rsidRDefault="00437192" w:rsidP="00437192">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437192" w:rsidRPr="00610094" w:rsidTr="00BA7862">
        <w:trPr>
          <w:gridAfter w:val="2"/>
          <w:wAfter w:w="8330" w:type="dxa"/>
        </w:trPr>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437192" w:rsidRPr="00610094" w:rsidTr="00BA7862">
        <w:trPr>
          <w:trHeight w:val="80"/>
        </w:trPr>
        <w:tc>
          <w:tcPr>
            <w:tcW w:w="7338" w:type="dxa"/>
            <w:gridSpan w:val="3"/>
            <w:shd w:val="clear" w:color="auto" w:fill="auto"/>
          </w:tcPr>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rsidR="00437192" w:rsidRPr="00610094" w:rsidRDefault="00437192"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tc>
        <w:tc>
          <w:tcPr>
            <w:tcW w:w="5495" w:type="dxa"/>
            <w:shd w:val="clear" w:color="auto" w:fill="auto"/>
          </w:tcPr>
          <w:p w:rsidR="00437192" w:rsidRPr="00610094" w:rsidRDefault="00437192" w:rsidP="00BA7862">
            <w:pPr>
              <w:spacing w:before="120" w:after="120" w:line="240" w:lineRule="auto"/>
              <w:rPr>
                <w:rFonts w:ascii="Arial" w:eastAsia="Times New Roman" w:hAnsi="Arial" w:cs="Arial"/>
                <w:sz w:val="20"/>
                <w:szCs w:val="24"/>
                <w:lang w:eastAsia="fr-FR"/>
              </w:rPr>
            </w:pPr>
          </w:p>
        </w:tc>
      </w:tr>
    </w:tbl>
    <w:p w:rsidR="00437192" w:rsidRDefault="00437192">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rsidR="009E791B" w:rsidRPr="00F16B9E" w:rsidRDefault="00437192"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w:t>
      </w:r>
      <w:r w:rsidR="009E791B">
        <w:rPr>
          <w:rFonts w:ascii="Arial" w:eastAsia="Times New Roman" w:hAnsi="Arial" w:cs="Arial"/>
          <w:b/>
          <w:color w:val="FFFFFF" w:themeColor="background1"/>
          <w:sz w:val="28"/>
          <w:szCs w:val="28"/>
          <w:lang w:eastAsia="fr-FR"/>
        </w:rPr>
        <w:t>’entreprise</w:t>
      </w:r>
    </w:p>
    <w:p w:rsidR="001C52FB" w:rsidRDefault="001C52FB" w:rsidP="009E791B">
      <w:pPr>
        <w:spacing w:after="200"/>
        <w:rPr>
          <w:rFonts w:ascii="Arial" w:eastAsia="Times New Roman" w:hAnsi="Arial" w:cs="Arial"/>
          <w:b/>
          <w:bCs/>
          <w:sz w:val="20"/>
          <w:szCs w:val="20"/>
          <w:lang w:eastAsia="fr-FR"/>
        </w:rPr>
      </w:pPr>
    </w:p>
    <w:p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n extrait Kbis</w:t>
      </w:r>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rsidTr="00F16B9E">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p>
        </w:tc>
        <w:tc>
          <w:tcPr>
            <w:tcW w:w="2126" w:type="dxa"/>
            <w:shd w:val="clear" w:color="auto" w:fill="C6D9F1" w:themeFill="text2" w:themeFillTint="33"/>
          </w:tcPr>
          <w:p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rsidTr="00AA4FE8">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rsidTr="00AA4FE8">
        <w:tc>
          <w:tcPr>
            <w:tcW w:w="1668"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rsidTr="00AA4FE8">
        <w:tc>
          <w:tcPr>
            <w:tcW w:w="1668"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rsidTr="000907A6">
        <w:tc>
          <w:tcPr>
            <w:tcW w:w="1951" w:type="dxa"/>
            <w:shd w:val="clear" w:color="auto" w:fill="auto"/>
          </w:tcPr>
          <w:p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610094" w:rsidRPr="00610094" w:rsidRDefault="00610094" w:rsidP="00610094">
      <w:pPr>
        <w:spacing w:line="240" w:lineRule="auto"/>
        <w:rPr>
          <w:rFonts w:ascii="Arial" w:eastAsia="Times New Roman" w:hAnsi="Arial" w:cs="Arial"/>
          <w:sz w:val="20"/>
          <w:szCs w:val="20"/>
          <w:lang w:eastAsia="fr-FR"/>
        </w:rPr>
      </w:pPr>
    </w:p>
    <w:p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DC07C1" w:rsidRPr="00B00A2F" w:rsidRDefault="00DC07C1" w:rsidP="000B6089">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rsidTr="00490E2C">
        <w:tc>
          <w:tcPr>
            <w:tcW w:w="1526" w:type="dxa"/>
          </w:tcPr>
          <w:p w:rsidR="00DC07C1" w:rsidRPr="00F16B9E" w:rsidRDefault="00DC07C1" w:rsidP="00490E2C">
            <w:pPr>
              <w:rPr>
                <w:rFonts w:ascii="Arial" w:hAnsi="Arial" w:cs="Arial"/>
                <w:b/>
              </w:rPr>
            </w:pPr>
          </w:p>
        </w:tc>
        <w:tc>
          <w:tcPr>
            <w:tcW w:w="2977"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DC07C1" w:rsidRDefault="00DC07C1" w:rsidP="00DC07C1">
      <w:pPr>
        <w:spacing w:line="240" w:lineRule="auto"/>
        <w:rPr>
          <w:rFonts w:ascii="Arial" w:hAnsi="Arial" w:cs="Arial"/>
          <w:b/>
          <w:color w:val="365F91" w:themeColor="accent1" w:themeShade="BF"/>
          <w:sz w:val="20"/>
          <w:szCs w:val="20"/>
        </w:rPr>
      </w:pPr>
    </w:p>
    <w:p w:rsidR="00263212" w:rsidRDefault="00263212" w:rsidP="00C06D7F">
      <w:pPr>
        <w:jc w:val="both"/>
        <w:rPr>
          <w:rFonts w:ascii="Arial" w:eastAsia="Times New Roman" w:hAnsi="Arial" w:cs="Times New Roman"/>
          <w:kern w:val="19"/>
          <w:sz w:val="19"/>
          <w:szCs w:val="19"/>
          <w:lang w:eastAsia="fr-FR" w:bidi="fr-FR"/>
        </w:rPr>
      </w:pPr>
    </w:p>
    <w:p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rsidR="009A1201" w:rsidRDefault="009A1201" w:rsidP="009A1201">
      <w:pPr>
        <w:shd w:val="clear" w:color="FFFF00" w:fill="auto"/>
        <w:spacing w:line="240" w:lineRule="auto"/>
        <w:rPr>
          <w:rFonts w:ascii="Arial" w:hAnsi="Arial" w:cs="Arial"/>
          <w:sz w:val="20"/>
        </w:rPr>
      </w:pPr>
    </w:p>
    <w:p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w:t>
      </w:r>
      <w:r w:rsidR="00437192">
        <w:rPr>
          <w:rFonts w:ascii="Arial" w:hAnsi="Arial" w:cs="Arial"/>
          <w:sz w:val="20"/>
        </w:rPr>
        <w:t xml:space="preserve"> (des)</w:t>
      </w:r>
      <w:r>
        <w:rPr>
          <w:rFonts w:ascii="Arial" w:hAnsi="Arial" w:cs="Arial"/>
          <w:sz w:val="20"/>
        </w:rPr>
        <w:t xml:space="preserve"> dirigeant</w:t>
      </w:r>
      <w:r w:rsidR="00437192">
        <w:rPr>
          <w:rFonts w:ascii="Arial" w:hAnsi="Arial" w:cs="Arial"/>
          <w:sz w:val="20"/>
        </w:rPr>
        <w:t>(s)</w:t>
      </w:r>
      <w:r w:rsidR="00623E23">
        <w:rPr>
          <w:rFonts w:ascii="Arial" w:hAnsi="Arial" w:cs="Arial"/>
          <w:sz w:val="20"/>
        </w:rPr>
        <w:t>.</w:t>
      </w:r>
    </w:p>
    <w:p w:rsidR="005D2276" w:rsidRPr="00610094" w:rsidRDefault="005D2276" w:rsidP="00276DCB">
      <w:pPr>
        <w:spacing w:line="240" w:lineRule="auto"/>
        <w:rPr>
          <w:rFonts w:ascii="Arial" w:eastAsia="Times New Roman" w:hAnsi="Arial" w:cs="Arial"/>
          <w:sz w:val="20"/>
          <w:szCs w:val="20"/>
          <w:lang w:eastAsia="fr-FR"/>
        </w:rPr>
      </w:pPr>
    </w:p>
    <w:p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rsidTr="00C36FF0">
        <w:tc>
          <w:tcPr>
            <w:tcW w:w="1951" w:type="dxa"/>
            <w:shd w:val="clear" w:color="auto" w:fill="auto"/>
          </w:tcPr>
          <w:p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rsidTr="00AA4FE8">
        <w:tc>
          <w:tcPr>
            <w:tcW w:w="1526"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2499A" w:rsidRDefault="0042499A" w:rsidP="00F9309F">
      <w:pPr>
        <w:rPr>
          <w:rFonts w:ascii="Arial" w:hAnsi="Arial" w:cs="Arial"/>
          <w:sz w:val="20"/>
          <w:szCs w:val="20"/>
        </w:rPr>
      </w:pPr>
    </w:p>
    <w:p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rsidTr="00D20BC6">
        <w:tc>
          <w:tcPr>
            <w:tcW w:w="2240" w:type="dxa"/>
            <w:shd w:val="clear" w:color="auto" w:fill="auto"/>
          </w:tcPr>
          <w:p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rsidTr="000907A6">
        <w:trPr>
          <w:trHeight w:val="463"/>
        </w:trPr>
        <w:tc>
          <w:tcPr>
            <w:tcW w:w="817" w:type="dxa"/>
            <w:shd w:val="clear" w:color="auto" w:fill="auto"/>
          </w:tcPr>
          <w:p w:rsidR="00153ED2" w:rsidRPr="002F65F1" w:rsidRDefault="00153ED2" w:rsidP="00276DCB">
            <w:pPr>
              <w:rPr>
                <w:rFonts w:ascii="Arial" w:hAnsi="Arial" w:cs="Arial"/>
                <w:sz w:val="20"/>
              </w:rPr>
            </w:pPr>
            <w:r>
              <w:rPr>
                <w:rFonts w:ascii="Arial" w:hAnsi="Arial" w:cs="Arial"/>
                <w:sz w:val="20"/>
              </w:rPr>
              <w:t>Siren</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u w:val="single"/>
        </w:rPr>
      </w:pPr>
    </w:p>
    <w:p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rsidTr="00C60C85">
        <w:tc>
          <w:tcPr>
            <w:tcW w:w="1951" w:type="dxa"/>
            <w:shd w:val="clear" w:color="auto" w:fill="auto"/>
          </w:tcPr>
          <w:p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CD54EC" w:rsidRPr="002F65F1" w:rsidRDefault="00CD54EC" w:rsidP="00276DCB">
            <w:pPr>
              <w:rPr>
                <w:rFonts w:ascii="Arial" w:hAnsi="Arial" w:cs="Arial"/>
                <w:sz w:val="20"/>
              </w:rPr>
            </w:pPr>
          </w:p>
        </w:tc>
      </w:tr>
    </w:tbl>
    <w:p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05981" w:rsidRDefault="00105981"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437192" w:rsidRDefault="00437192"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Programme d’activité</w:t>
      </w:r>
    </w:p>
    <w:p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rsidTr="009E791B">
        <w:tc>
          <w:tcPr>
            <w:tcW w:w="4503" w:type="dxa"/>
            <w:shd w:val="clear" w:color="auto" w:fill="auto"/>
          </w:tcPr>
          <w:p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3A31BA" w:rsidRDefault="003A31BA" w:rsidP="003A31BA">
      <w:pPr>
        <w:pStyle w:val="Corpsdetexte2"/>
      </w:pPr>
    </w:p>
    <w:p w:rsidR="003A31BA" w:rsidRDefault="003A31BA" w:rsidP="003A31BA">
      <w:pPr>
        <w:pStyle w:val="Corpsdetexte2"/>
      </w:pPr>
      <w:r>
        <w:t xml:space="preserve">La capacité maximale de chargement du support électronique mis à la disposition des détenteurs de monnaie électronique à des fins de paiement n'excède pas 250€ </w:t>
      </w:r>
      <w:r w:rsidR="00E74F71">
        <w:t>conformément à l’article D.525-1</w:t>
      </w:r>
      <w:r>
        <w:t xml:space="preserve"> du </w:t>
      </w:r>
      <w:r w:rsidR="00EB2780">
        <w:t>C</w:t>
      </w:r>
      <w:r>
        <w:t>ode monétaire et financier.</w:t>
      </w:r>
    </w:p>
    <w:p w:rsidR="00540335" w:rsidRPr="003A31BA" w:rsidRDefault="00540335" w:rsidP="000907A6">
      <w:pPr>
        <w:tabs>
          <w:tab w:val="left" w:pos="709"/>
        </w:tabs>
        <w:spacing w:line="240" w:lineRule="auto"/>
        <w:rPr>
          <w:rFonts w:ascii="Arial" w:eastAsia="Times New Roman" w:hAnsi="Arial" w:cs="Arial"/>
          <w:sz w:val="20"/>
          <w:szCs w:val="20"/>
          <w:lang w:eastAsia="fr-FR"/>
        </w:rPr>
      </w:pPr>
    </w:p>
    <w:p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rsidR="00540335" w:rsidRPr="000907A6" w:rsidRDefault="00540335" w:rsidP="000907A6">
      <w:pPr>
        <w:tabs>
          <w:tab w:val="left" w:pos="709"/>
        </w:tabs>
        <w:spacing w:line="240" w:lineRule="auto"/>
        <w:rPr>
          <w:rFonts w:ascii="Arial" w:eastAsia="Times New Roman" w:hAnsi="Arial" w:cs="Arial"/>
          <w:sz w:val="20"/>
          <w:szCs w:val="20"/>
          <w:lang w:eastAsia="fr-FR"/>
        </w:rPr>
      </w:pPr>
    </w:p>
    <w:p w:rsidR="00AC0EC7"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La nature</w:t>
      </w:r>
      <w:r w:rsidR="00113ACB">
        <w:rPr>
          <w:rFonts w:ascii="Arial" w:hAnsi="Arial" w:cs="Arial"/>
          <w:sz w:val="20"/>
          <w:szCs w:val="20"/>
        </w:rPr>
        <w:t xml:space="preserve">, </w:t>
      </w:r>
      <w:r>
        <w:rPr>
          <w:rFonts w:ascii="Arial" w:hAnsi="Arial" w:cs="Arial"/>
          <w:sz w:val="20"/>
          <w:szCs w:val="20"/>
        </w:rPr>
        <w:t>le volume des opérations</w:t>
      </w:r>
      <w:r w:rsidR="003A31BA">
        <w:rPr>
          <w:rFonts w:ascii="Arial" w:hAnsi="Arial" w:cs="Arial"/>
          <w:sz w:val="20"/>
          <w:szCs w:val="20"/>
        </w:rPr>
        <w:t xml:space="preserve"> et encours </w:t>
      </w:r>
      <w:r>
        <w:rPr>
          <w:rFonts w:ascii="Arial" w:hAnsi="Arial" w:cs="Arial"/>
          <w:sz w:val="20"/>
          <w:szCs w:val="20"/>
        </w:rPr>
        <w:t>envisagés </w:t>
      </w:r>
      <w:r w:rsidR="009E5B10">
        <w:rPr>
          <w:rFonts w:ascii="Arial" w:hAnsi="Arial" w:cs="Arial"/>
          <w:sz w:val="20"/>
          <w:szCs w:val="20"/>
        </w:rPr>
        <w:t xml:space="preserve">sur trois ans </w:t>
      </w:r>
      <w:r>
        <w:rPr>
          <w:rFonts w:ascii="Arial" w:hAnsi="Arial" w:cs="Arial"/>
          <w:sz w:val="20"/>
          <w:szCs w:val="20"/>
        </w:rPr>
        <w:t>;</w:t>
      </w:r>
    </w:p>
    <w:p w:rsidR="00AC0EC7" w:rsidRDefault="00114245" w:rsidP="000907A6">
      <w:pPr>
        <w:pStyle w:val="Paragraphedeliste"/>
        <w:numPr>
          <w:ilvl w:val="0"/>
          <w:numId w:val="34"/>
        </w:numPr>
        <w:jc w:val="both"/>
        <w:rPr>
          <w:rFonts w:ascii="Arial" w:hAnsi="Arial" w:cs="Arial"/>
          <w:sz w:val="20"/>
          <w:szCs w:val="20"/>
        </w:rPr>
      </w:pPr>
      <w:r>
        <w:rPr>
          <w:rFonts w:ascii="Arial" w:hAnsi="Arial" w:cs="Arial"/>
          <w:sz w:val="20"/>
          <w:szCs w:val="20"/>
        </w:rPr>
        <w:t>La ou les type</w:t>
      </w:r>
      <w:r w:rsidR="000907A6">
        <w:rPr>
          <w:rFonts w:ascii="Arial" w:hAnsi="Arial" w:cs="Arial"/>
          <w:sz w:val="20"/>
          <w:szCs w:val="20"/>
        </w:rPr>
        <w:t>(s) de moyens de paiement choisis ainsi que leurs modalités de fonctionnement ;</w:t>
      </w:r>
    </w:p>
    <w:p w:rsidR="009E5B10" w:rsidRPr="009E5B10" w:rsidRDefault="009E5B10" w:rsidP="009E5B10">
      <w:pPr>
        <w:pStyle w:val="Paragraphedeliste"/>
        <w:numPr>
          <w:ilvl w:val="0"/>
          <w:numId w:val="34"/>
        </w:numPr>
        <w:jc w:val="both"/>
        <w:rPr>
          <w:rFonts w:ascii="Arial" w:hAnsi="Arial" w:cs="Arial"/>
          <w:sz w:val="20"/>
          <w:szCs w:val="20"/>
        </w:rPr>
      </w:pPr>
      <w:r w:rsidRPr="009E5B10">
        <w:rPr>
          <w:rFonts w:ascii="Arial" w:hAnsi="Arial" w:cs="Arial"/>
          <w:sz w:val="20"/>
          <w:szCs w:val="20"/>
        </w:rPr>
        <w:t>Fournir un schéma représentant l’ensemble des flux financie</w:t>
      </w:r>
      <w:r>
        <w:rPr>
          <w:rFonts w:ascii="Arial" w:hAnsi="Arial" w:cs="Arial"/>
          <w:sz w:val="20"/>
          <w:szCs w:val="20"/>
        </w:rPr>
        <w:t>rs par service de paiement</w:t>
      </w:r>
      <w:r w:rsidR="007C08A6">
        <w:rPr>
          <w:rFonts w:ascii="Arial" w:hAnsi="Arial" w:cs="Arial"/>
          <w:sz w:val="20"/>
          <w:szCs w:val="20"/>
        </w:rPr>
        <w:t>s et incluant l’ensemble des comptes intermédiaires sur lesquels les fonds transiteront</w:t>
      </w:r>
      <w:r>
        <w:rPr>
          <w:rFonts w:ascii="Arial" w:hAnsi="Arial" w:cs="Arial"/>
          <w:sz w:val="20"/>
          <w:szCs w:val="20"/>
        </w:rPr>
        <w:t> ;</w:t>
      </w:r>
    </w:p>
    <w:p w:rsidR="009E5B10"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L’ouverture d’un ou plusieurs comptes dédié</w:t>
      </w:r>
      <w:r w:rsidR="009E5B10">
        <w:rPr>
          <w:rFonts w:ascii="Arial" w:hAnsi="Arial" w:cs="Arial"/>
          <w:sz w:val="20"/>
          <w:szCs w:val="20"/>
        </w:rPr>
        <w:t>s (cf. infra III)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 etc.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Fournir le contrat liant l’entreprise aux utilisateurs des services de paiement fournis (Conditions générales de vente (CGV) ou Convention générales d’utilisation (CGU))</w:t>
      </w:r>
      <w:r w:rsidR="00115730">
        <w:rPr>
          <w:rFonts w:ascii="Arial" w:hAnsi="Arial" w:cs="Arial"/>
          <w:sz w:val="20"/>
          <w:szCs w:val="20"/>
        </w:rPr>
        <w:t> ;</w:t>
      </w:r>
    </w:p>
    <w:p w:rsidR="009E791B" w:rsidRDefault="00115730" w:rsidP="00BF7B55">
      <w:pPr>
        <w:pStyle w:val="Paragraphedeliste"/>
        <w:numPr>
          <w:ilvl w:val="0"/>
          <w:numId w:val="34"/>
        </w:numPr>
        <w:jc w:val="both"/>
        <w:rPr>
          <w:rFonts w:ascii="Arial" w:hAnsi="Arial" w:cs="Arial"/>
          <w:sz w:val="20"/>
          <w:szCs w:val="20"/>
        </w:rPr>
      </w:pPr>
      <w:r>
        <w:rPr>
          <w:rFonts w:ascii="Arial" w:hAnsi="Arial" w:cs="Arial"/>
          <w:sz w:val="20"/>
          <w:szCs w:val="20"/>
        </w:rPr>
        <w:t xml:space="preserve">Fournir </w:t>
      </w:r>
      <w:r w:rsidRPr="00837A0E">
        <w:rPr>
          <w:rFonts w:ascii="Arial" w:hAnsi="Arial" w:cs="Arial"/>
          <w:sz w:val="20"/>
        </w:rPr>
        <w:t>les principaux contrats ou proje</w:t>
      </w:r>
      <w:r>
        <w:rPr>
          <w:rFonts w:ascii="Arial" w:hAnsi="Arial" w:cs="Arial"/>
          <w:sz w:val="20"/>
        </w:rPr>
        <w:t>ts de contrats pertinents</w:t>
      </w:r>
      <w:r w:rsidR="001377EB">
        <w:rPr>
          <w:rFonts w:ascii="Arial" w:hAnsi="Arial" w:cs="Arial"/>
          <w:sz w:val="20"/>
        </w:rPr>
        <w:t xml:space="preserve"> (sous traitance)</w:t>
      </w:r>
      <w:r w:rsidR="00BF7B55">
        <w:rPr>
          <w:rFonts w:ascii="Arial" w:hAnsi="Arial" w:cs="Arial"/>
          <w:sz w:val="20"/>
        </w:rPr>
        <w:t>.</w:t>
      </w:r>
    </w:p>
    <w:p w:rsidR="00BF7B55" w:rsidRDefault="00BF7B55" w:rsidP="00BF7B55">
      <w:pPr>
        <w:pStyle w:val="Paragraphedeliste"/>
        <w:jc w:val="both"/>
        <w:rPr>
          <w:rFonts w:ascii="Arial" w:hAnsi="Arial" w:cs="Arial"/>
          <w:sz w:val="20"/>
          <w:szCs w:val="20"/>
        </w:rPr>
      </w:pPr>
    </w:p>
    <w:p w:rsidR="00BF7B55" w:rsidRPr="00482E26" w:rsidRDefault="00482E26" w:rsidP="00482E26">
      <w:pPr>
        <w:spacing w:after="200"/>
        <w:rPr>
          <w:rFonts w:ascii="Arial" w:eastAsia="Times New Roman" w:hAnsi="Arial" w:cs="Arial"/>
          <w:sz w:val="20"/>
          <w:szCs w:val="20"/>
          <w:lang w:eastAsia="fr-FR"/>
        </w:rPr>
      </w:pPr>
      <w:r>
        <w:rPr>
          <w:rFonts w:ascii="Arial" w:hAnsi="Arial" w:cs="Arial"/>
          <w:sz w:val="20"/>
          <w:szCs w:val="20"/>
        </w:rPr>
        <w:br w:type="page"/>
      </w:r>
    </w:p>
    <w:p w:rsidR="009D5BCE" w:rsidRPr="009D5BCE" w:rsidRDefault="00A06CB5"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sidRPr="00A06CB5">
        <w:rPr>
          <w:rFonts w:ascii="Arial" w:hAnsi="Arial" w:cs="Arial"/>
          <w:b/>
          <w:color w:val="FFFFFF" w:themeColor="background1"/>
          <w:sz w:val="28"/>
          <w:szCs w:val="28"/>
        </w:rPr>
        <w:lastRenderedPageBreak/>
        <w:t>Éléments justifiant de l’application de l’article L. 52</w:t>
      </w:r>
      <w:r w:rsidR="00F12C3E">
        <w:rPr>
          <w:rFonts w:ascii="Arial" w:hAnsi="Arial" w:cs="Arial"/>
          <w:b/>
          <w:color w:val="FFFFFF" w:themeColor="background1"/>
          <w:sz w:val="28"/>
          <w:szCs w:val="28"/>
        </w:rPr>
        <w:t>5</w:t>
      </w:r>
      <w:r w:rsidRPr="00A06CB5">
        <w:rPr>
          <w:rFonts w:ascii="Arial" w:hAnsi="Arial" w:cs="Arial"/>
          <w:b/>
          <w:color w:val="FFFFFF" w:themeColor="background1"/>
          <w:sz w:val="28"/>
          <w:szCs w:val="28"/>
        </w:rPr>
        <w:t>-</w:t>
      </w:r>
      <w:r w:rsidR="00F12C3E">
        <w:rPr>
          <w:rFonts w:ascii="Arial" w:hAnsi="Arial" w:cs="Arial"/>
          <w:b/>
          <w:color w:val="FFFFFF" w:themeColor="background1"/>
          <w:sz w:val="28"/>
          <w:szCs w:val="28"/>
        </w:rPr>
        <w:t>5</w:t>
      </w:r>
    </w:p>
    <w:p w:rsidR="006A5378" w:rsidRPr="00A06CB5" w:rsidRDefault="006A5378" w:rsidP="00A06CB5">
      <w:pPr>
        <w:ind w:left="360"/>
        <w:rPr>
          <w:rFonts w:ascii="Arial" w:hAnsi="Arial" w:cs="Arial"/>
          <w:b/>
          <w:color w:val="1F497D" w:themeColor="text2"/>
          <w:sz w:val="28"/>
          <w:szCs w:val="28"/>
        </w:rPr>
      </w:pPr>
    </w:p>
    <w:p w:rsidR="00AD6644" w:rsidRDefault="009E5B10" w:rsidP="006A5378">
      <w:pPr>
        <w:pStyle w:val="Corpsdetexte2"/>
      </w:pPr>
      <w:r>
        <w:t>L’article L. 52</w:t>
      </w:r>
      <w:r w:rsidR="003A31BA">
        <w:t>5-5</w:t>
      </w:r>
      <w:r>
        <w:t xml:space="preserve"> du Code monétaire et financier prévoit qu’une entreprise peut bénéficier d’une exemption</w:t>
      </w:r>
      <w:r w:rsidR="00E74F71">
        <w:t xml:space="preserve"> d’agrément</w:t>
      </w:r>
      <w:r>
        <w:t xml:space="preserve"> pour « </w:t>
      </w:r>
      <w:r w:rsidR="003A31BA">
        <w:t>émettre et gérer de la monnaie électronique en vue de l'acquisition de biens ou de services uniquement</w:t>
      </w:r>
      <w:r w:rsidR="00AD6644">
        <w:t>:</w:t>
      </w:r>
    </w:p>
    <w:p w:rsidR="00AD6644" w:rsidRDefault="00AD6644" w:rsidP="00AD6644">
      <w:pPr>
        <w:pStyle w:val="Corpsdetexte2"/>
        <w:numPr>
          <w:ilvl w:val="0"/>
          <w:numId w:val="34"/>
        </w:numPr>
      </w:pPr>
      <w:r>
        <w:t>« dans les locaux de cette entreprise » (critère 1)</w:t>
      </w:r>
    </w:p>
    <w:p w:rsidR="009E5B10" w:rsidRDefault="00AD6644" w:rsidP="006A5378">
      <w:pPr>
        <w:pStyle w:val="Corpsdetexte2"/>
        <w:numPr>
          <w:ilvl w:val="0"/>
          <w:numId w:val="34"/>
        </w:numPr>
      </w:pPr>
      <w:r>
        <w:t>« ou, dans le cadre d'un accord commercial avec elle, dans un réseau limité de personnes acceptant ces moyens de paiement » (critère 2)</w:t>
      </w:r>
    </w:p>
    <w:p w:rsidR="00CD1201" w:rsidRPr="001377EB" w:rsidRDefault="00AD6644" w:rsidP="002D0215">
      <w:pPr>
        <w:pStyle w:val="Corpsdetexte2"/>
        <w:numPr>
          <w:ilvl w:val="0"/>
          <w:numId w:val="34"/>
        </w:numPr>
      </w:pPr>
      <w:r>
        <w:t>« ou pour un éventail limité de biens ou de services » (critère 3).</w:t>
      </w:r>
    </w:p>
    <w:p w:rsidR="00437194" w:rsidRDefault="007D059F" w:rsidP="00ED5DE5">
      <w:pPr>
        <w:pStyle w:val="Corpsdetexte2"/>
      </w:pPr>
      <w:r>
        <w:t>L</w:t>
      </w:r>
      <w:r w:rsidR="0034435B">
        <w:t>a pos</w:t>
      </w:r>
      <w:r w:rsidR="00AA52C1">
        <w:t>ition 2017-P-01 de l’ACPR précise</w:t>
      </w:r>
      <w:r w:rsidR="0034435B">
        <w:t xml:space="preserve"> les notions de « réseau limité d’accepteurs » et d’ « éventail limité de biens et services ».</w:t>
      </w:r>
      <w:r w:rsidR="00ED5DE5">
        <w:t xml:space="preserve"> </w:t>
      </w:r>
    </w:p>
    <w:p w:rsidR="00ED5DE5" w:rsidRDefault="00ED5DE5" w:rsidP="00ED5DE5">
      <w:pPr>
        <w:pStyle w:val="Corpsdetexte2"/>
      </w:pPr>
      <w:r>
        <w:t>Les critères susmentionnés sont alternatifs : nous vous prions de ne servir que la rubrique qui correspond au critère sur le fondement duquel l’entreprise demande le bénéfice de l’exemption.</w:t>
      </w:r>
    </w:p>
    <w:p w:rsidR="00ED5DE5" w:rsidRDefault="00ED5DE5" w:rsidP="002D0215">
      <w:pPr>
        <w:pStyle w:val="Corpsdetexte2"/>
        <w:rPr>
          <w:b/>
          <w:color w:val="4F81BD" w:themeColor="accent1"/>
          <w:sz w:val="24"/>
          <w:szCs w:val="28"/>
        </w:rPr>
      </w:pPr>
    </w:p>
    <w:p w:rsidR="00CD1201" w:rsidRDefault="00CD1201" w:rsidP="00CD1201">
      <w:pPr>
        <w:pStyle w:val="Corpsdetexte2"/>
        <w:rPr>
          <w:b/>
          <w:color w:val="4F81BD" w:themeColor="accent1"/>
          <w:sz w:val="24"/>
          <w:szCs w:val="28"/>
        </w:rPr>
      </w:pPr>
      <w:r>
        <w:rPr>
          <w:b/>
          <w:color w:val="4F81BD" w:themeColor="accent1"/>
          <w:sz w:val="24"/>
          <w:szCs w:val="28"/>
        </w:rPr>
        <w:t>Critère des locaux communs (1)</w:t>
      </w:r>
    </w:p>
    <w:p w:rsidR="005D3DC4" w:rsidRDefault="005D3DC4" w:rsidP="00CD1201">
      <w:pPr>
        <w:pStyle w:val="Corpsdetexte2"/>
      </w:pPr>
      <w:r w:rsidRPr="005D3DC4">
        <w:t>Décrire l’activité et précisez le nombre de locaux concernés.</w:t>
      </w:r>
    </w:p>
    <w:p w:rsidR="00CD1201" w:rsidRDefault="00CD1201" w:rsidP="00CD1201">
      <w:pPr>
        <w:pStyle w:val="Corpsdetexte2"/>
        <w:rPr>
          <w:b/>
          <w:color w:val="4F81BD" w:themeColor="accent1"/>
          <w:sz w:val="24"/>
          <w:szCs w:val="28"/>
        </w:rPr>
      </w:pPr>
      <w:r>
        <w:rPr>
          <w:b/>
          <w:color w:val="4F81BD" w:themeColor="accent1"/>
          <w:sz w:val="24"/>
          <w:szCs w:val="28"/>
        </w:rPr>
        <w:t>Critère du réseau limité d’accepteurs des moyens de paiement (2)</w:t>
      </w:r>
    </w:p>
    <w:p w:rsidR="00604345" w:rsidRDefault="005D3DC4" w:rsidP="00604345">
      <w:pPr>
        <w:pStyle w:val="Corpsdetexte2"/>
      </w:pPr>
      <w:r>
        <w:t>Joindre une description détaillée du réseau d’acceptation</w:t>
      </w:r>
      <w:r w:rsidR="0034435B">
        <w:t>.</w:t>
      </w:r>
      <w:r w:rsidR="0034435B" w:rsidRPr="0034435B">
        <w:t xml:space="preserve"> </w:t>
      </w:r>
    </w:p>
    <w:p w:rsidR="00482E26" w:rsidRPr="00604345" w:rsidRDefault="00482E26" w:rsidP="00604345">
      <w:pPr>
        <w:pStyle w:val="Corpsdetexte2"/>
      </w:pPr>
      <w:r w:rsidRPr="000E37BA">
        <w:rPr>
          <w:bCs/>
        </w:rPr>
        <w:t>Décri</w:t>
      </w:r>
      <w:r>
        <w:rPr>
          <w:bCs/>
        </w:rPr>
        <w:t>re</w:t>
      </w:r>
      <w:r w:rsidRPr="000E37BA">
        <w:rPr>
          <w:bCs/>
        </w:rPr>
        <w:t xml:space="preserve"> l’activité </w:t>
      </w:r>
      <w:r>
        <w:rPr>
          <w:bCs/>
        </w:rPr>
        <w:t>envisagée et fournir un exemplaire de contrat d’acceptation, précisant</w:t>
      </w:r>
      <w:r w:rsidRPr="000E37BA">
        <w:rPr>
          <w:bCs/>
        </w:rPr>
        <w:t xml:space="preserve"> notamment </w:t>
      </w:r>
      <w:r>
        <w:rPr>
          <w:bCs/>
        </w:rPr>
        <w:t>les responsabilités respectives (entreprise en charge de l’émission et de la gestion de la monnaie électronique, détenteurs, accepteurs).</w:t>
      </w:r>
    </w:p>
    <w:p w:rsidR="005D3DC4" w:rsidRDefault="005D3DC4" w:rsidP="00604345">
      <w:pPr>
        <w:pStyle w:val="Corpsdetexte2"/>
      </w:pPr>
      <w:r>
        <w:t>Fournir les principaux projets de contrats (accords commerciaux, licence de droits de propriété intellectuelle, accords de négociation communs, etc.) ou tout autre élément (Ex. données chiffrées ou autres) attestant des liens étroits existants entre l’émetteur et les accepteurs.</w:t>
      </w:r>
    </w:p>
    <w:p w:rsidR="00604345" w:rsidRDefault="00CD1201" w:rsidP="00604345">
      <w:pPr>
        <w:pStyle w:val="Corpsdetexte2"/>
        <w:rPr>
          <w:b/>
          <w:color w:val="4F81BD" w:themeColor="accent1"/>
          <w:sz w:val="24"/>
          <w:szCs w:val="28"/>
        </w:rPr>
      </w:pPr>
      <w:r>
        <w:rPr>
          <w:b/>
          <w:color w:val="4F81BD" w:themeColor="accent1"/>
          <w:sz w:val="24"/>
          <w:szCs w:val="28"/>
        </w:rPr>
        <w:t>Critère de l’éventail limité de biens ou de services (3)</w:t>
      </w:r>
    </w:p>
    <w:p w:rsidR="00482E26" w:rsidRPr="00604345" w:rsidRDefault="00482E26" w:rsidP="00604345">
      <w:pPr>
        <w:pStyle w:val="Corpsdetexte2"/>
        <w:rPr>
          <w:b/>
          <w:color w:val="4F81BD" w:themeColor="accent1"/>
          <w:sz w:val="24"/>
          <w:szCs w:val="28"/>
        </w:rPr>
      </w:pPr>
      <w:r w:rsidRPr="000E37BA">
        <w:rPr>
          <w:bCs/>
        </w:rPr>
        <w:t>Décri</w:t>
      </w:r>
      <w:r>
        <w:rPr>
          <w:bCs/>
        </w:rPr>
        <w:t>re</w:t>
      </w:r>
      <w:r w:rsidRPr="000E37BA">
        <w:rPr>
          <w:bCs/>
        </w:rPr>
        <w:t xml:space="preserve"> l’activité </w:t>
      </w:r>
      <w:r>
        <w:rPr>
          <w:bCs/>
        </w:rPr>
        <w:t>envisagée</w:t>
      </w:r>
      <w:r w:rsidRPr="0038069E">
        <w:rPr>
          <w:bCs/>
        </w:rPr>
        <w:t xml:space="preserve"> </w:t>
      </w:r>
      <w:r>
        <w:rPr>
          <w:bCs/>
        </w:rPr>
        <w:t>et fournir un exemplaire de contrat d’acceptation, précisant</w:t>
      </w:r>
      <w:r w:rsidRPr="000E37BA">
        <w:rPr>
          <w:bCs/>
        </w:rPr>
        <w:t xml:space="preserve"> notamment </w:t>
      </w:r>
      <w:r>
        <w:rPr>
          <w:bCs/>
        </w:rPr>
        <w:t>les responsabilités respectives (entreprise en charge de l’émission et de la gestion de la monnaie électronique, détenteurs, accepteurs) ;</w:t>
      </w:r>
    </w:p>
    <w:p w:rsidR="005D3DC4" w:rsidRDefault="005D3DC4" w:rsidP="00604345">
      <w:pPr>
        <w:pStyle w:val="Corpsdetexte2"/>
      </w:pPr>
      <w:r w:rsidRPr="005D3DC4">
        <w:t>Joindre une liste exhaustive des biens ou des services pouva</w:t>
      </w:r>
      <w:r w:rsidR="00482E26">
        <w:t>nt être acquis sur la base des moyens</w:t>
      </w:r>
      <w:r w:rsidRPr="005D3DC4">
        <w:t xml:space="preserve"> de paiement fournis.</w:t>
      </w:r>
    </w:p>
    <w:p w:rsidR="005D3DC4" w:rsidRDefault="005D3DC4" w:rsidP="00BF7B55">
      <w:pPr>
        <w:pStyle w:val="Corpsdetexte2"/>
      </w:pPr>
    </w:p>
    <w:p w:rsidR="00E74F71" w:rsidRPr="007B296E" w:rsidRDefault="007B296E" w:rsidP="007B296E">
      <w:pPr>
        <w:spacing w:after="200"/>
        <w:rPr>
          <w:rFonts w:ascii="Arial" w:hAnsi="Arial" w:cs="Arial"/>
          <w:sz w:val="20"/>
          <w:szCs w:val="20"/>
        </w:rPr>
      </w:pPr>
      <w:r>
        <w:br w:type="page"/>
      </w:r>
    </w:p>
    <w:p w:rsidR="004E678D" w:rsidRPr="009C7C77" w:rsidRDefault="004E678D" w:rsidP="004E678D">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Sécurité </w:t>
      </w:r>
      <w:r w:rsidR="00B154D4">
        <w:rPr>
          <w:rFonts w:ascii="Arial" w:hAnsi="Arial" w:cs="Arial"/>
          <w:b/>
          <w:color w:val="FFFFFF" w:themeColor="background1"/>
          <w:sz w:val="28"/>
          <w:szCs w:val="28"/>
        </w:rPr>
        <w:t xml:space="preserve">financière et </w:t>
      </w:r>
      <w:r>
        <w:rPr>
          <w:rFonts w:ascii="Arial" w:hAnsi="Arial" w:cs="Arial"/>
          <w:b/>
          <w:color w:val="FFFFFF" w:themeColor="background1"/>
          <w:sz w:val="28"/>
          <w:szCs w:val="28"/>
        </w:rPr>
        <w:t>opérationnelle</w:t>
      </w:r>
    </w:p>
    <w:p w:rsidR="001377EB" w:rsidRPr="001377EB" w:rsidRDefault="001377EB" w:rsidP="001377EB">
      <w:pPr>
        <w:rPr>
          <w:rFonts w:ascii="Arial" w:hAnsi="Arial" w:cs="Arial"/>
          <w:b/>
          <w:color w:val="1F497D" w:themeColor="text2"/>
          <w:sz w:val="28"/>
          <w:szCs w:val="28"/>
        </w:rPr>
      </w:pPr>
    </w:p>
    <w:p w:rsidR="001377EB" w:rsidRPr="001377EB" w:rsidRDefault="001377EB"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Sécurité</w:t>
      </w:r>
      <w:r w:rsidRPr="003B1354">
        <w:rPr>
          <w:rFonts w:ascii="Arial" w:hAnsi="Arial" w:cs="Arial"/>
          <w:b/>
          <w:color w:val="1F497D" w:themeColor="text2"/>
          <w:sz w:val="28"/>
          <w:szCs w:val="28"/>
        </w:rPr>
        <w:t xml:space="preserve"> des fonds collectés</w:t>
      </w:r>
      <w:r>
        <w:rPr>
          <w:rFonts w:ascii="Arial" w:hAnsi="Arial" w:cs="Arial"/>
          <w:b/>
          <w:color w:val="1F497D" w:themeColor="text2"/>
          <w:sz w:val="28"/>
          <w:szCs w:val="28"/>
        </w:rPr>
        <w:t xml:space="preserve"> </w:t>
      </w:r>
    </w:p>
    <w:p w:rsidR="001377EB" w:rsidRDefault="001377EB" w:rsidP="001377EB">
      <w:pPr>
        <w:tabs>
          <w:tab w:val="left" w:pos="1418"/>
        </w:tabs>
        <w:jc w:val="both"/>
        <w:rPr>
          <w:rFonts w:ascii="Arial" w:hAnsi="Arial" w:cs="Arial"/>
          <w:i/>
          <w:sz w:val="20"/>
          <w:szCs w:val="20"/>
        </w:rPr>
      </w:pPr>
      <w:r>
        <w:rPr>
          <w:rFonts w:ascii="Arial" w:hAnsi="Arial" w:cs="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hAnsi="Arial" w:cs="Arial"/>
          <w:i/>
          <w:sz w:val="20"/>
          <w:szCs w:val="20"/>
        </w:rPr>
        <w:t>Ainsi, l</w:t>
      </w:r>
      <w:r w:rsidRPr="00B6762C">
        <w:rPr>
          <w:rFonts w:ascii="Arial" w:hAnsi="Arial" w:cs="Arial"/>
          <w:i/>
          <w:sz w:val="20"/>
          <w:szCs w:val="20"/>
        </w:rPr>
        <w:t xml:space="preserve">es fonds reçus des utilisateurs de services de paiement directement ou par le biais d’un autre prestataire de services de paiement pour le compte des utilisateurs </w:t>
      </w:r>
      <w:r w:rsidRPr="00B6762C">
        <w:rPr>
          <w:rFonts w:ascii="Arial" w:hAnsi="Arial" w:cs="Arial"/>
          <w:i/>
          <w:sz w:val="20"/>
          <w:szCs w:val="20"/>
          <w:u w:val="single"/>
        </w:rPr>
        <w:t>doivent être protégés</w:t>
      </w:r>
      <w:r>
        <w:rPr>
          <w:rFonts w:ascii="Arial" w:hAnsi="Arial" w:cs="Arial"/>
          <w:i/>
          <w:sz w:val="20"/>
          <w:szCs w:val="20"/>
        </w:rPr>
        <w:t xml:space="preserve"> sur un compte dédié conformément à la position 2017-P-01 de l’ACPR.</w:t>
      </w:r>
    </w:p>
    <w:p w:rsidR="001377EB" w:rsidRPr="004E678D" w:rsidRDefault="001377EB" w:rsidP="001377EB">
      <w:pPr>
        <w:tabs>
          <w:tab w:val="left" w:pos="1418"/>
        </w:tabs>
        <w:jc w:val="both"/>
        <w:rPr>
          <w:rFonts w:ascii="Arial" w:hAnsi="Arial" w:cs="Arial"/>
          <w:i/>
          <w:sz w:val="20"/>
          <w:szCs w:val="20"/>
        </w:rPr>
      </w:pPr>
    </w:p>
    <w:p w:rsidR="001377EB" w:rsidRDefault="001377EB" w:rsidP="001377EB">
      <w:pPr>
        <w:tabs>
          <w:tab w:val="left" w:pos="1418"/>
        </w:tabs>
        <w:jc w:val="both"/>
        <w:rPr>
          <w:rFonts w:ascii="Arial" w:hAnsi="Arial" w:cs="Arial"/>
          <w:sz w:val="20"/>
          <w:szCs w:val="20"/>
        </w:rPr>
      </w:pPr>
      <w:r>
        <w:rPr>
          <w:rFonts w:ascii="Arial" w:hAnsi="Arial" w:cs="Arial"/>
          <w:sz w:val="20"/>
          <w:szCs w:val="20"/>
        </w:rPr>
        <w:t xml:space="preserve">L’entreprise devra fournir les coordonnées du ou des comptes ouvert(s) ainsi qu’une copie du/des projet(s) de conventions de compte dédié correspondantes. </w:t>
      </w:r>
    </w:p>
    <w:p w:rsidR="001377EB" w:rsidRPr="00763DBC" w:rsidRDefault="001377EB" w:rsidP="001377EB">
      <w:pPr>
        <w:tabs>
          <w:tab w:val="left" w:pos="1418"/>
        </w:tabs>
        <w:jc w:val="both"/>
        <w:rPr>
          <w:rFonts w:ascii="Arial" w:hAnsi="Arial" w:cs="Arial"/>
          <w:i/>
          <w:sz w:val="18"/>
          <w:szCs w:val="20"/>
        </w:rPr>
      </w:pP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Ce compte est spécialement ouvert à l'effet d'exécution d'opérations de paiement exclus</w:t>
      </w:r>
      <w:r>
        <w:rPr>
          <w:rFonts w:ascii="Arial" w:hAnsi="Arial" w:cs="Arial"/>
          <w:i/>
          <w:sz w:val="18"/>
          <w:szCs w:val="20"/>
        </w:rPr>
        <w:t>ivement utilisé dans le cadre du</w:t>
      </w:r>
      <w:r w:rsidRPr="00763DBC">
        <w:rPr>
          <w:rFonts w:ascii="Arial" w:hAnsi="Arial" w:cs="Arial"/>
          <w:i/>
          <w:sz w:val="18"/>
          <w:szCs w:val="20"/>
        </w:rPr>
        <w:t xml:space="preserve"> (des) service(s) de paiement pour le(s)quel(s) l'entreprise bénéficie d'une exemption.</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rsidR="001377EB" w:rsidRPr="00763DBC" w:rsidRDefault="001377EB" w:rsidP="001377EB">
      <w:pPr>
        <w:tabs>
          <w:tab w:val="left" w:pos="1418"/>
        </w:tabs>
        <w:jc w:val="both"/>
        <w:rPr>
          <w:rFonts w:ascii="Arial" w:hAnsi="Arial" w:cs="Arial"/>
          <w:i/>
          <w:sz w:val="18"/>
          <w:szCs w:val="20"/>
        </w:rPr>
      </w:pPr>
      <w:r w:rsidRPr="00763DBC">
        <w:rPr>
          <w:rFonts w:ascii="Arial" w:hAnsi="Arial" w:cs="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rsidR="001377EB" w:rsidRPr="001377EB" w:rsidRDefault="001377EB" w:rsidP="001377EB">
      <w:pPr>
        <w:tabs>
          <w:tab w:val="left" w:pos="1418"/>
        </w:tabs>
        <w:jc w:val="both"/>
        <w:rPr>
          <w:rFonts w:ascii="Arial" w:hAnsi="Arial" w:cs="Arial"/>
          <w:sz w:val="20"/>
          <w:szCs w:val="20"/>
        </w:rPr>
      </w:pPr>
    </w:p>
    <w:p w:rsidR="00A34E99" w:rsidRPr="001377EB" w:rsidRDefault="00A34E99" w:rsidP="00A34E99">
      <w:pPr>
        <w:tabs>
          <w:tab w:val="left" w:pos="1418"/>
        </w:tabs>
        <w:jc w:val="both"/>
        <w:rPr>
          <w:rFonts w:ascii="Arial" w:hAnsi="Arial" w:cs="Arial"/>
          <w:i/>
          <w:sz w:val="20"/>
          <w:szCs w:val="20"/>
        </w:rPr>
      </w:pPr>
      <w:r>
        <w:rPr>
          <w:rFonts w:ascii="Arial" w:hAnsi="Arial" w:cs="Arial"/>
          <w:sz w:val="20"/>
          <w:szCs w:val="20"/>
        </w:rPr>
        <w:t>Toute autre méthode de protection des fonds éventuellement proposée par l’entreprise sera analysée.</w:t>
      </w:r>
    </w:p>
    <w:p w:rsidR="004E678D" w:rsidRDefault="004E678D" w:rsidP="004E678D">
      <w:pPr>
        <w:spacing w:line="240" w:lineRule="auto"/>
        <w:jc w:val="both"/>
        <w:rPr>
          <w:rFonts w:ascii="Arial" w:hAnsi="Arial" w:cs="Arial"/>
          <w:bCs/>
          <w:sz w:val="20"/>
          <w:szCs w:val="20"/>
        </w:rPr>
      </w:pPr>
    </w:p>
    <w:p w:rsidR="004E678D" w:rsidRPr="004008EC"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Environnement informatique retenu</w:t>
      </w:r>
    </w:p>
    <w:p w:rsidR="004E678D" w:rsidRDefault="004E678D" w:rsidP="004E678D">
      <w:pPr>
        <w:spacing w:line="240" w:lineRule="auto"/>
        <w:jc w:val="both"/>
        <w:rPr>
          <w:rFonts w:ascii="Arial" w:hAnsi="Arial" w:cs="Arial"/>
          <w:bCs/>
          <w:sz w:val="20"/>
          <w:szCs w:val="20"/>
        </w:rPr>
      </w:pPr>
    </w:p>
    <w:p w:rsidR="001377EB" w:rsidRDefault="001377EB" w:rsidP="00A06CB5">
      <w:pPr>
        <w:jc w:val="both"/>
        <w:rPr>
          <w:rFonts w:ascii="Arial" w:hAnsi="Arial" w:cs="Arial"/>
          <w:bCs/>
          <w:sz w:val="20"/>
          <w:szCs w:val="20"/>
        </w:rPr>
      </w:pPr>
      <w:r w:rsidRPr="00F058B0">
        <w:rPr>
          <w:rFonts w:ascii="Arial" w:hAnsi="Arial" w:cs="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sidR="00F12C3E">
        <w:rPr>
          <w:rFonts w:ascii="Arial" w:hAnsi="Arial" w:cs="Arial"/>
          <w:bCs/>
          <w:sz w:val="20"/>
          <w:szCs w:val="20"/>
        </w:rPr>
        <w:t>525-5</w:t>
      </w:r>
      <w:r w:rsidRPr="00F058B0">
        <w:rPr>
          <w:rFonts w:ascii="Arial" w:hAnsi="Arial" w:cs="Arial"/>
          <w:bCs/>
          <w:sz w:val="20"/>
          <w:szCs w:val="20"/>
        </w:rPr>
        <w:t xml:space="preserve"> du Code monétaire et financier. </w:t>
      </w:r>
    </w:p>
    <w:p w:rsidR="001377EB" w:rsidRDefault="001377EB" w:rsidP="004E678D">
      <w:pPr>
        <w:spacing w:line="240" w:lineRule="auto"/>
        <w:jc w:val="both"/>
        <w:rPr>
          <w:rFonts w:ascii="Arial" w:hAnsi="Arial" w:cs="Arial"/>
          <w:bCs/>
          <w:sz w:val="20"/>
          <w:szCs w:val="20"/>
        </w:rPr>
      </w:pPr>
    </w:p>
    <w:p w:rsidR="004E678D" w:rsidRDefault="004E678D" w:rsidP="004E678D">
      <w:pPr>
        <w:spacing w:line="240" w:lineRule="auto"/>
        <w:jc w:val="both"/>
        <w:rPr>
          <w:rFonts w:ascii="Arial" w:hAnsi="Arial" w:cs="Arial"/>
          <w:bCs/>
          <w:sz w:val="20"/>
          <w:szCs w:val="20"/>
        </w:rPr>
      </w:pPr>
      <w:r>
        <w:rPr>
          <w:rFonts w:ascii="Arial" w:hAnsi="Arial" w:cs="Arial"/>
          <w:bCs/>
          <w:sz w:val="20"/>
          <w:szCs w:val="20"/>
        </w:rPr>
        <w:t>Fournir les éléments suivants :</w:t>
      </w:r>
    </w:p>
    <w:p w:rsidR="00C02FC0" w:rsidRPr="00535F99" w:rsidRDefault="00C02FC0" w:rsidP="00C02FC0">
      <w:pPr>
        <w:pStyle w:val="Paragraphedeliste"/>
        <w:numPr>
          <w:ilvl w:val="2"/>
          <w:numId w:val="35"/>
        </w:numPr>
        <w:ind w:left="754" w:hanging="397"/>
        <w:jc w:val="both"/>
        <w:rPr>
          <w:rFonts w:ascii="Arial" w:hAnsi="Arial" w:cs="Arial"/>
          <w:sz w:val="20"/>
        </w:rPr>
      </w:pPr>
      <w:r>
        <w:rPr>
          <w:rFonts w:ascii="Arial" w:hAnsi="Arial" w:cs="Arial"/>
          <w:bCs/>
          <w:sz w:val="20"/>
          <w:szCs w:val="20"/>
        </w:rPr>
        <w:t>Une d</w:t>
      </w:r>
      <w:r w:rsidRPr="004100F8">
        <w:rPr>
          <w:rFonts w:ascii="Arial" w:hAnsi="Arial" w:cs="Arial"/>
          <w:bCs/>
          <w:sz w:val="20"/>
          <w:szCs w:val="20"/>
        </w:rPr>
        <w:t>escription de l’environnement informatique retenu</w:t>
      </w:r>
      <w:r>
        <w:rPr>
          <w:rFonts w:ascii="Arial" w:hAnsi="Arial" w:cs="Arial"/>
          <w:bCs/>
          <w:sz w:val="20"/>
          <w:szCs w:val="20"/>
        </w:rPr>
        <w:t> (le cas échéant fournir les contrats d’externalisation) ;</w:t>
      </w:r>
    </w:p>
    <w:p w:rsidR="00C02FC0"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Les modalités de gestion et de contrôle du système d’information (recours ou non à des prestataires externes ; dans ce cas, fournir les principaux contrats ou projets de contrats d’externalisation)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535F99">
        <w:rPr>
          <w:rFonts w:ascii="Arial" w:hAnsi="Arial" w:cs="Arial"/>
          <w:sz w:val="20"/>
        </w:rPr>
        <w:t xml:space="preserve">ne description de l’organisation générale de la sécurité : une description de l’organisation générale de la sécurité, (existence d’un responsable de la sécurité, description des analyses de risques et des modalités d’alerte) ; des moyens mis en œuvre pour assurer dans un temps raisonnable la continuité du </w:t>
      </w:r>
      <w:r>
        <w:rPr>
          <w:rFonts w:ascii="Arial" w:hAnsi="Arial" w:cs="Arial"/>
          <w:sz w:val="20"/>
        </w:rPr>
        <w:t>traitement en cas de sinistre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1B5323">
        <w:rPr>
          <w:rFonts w:ascii="Arial" w:hAnsi="Arial" w:cs="Arial"/>
          <w:sz w:val="20"/>
        </w:rPr>
        <w:t>ne description de la résistance des supports à la contrefaçon : description des dispositifs de sécurité mis en œuvre sur les supports ; des dispositions prises pour assurer, si</w:t>
      </w:r>
      <w:r w:rsidR="00164F53">
        <w:rPr>
          <w:rFonts w:ascii="Arial" w:hAnsi="Arial" w:cs="Arial"/>
          <w:sz w:val="20"/>
        </w:rPr>
        <w:t xml:space="preserve"> nécessaire, leur protection </w:t>
      </w:r>
      <w:r w:rsidRPr="001B5323">
        <w:rPr>
          <w:rFonts w:ascii="Arial" w:hAnsi="Arial" w:cs="Arial"/>
          <w:sz w:val="20"/>
        </w:rPr>
        <w:t>physique lors de leur production, leur expédition et leur stockage ; des moyens mis en œuvre pour s’assurer que la numérotation des supports produits est difficilement prévisible ;</w:t>
      </w:r>
    </w:p>
    <w:p w:rsidR="00C02FC0" w:rsidRPr="001B5323"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 xml:space="preserve">Une </w:t>
      </w:r>
      <w:r w:rsidRPr="001B5323">
        <w:rPr>
          <w:rFonts w:ascii="Arial" w:hAnsi="Arial" w:cs="Arial"/>
          <w:sz w:val="20"/>
        </w:rPr>
        <w:t>description des moyens mis en œuvre pour assurer la sécurité physique et logique des données, tant du point de vue des dis</w:t>
      </w:r>
      <w:r>
        <w:rPr>
          <w:rFonts w:ascii="Arial" w:hAnsi="Arial" w:cs="Arial"/>
          <w:sz w:val="20"/>
        </w:rPr>
        <w:t xml:space="preserve">positifs techniques </w:t>
      </w:r>
      <w:r w:rsidRPr="001B5323">
        <w:rPr>
          <w:rFonts w:ascii="Arial" w:hAnsi="Arial" w:cs="Arial"/>
          <w:sz w:val="20"/>
        </w:rPr>
        <w:t>(firewall, détection d’intrusion, …) que des procédures et accréditations mis en place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lastRenderedPageBreak/>
        <w:t>U</w:t>
      </w:r>
      <w:r w:rsidRPr="00535F99">
        <w:rPr>
          <w:rFonts w:ascii="Arial" w:hAnsi="Arial" w:cs="Arial"/>
          <w:sz w:val="20"/>
        </w:rPr>
        <w:t>ne description de la sécurité du traitement du moyen de paiement : description des mesures permettant de s’assurer que les supports présentés sont authentiques, des dispositions prises pour faire obstacle à l’utilisation de supports ayant fait l’objet d’un vol ou d’une perte</w:t>
      </w:r>
      <w:r>
        <w:rPr>
          <w:rFonts w:ascii="Arial" w:hAnsi="Arial" w:cs="Arial"/>
          <w:sz w:val="20"/>
        </w:rPr>
        <w:t xml:space="preserve"> ; des moyens mis en œuvre pour </w:t>
      </w:r>
      <w:r w:rsidRPr="00535F99">
        <w:rPr>
          <w:rFonts w:ascii="Arial" w:hAnsi="Arial" w:cs="Arial"/>
          <w:sz w:val="20"/>
        </w:rPr>
        <w:t>détecter des comportements anormaux à l’émission et l’acceptation ;</w:t>
      </w:r>
    </w:p>
    <w:p w:rsidR="00C02FC0" w:rsidRDefault="00C02FC0" w:rsidP="00C02FC0">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La politique d’accès aux données de paiement sensibles, détaillant les modalités d’accès à tous les composants des systèmes, incluant les bases de données et les infrastructures de secours</w:t>
      </w:r>
      <w:r>
        <w:rPr>
          <w:rFonts w:ascii="Arial" w:hAnsi="Arial" w:cs="Arial"/>
          <w:bCs/>
          <w:sz w:val="20"/>
          <w:szCs w:val="20"/>
        </w:rPr>
        <w:t> ;</w:t>
      </w:r>
    </w:p>
    <w:p w:rsidR="00C02FC0"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 xml:space="preserve">Les </w:t>
      </w:r>
      <w:r w:rsidRPr="00FD3F5C">
        <w:rPr>
          <w:rFonts w:ascii="Arial" w:hAnsi="Arial" w:cs="Arial"/>
          <w:bCs/>
          <w:sz w:val="20"/>
          <w:szCs w:val="20"/>
        </w:rPr>
        <w:t>procédures en place d’autorisation d’accès</w:t>
      </w:r>
      <w:r>
        <w:rPr>
          <w:rFonts w:ascii="Arial" w:hAnsi="Arial" w:cs="Arial"/>
          <w:bCs/>
          <w:sz w:val="20"/>
          <w:szCs w:val="20"/>
        </w:rPr>
        <w:t xml:space="preserve"> et d’enregistrement</w:t>
      </w:r>
      <w:r w:rsidRPr="00FD3F5C">
        <w:rPr>
          <w:rFonts w:ascii="Arial" w:hAnsi="Arial" w:cs="Arial"/>
          <w:bCs/>
          <w:sz w:val="20"/>
          <w:szCs w:val="20"/>
        </w:rPr>
        <w:t xml:space="preserve"> aux données de paiement sensibles</w:t>
      </w:r>
      <w:r>
        <w:rPr>
          <w:rFonts w:ascii="Arial" w:hAnsi="Arial" w:cs="Arial"/>
          <w:bCs/>
          <w:sz w:val="20"/>
          <w:szCs w:val="20"/>
        </w:rPr>
        <w:t xml:space="preserve"> etc.) ;</w:t>
      </w:r>
    </w:p>
    <w:p w:rsidR="00C02FC0" w:rsidRDefault="00C02FC0" w:rsidP="00C02FC0">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Une description des méthodes de collecte et d’enregistrement des données de paiement sensibles</w:t>
      </w:r>
      <w:r w:rsidR="00164F53">
        <w:rPr>
          <w:rFonts w:ascii="Arial" w:hAnsi="Arial" w:cs="Arial"/>
          <w:bCs/>
          <w:sz w:val="20"/>
          <w:szCs w:val="20"/>
        </w:rPr>
        <w:t> (IBAN etc.).</w:t>
      </w:r>
    </w:p>
    <w:p w:rsidR="004E678D" w:rsidRDefault="004E678D" w:rsidP="004E678D">
      <w:pPr>
        <w:spacing w:line="240" w:lineRule="auto"/>
        <w:jc w:val="both"/>
        <w:rPr>
          <w:rFonts w:ascii="Arial" w:eastAsia="Times New Roman" w:hAnsi="Arial" w:cs="Arial"/>
          <w:bCs/>
          <w:sz w:val="20"/>
          <w:szCs w:val="20"/>
          <w:lang w:eastAsia="fr-FR"/>
        </w:rPr>
      </w:pPr>
    </w:p>
    <w:p w:rsidR="00535F99" w:rsidRDefault="00535F99" w:rsidP="004E678D">
      <w:pPr>
        <w:spacing w:line="240" w:lineRule="auto"/>
        <w:jc w:val="both"/>
        <w:rPr>
          <w:rFonts w:ascii="Arial" w:hAnsi="Arial" w:cs="Arial"/>
          <w:bCs/>
          <w:sz w:val="20"/>
          <w:szCs w:val="20"/>
        </w:rPr>
      </w:pPr>
    </w:p>
    <w:p w:rsidR="004E678D" w:rsidRPr="00F557C5"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 xml:space="preserve">Gestion des opérations de paiement </w:t>
      </w:r>
    </w:p>
    <w:p w:rsidR="004E678D" w:rsidRDefault="004E678D" w:rsidP="004E678D">
      <w:pPr>
        <w:spacing w:line="240" w:lineRule="auto"/>
        <w:jc w:val="both"/>
        <w:rPr>
          <w:rFonts w:ascii="Arial" w:hAnsi="Arial" w:cs="Arial"/>
          <w:bCs/>
          <w:sz w:val="20"/>
          <w:szCs w:val="20"/>
        </w:rPr>
      </w:pPr>
    </w:p>
    <w:p w:rsidR="004E678D" w:rsidRDefault="004E678D" w:rsidP="004E678D">
      <w:pPr>
        <w:jc w:val="both"/>
        <w:rPr>
          <w:rFonts w:ascii="Arial" w:hAnsi="Arial" w:cs="Arial"/>
          <w:bCs/>
          <w:sz w:val="20"/>
          <w:szCs w:val="20"/>
        </w:rPr>
      </w:pPr>
      <w:r w:rsidRPr="008E4D4F">
        <w:rPr>
          <w:rFonts w:ascii="Arial" w:hAnsi="Arial" w:cs="Arial"/>
          <w:bCs/>
          <w:sz w:val="20"/>
          <w:szCs w:val="20"/>
        </w:rPr>
        <w:t>Le requérant devra fournir une description des process</w:t>
      </w:r>
      <w:r w:rsidR="00716D2D">
        <w:rPr>
          <w:rFonts w:ascii="Arial" w:hAnsi="Arial" w:cs="Arial"/>
          <w:bCs/>
          <w:sz w:val="20"/>
          <w:szCs w:val="20"/>
        </w:rPr>
        <w:t>us</w:t>
      </w:r>
      <w:r w:rsidRPr="008E4D4F">
        <w:rPr>
          <w:rFonts w:ascii="Arial" w:hAnsi="Arial" w:cs="Arial"/>
          <w:bCs/>
          <w:sz w:val="20"/>
          <w:szCs w:val="20"/>
        </w:rPr>
        <w:t xml:space="preserve"> en place pour </w:t>
      </w:r>
      <w:r>
        <w:rPr>
          <w:rFonts w:ascii="Arial" w:hAnsi="Arial" w:cs="Arial"/>
          <w:bCs/>
          <w:sz w:val="20"/>
          <w:szCs w:val="20"/>
        </w:rPr>
        <w:t>enregistrer et traiter les ordres de paiements reçus de la clientèle. Ces process</w:t>
      </w:r>
      <w:r w:rsidR="00716D2D">
        <w:rPr>
          <w:rFonts w:ascii="Arial" w:hAnsi="Arial" w:cs="Arial"/>
          <w:bCs/>
          <w:sz w:val="20"/>
          <w:szCs w:val="20"/>
        </w:rPr>
        <w:t>us</w:t>
      </w:r>
      <w:r>
        <w:rPr>
          <w:rFonts w:ascii="Arial" w:hAnsi="Arial" w:cs="Arial"/>
          <w:bCs/>
          <w:sz w:val="20"/>
          <w:szCs w:val="20"/>
        </w:rPr>
        <w:t xml:space="preserve"> devront inclure :</w:t>
      </w:r>
    </w:p>
    <w:p w:rsidR="00105981" w:rsidRDefault="00105981"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Une d</w:t>
      </w:r>
      <w:r w:rsidRPr="004100F8">
        <w:rPr>
          <w:rFonts w:ascii="Arial" w:hAnsi="Arial" w:cs="Arial"/>
          <w:bCs/>
          <w:sz w:val="20"/>
          <w:szCs w:val="20"/>
        </w:rPr>
        <w:t xml:space="preserve">escription de </w:t>
      </w:r>
      <w:r w:rsidR="004F71A8">
        <w:rPr>
          <w:rFonts w:ascii="Arial" w:hAnsi="Arial" w:cs="Arial"/>
          <w:bCs/>
          <w:sz w:val="20"/>
          <w:szCs w:val="20"/>
        </w:rPr>
        <w:t>la gestion des opérations de paiement et notamment les systèmes de validation des ordres de paiement ;</w:t>
      </w:r>
    </w:p>
    <w:p w:rsidR="004F71A8" w:rsidRDefault="004F71A8"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Les modalités de transmission de ces ordres de paiement ;</w:t>
      </w:r>
    </w:p>
    <w:p w:rsidR="004F71A8" w:rsidRDefault="00A1133A"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La mise en place de mesures d’authentification forte notamment pour les paiement</w:t>
      </w:r>
      <w:r w:rsidR="00BC0319">
        <w:rPr>
          <w:rFonts w:ascii="Arial" w:hAnsi="Arial" w:cs="Arial"/>
          <w:bCs/>
          <w:sz w:val="20"/>
          <w:szCs w:val="20"/>
        </w:rPr>
        <w:t>s</w:t>
      </w:r>
      <w:r>
        <w:rPr>
          <w:rFonts w:ascii="Arial" w:hAnsi="Arial" w:cs="Arial"/>
          <w:bCs/>
          <w:sz w:val="20"/>
          <w:szCs w:val="20"/>
        </w:rPr>
        <w:t xml:space="preserve"> à distance</w:t>
      </w:r>
    </w:p>
    <w:p w:rsidR="00105981" w:rsidRDefault="00105981" w:rsidP="004E678D">
      <w:pPr>
        <w:jc w:val="both"/>
        <w:rPr>
          <w:rFonts w:ascii="Arial" w:hAnsi="Arial" w:cs="Arial"/>
          <w:bCs/>
          <w:sz w:val="20"/>
          <w:szCs w:val="20"/>
        </w:rPr>
      </w:pPr>
    </w:p>
    <w:p w:rsidR="005637AA" w:rsidRPr="004E678D" w:rsidRDefault="005637AA" w:rsidP="004E678D">
      <w:pPr>
        <w:jc w:val="both"/>
        <w:rPr>
          <w:rFonts w:ascii="Arial" w:hAnsi="Arial" w:cs="Arial"/>
          <w:bCs/>
          <w:sz w:val="20"/>
          <w:szCs w:val="20"/>
        </w:rPr>
      </w:pPr>
    </w:p>
    <w:sectPr w:rsidR="005637AA" w:rsidRPr="004E678D" w:rsidSect="0063328B">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96" w:rsidRDefault="00A97696" w:rsidP="002A6978">
      <w:pPr>
        <w:spacing w:line="240" w:lineRule="auto"/>
      </w:pPr>
      <w:r>
        <w:separator/>
      </w:r>
    </w:p>
  </w:endnote>
  <w:endnote w:type="continuationSeparator" w:id="0">
    <w:p w:rsidR="00A97696" w:rsidRDefault="00A97696"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84912"/>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7A72C4">
          <w:rPr>
            <w:noProof/>
          </w:rPr>
          <w:t>2</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96" w:rsidRDefault="00A97696" w:rsidP="002A6978">
      <w:pPr>
        <w:spacing w:line="240" w:lineRule="auto"/>
      </w:pPr>
      <w:r>
        <w:separator/>
      </w:r>
    </w:p>
  </w:footnote>
  <w:footnote w:type="continuationSeparator" w:id="0">
    <w:p w:rsidR="00A97696" w:rsidRDefault="00A97696" w:rsidP="002A6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23" w:rsidRDefault="00417923" w:rsidP="0063328B">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BFF" w:rsidRDefault="003A5BFF" w:rsidP="003A5BFF">
    <w:pPr>
      <w:pStyle w:val="En-tte"/>
      <w:jc w:val="right"/>
      <w:rPr>
        <w:rFonts w:ascii="Times New Roman" w:hAnsi="Times New Roman" w:cs="Times New Roman"/>
        <w:i/>
      </w:rPr>
    </w:pPr>
    <w:r>
      <w:rPr>
        <w:rFonts w:ascii="Times New Roman" w:hAnsi="Times New Roman" w:cs="Times New Roman"/>
        <w:i/>
      </w:rPr>
      <w:t>Annexe 2 de l’instruction  n° 2019-I-17 du 23 avril 2019</w:t>
    </w:r>
  </w:p>
  <w:p w:rsidR="0063328B" w:rsidRDefault="006332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64442B"/>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A61966"/>
    <w:multiLevelType w:val="hybridMultilevel"/>
    <w:tmpl w:val="48E01FF4"/>
    <w:lvl w:ilvl="0" w:tplc="0F2EB580">
      <w:start w:val="5"/>
      <w:numFmt w:val="bullet"/>
      <w:lvlText w:val="–"/>
      <w:lvlJc w:val="left"/>
      <w:pPr>
        <w:tabs>
          <w:tab w:val="num" w:pos="357"/>
        </w:tabs>
        <w:ind w:left="357" w:hanging="35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9"/>
  </w:num>
  <w:num w:numId="3">
    <w:abstractNumId w:val="39"/>
  </w:num>
  <w:num w:numId="4">
    <w:abstractNumId w:val="14"/>
  </w:num>
  <w:num w:numId="5">
    <w:abstractNumId w:val="23"/>
  </w:num>
  <w:num w:numId="6">
    <w:abstractNumId w:val="25"/>
  </w:num>
  <w:num w:numId="7">
    <w:abstractNumId w:val="18"/>
  </w:num>
  <w:num w:numId="8">
    <w:abstractNumId w:val="21"/>
  </w:num>
  <w:num w:numId="9">
    <w:abstractNumId w:val="4"/>
  </w:num>
  <w:num w:numId="10">
    <w:abstractNumId w:val="31"/>
  </w:num>
  <w:num w:numId="11">
    <w:abstractNumId w:val="8"/>
  </w:num>
  <w:num w:numId="12">
    <w:abstractNumId w:val="17"/>
  </w:num>
  <w:num w:numId="13">
    <w:abstractNumId w:val="29"/>
  </w:num>
  <w:num w:numId="14">
    <w:abstractNumId w:val="34"/>
  </w:num>
  <w:num w:numId="15">
    <w:abstractNumId w:val="26"/>
  </w:num>
  <w:num w:numId="16">
    <w:abstractNumId w:val="9"/>
  </w:num>
  <w:num w:numId="17">
    <w:abstractNumId w:val="33"/>
  </w:num>
  <w:num w:numId="18">
    <w:abstractNumId w:val="1"/>
  </w:num>
  <w:num w:numId="19">
    <w:abstractNumId w:val="30"/>
  </w:num>
  <w:num w:numId="20">
    <w:abstractNumId w:val="11"/>
  </w:num>
  <w:num w:numId="21">
    <w:abstractNumId w:val="36"/>
  </w:num>
  <w:num w:numId="22">
    <w:abstractNumId w:val="16"/>
  </w:num>
  <w:num w:numId="23">
    <w:abstractNumId w:val="32"/>
  </w:num>
  <w:num w:numId="24">
    <w:abstractNumId w:val="37"/>
  </w:num>
  <w:num w:numId="25">
    <w:abstractNumId w:val="2"/>
  </w:num>
  <w:num w:numId="26">
    <w:abstractNumId w:val="40"/>
  </w:num>
  <w:num w:numId="27">
    <w:abstractNumId w:val="28"/>
  </w:num>
  <w:num w:numId="28">
    <w:abstractNumId w:val="38"/>
  </w:num>
  <w:num w:numId="29">
    <w:abstractNumId w:val="7"/>
  </w:num>
  <w:num w:numId="30">
    <w:abstractNumId w:val="22"/>
  </w:num>
  <w:num w:numId="31">
    <w:abstractNumId w:val="5"/>
  </w:num>
  <w:num w:numId="32">
    <w:abstractNumId w:val="27"/>
  </w:num>
  <w:num w:numId="33">
    <w:abstractNumId w:val="41"/>
  </w:num>
  <w:num w:numId="34">
    <w:abstractNumId w:val="20"/>
  </w:num>
  <w:num w:numId="35">
    <w:abstractNumId w:val="0"/>
  </w:num>
  <w:num w:numId="36">
    <w:abstractNumId w:val="13"/>
  </w:num>
  <w:num w:numId="37">
    <w:abstractNumId w:val="10"/>
  </w:num>
  <w:num w:numId="38">
    <w:abstractNumId w:val="15"/>
  </w:num>
  <w:num w:numId="39">
    <w:abstractNumId w:val="3"/>
  </w:num>
  <w:num w:numId="40">
    <w:abstractNumId w:val="35"/>
  </w:num>
  <w:num w:numId="41">
    <w:abstractNumId w:val="12"/>
  </w:num>
  <w:num w:numId="42">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74CE"/>
    <w:rsid w:val="0003038E"/>
    <w:rsid w:val="00050D2D"/>
    <w:rsid w:val="00060AA5"/>
    <w:rsid w:val="00063179"/>
    <w:rsid w:val="0007257B"/>
    <w:rsid w:val="000763B2"/>
    <w:rsid w:val="000812AF"/>
    <w:rsid w:val="00082967"/>
    <w:rsid w:val="000829F4"/>
    <w:rsid w:val="00084F1D"/>
    <w:rsid w:val="00087CAF"/>
    <w:rsid w:val="000907A6"/>
    <w:rsid w:val="000A0972"/>
    <w:rsid w:val="000A6B98"/>
    <w:rsid w:val="000B6089"/>
    <w:rsid w:val="000E04FA"/>
    <w:rsid w:val="000E1951"/>
    <w:rsid w:val="000E7F2D"/>
    <w:rsid w:val="000F16B5"/>
    <w:rsid w:val="00105981"/>
    <w:rsid w:val="00113ACB"/>
    <w:rsid w:val="00114245"/>
    <w:rsid w:val="00115730"/>
    <w:rsid w:val="00120072"/>
    <w:rsid w:val="001310A0"/>
    <w:rsid w:val="001363B8"/>
    <w:rsid w:val="001377EB"/>
    <w:rsid w:val="00150D65"/>
    <w:rsid w:val="00151266"/>
    <w:rsid w:val="00153ED2"/>
    <w:rsid w:val="00164F53"/>
    <w:rsid w:val="00180EE5"/>
    <w:rsid w:val="001A2A60"/>
    <w:rsid w:val="001B5323"/>
    <w:rsid w:val="001C52FB"/>
    <w:rsid w:val="001C70A4"/>
    <w:rsid w:val="002041CC"/>
    <w:rsid w:val="00204E11"/>
    <w:rsid w:val="00206EB8"/>
    <w:rsid w:val="00222FC2"/>
    <w:rsid w:val="00234B8E"/>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306DCF"/>
    <w:rsid w:val="0031121C"/>
    <w:rsid w:val="00315DCD"/>
    <w:rsid w:val="00315E00"/>
    <w:rsid w:val="00335C2E"/>
    <w:rsid w:val="0034435B"/>
    <w:rsid w:val="00344419"/>
    <w:rsid w:val="0036179E"/>
    <w:rsid w:val="00367175"/>
    <w:rsid w:val="00367617"/>
    <w:rsid w:val="00372666"/>
    <w:rsid w:val="003866ED"/>
    <w:rsid w:val="00392DB8"/>
    <w:rsid w:val="00393E10"/>
    <w:rsid w:val="003A08BB"/>
    <w:rsid w:val="003A31BA"/>
    <w:rsid w:val="003A38FA"/>
    <w:rsid w:val="003A51B5"/>
    <w:rsid w:val="003A5ADA"/>
    <w:rsid w:val="003A5BFF"/>
    <w:rsid w:val="003B1354"/>
    <w:rsid w:val="003B6971"/>
    <w:rsid w:val="003D2C56"/>
    <w:rsid w:val="003F4B79"/>
    <w:rsid w:val="004008EC"/>
    <w:rsid w:val="004055D9"/>
    <w:rsid w:val="004100F8"/>
    <w:rsid w:val="00417923"/>
    <w:rsid w:val="004214E6"/>
    <w:rsid w:val="0042423E"/>
    <w:rsid w:val="0042499A"/>
    <w:rsid w:val="00437192"/>
    <w:rsid w:val="00437194"/>
    <w:rsid w:val="0044354F"/>
    <w:rsid w:val="00460898"/>
    <w:rsid w:val="00460CAF"/>
    <w:rsid w:val="00475163"/>
    <w:rsid w:val="0048236B"/>
    <w:rsid w:val="00482E26"/>
    <w:rsid w:val="004837CA"/>
    <w:rsid w:val="004A4685"/>
    <w:rsid w:val="004C231A"/>
    <w:rsid w:val="004C4753"/>
    <w:rsid w:val="004C519E"/>
    <w:rsid w:val="004C61C6"/>
    <w:rsid w:val="004D12D2"/>
    <w:rsid w:val="004D57CD"/>
    <w:rsid w:val="004E2B0E"/>
    <w:rsid w:val="004E678D"/>
    <w:rsid w:val="004F136C"/>
    <w:rsid w:val="004F3D9B"/>
    <w:rsid w:val="004F71A8"/>
    <w:rsid w:val="00500FF0"/>
    <w:rsid w:val="00516CDF"/>
    <w:rsid w:val="00533125"/>
    <w:rsid w:val="00535F99"/>
    <w:rsid w:val="00540335"/>
    <w:rsid w:val="005408AF"/>
    <w:rsid w:val="00555AEB"/>
    <w:rsid w:val="00563425"/>
    <w:rsid w:val="005637AA"/>
    <w:rsid w:val="005774DF"/>
    <w:rsid w:val="00582158"/>
    <w:rsid w:val="0058646A"/>
    <w:rsid w:val="0059210A"/>
    <w:rsid w:val="0059792C"/>
    <w:rsid w:val="005A0786"/>
    <w:rsid w:val="005A3509"/>
    <w:rsid w:val="005A65F5"/>
    <w:rsid w:val="005C2357"/>
    <w:rsid w:val="005D2276"/>
    <w:rsid w:val="005D261E"/>
    <w:rsid w:val="005D3DC4"/>
    <w:rsid w:val="005E7C66"/>
    <w:rsid w:val="005F4507"/>
    <w:rsid w:val="00601E1C"/>
    <w:rsid w:val="00604345"/>
    <w:rsid w:val="00610094"/>
    <w:rsid w:val="0061131E"/>
    <w:rsid w:val="00612C40"/>
    <w:rsid w:val="00623E23"/>
    <w:rsid w:val="0062526D"/>
    <w:rsid w:val="0063328B"/>
    <w:rsid w:val="006376DA"/>
    <w:rsid w:val="00637847"/>
    <w:rsid w:val="0064701C"/>
    <w:rsid w:val="00656817"/>
    <w:rsid w:val="00671FD6"/>
    <w:rsid w:val="006747CC"/>
    <w:rsid w:val="006802D2"/>
    <w:rsid w:val="00680C1F"/>
    <w:rsid w:val="00685A77"/>
    <w:rsid w:val="00696BE8"/>
    <w:rsid w:val="0069789E"/>
    <w:rsid w:val="006A5378"/>
    <w:rsid w:val="006B0C92"/>
    <w:rsid w:val="006B2BF4"/>
    <w:rsid w:val="006C163B"/>
    <w:rsid w:val="006C4CDA"/>
    <w:rsid w:val="006D0FA2"/>
    <w:rsid w:val="006D2514"/>
    <w:rsid w:val="006D6B1B"/>
    <w:rsid w:val="006E45EE"/>
    <w:rsid w:val="006E59D6"/>
    <w:rsid w:val="006F2A62"/>
    <w:rsid w:val="0071524A"/>
    <w:rsid w:val="00716D2D"/>
    <w:rsid w:val="007213E3"/>
    <w:rsid w:val="00734AC6"/>
    <w:rsid w:val="0074681F"/>
    <w:rsid w:val="0075279A"/>
    <w:rsid w:val="00752BEB"/>
    <w:rsid w:val="00763DBC"/>
    <w:rsid w:val="00767145"/>
    <w:rsid w:val="00771E47"/>
    <w:rsid w:val="007969FF"/>
    <w:rsid w:val="00796D0F"/>
    <w:rsid w:val="007A72C4"/>
    <w:rsid w:val="007B296E"/>
    <w:rsid w:val="007C08A6"/>
    <w:rsid w:val="007C374C"/>
    <w:rsid w:val="007D059F"/>
    <w:rsid w:val="007E55EA"/>
    <w:rsid w:val="007F1867"/>
    <w:rsid w:val="0081365A"/>
    <w:rsid w:val="0081460A"/>
    <w:rsid w:val="0082641F"/>
    <w:rsid w:val="0083357C"/>
    <w:rsid w:val="00834126"/>
    <w:rsid w:val="00834ECF"/>
    <w:rsid w:val="008475CE"/>
    <w:rsid w:val="008502F3"/>
    <w:rsid w:val="0086353E"/>
    <w:rsid w:val="008855D5"/>
    <w:rsid w:val="00886026"/>
    <w:rsid w:val="00886FB2"/>
    <w:rsid w:val="008A16E4"/>
    <w:rsid w:val="008A3144"/>
    <w:rsid w:val="008A4A3F"/>
    <w:rsid w:val="008B7F05"/>
    <w:rsid w:val="008D2CD6"/>
    <w:rsid w:val="008E1D36"/>
    <w:rsid w:val="008E3480"/>
    <w:rsid w:val="008E4D4F"/>
    <w:rsid w:val="008F0892"/>
    <w:rsid w:val="008F0E6D"/>
    <w:rsid w:val="008F4CC6"/>
    <w:rsid w:val="008F5117"/>
    <w:rsid w:val="00901D5B"/>
    <w:rsid w:val="00904AA9"/>
    <w:rsid w:val="00920CBF"/>
    <w:rsid w:val="009224F2"/>
    <w:rsid w:val="00923089"/>
    <w:rsid w:val="00955A7B"/>
    <w:rsid w:val="0096059F"/>
    <w:rsid w:val="009610C7"/>
    <w:rsid w:val="00970E4B"/>
    <w:rsid w:val="009761FA"/>
    <w:rsid w:val="00980C20"/>
    <w:rsid w:val="0098109D"/>
    <w:rsid w:val="00983971"/>
    <w:rsid w:val="00994D03"/>
    <w:rsid w:val="009A1201"/>
    <w:rsid w:val="009A6343"/>
    <w:rsid w:val="009B0CEB"/>
    <w:rsid w:val="009B1A12"/>
    <w:rsid w:val="009C0A2F"/>
    <w:rsid w:val="009C46B7"/>
    <w:rsid w:val="009C7C77"/>
    <w:rsid w:val="009D0BD0"/>
    <w:rsid w:val="009D5BCE"/>
    <w:rsid w:val="009E3CCC"/>
    <w:rsid w:val="009E4994"/>
    <w:rsid w:val="009E5481"/>
    <w:rsid w:val="009E5B10"/>
    <w:rsid w:val="009E61F3"/>
    <w:rsid w:val="009E791B"/>
    <w:rsid w:val="00A03899"/>
    <w:rsid w:val="00A06CB5"/>
    <w:rsid w:val="00A1057D"/>
    <w:rsid w:val="00A108E5"/>
    <w:rsid w:val="00A1133A"/>
    <w:rsid w:val="00A23BCD"/>
    <w:rsid w:val="00A3191F"/>
    <w:rsid w:val="00A34629"/>
    <w:rsid w:val="00A34E99"/>
    <w:rsid w:val="00A350BA"/>
    <w:rsid w:val="00A535A3"/>
    <w:rsid w:val="00A574E3"/>
    <w:rsid w:val="00A63F42"/>
    <w:rsid w:val="00A70190"/>
    <w:rsid w:val="00A7321D"/>
    <w:rsid w:val="00A75463"/>
    <w:rsid w:val="00A86ADC"/>
    <w:rsid w:val="00A86F97"/>
    <w:rsid w:val="00A97696"/>
    <w:rsid w:val="00A97FD5"/>
    <w:rsid w:val="00AA4FE8"/>
    <w:rsid w:val="00AA52C1"/>
    <w:rsid w:val="00AB147A"/>
    <w:rsid w:val="00AC0EC7"/>
    <w:rsid w:val="00AC6F2D"/>
    <w:rsid w:val="00AD56C7"/>
    <w:rsid w:val="00AD6644"/>
    <w:rsid w:val="00AD6B44"/>
    <w:rsid w:val="00AE7658"/>
    <w:rsid w:val="00AF4EA0"/>
    <w:rsid w:val="00AF7954"/>
    <w:rsid w:val="00B00A2F"/>
    <w:rsid w:val="00B13F11"/>
    <w:rsid w:val="00B154D4"/>
    <w:rsid w:val="00B16586"/>
    <w:rsid w:val="00B20E36"/>
    <w:rsid w:val="00B25510"/>
    <w:rsid w:val="00B4151E"/>
    <w:rsid w:val="00B42C46"/>
    <w:rsid w:val="00B47F33"/>
    <w:rsid w:val="00B5127B"/>
    <w:rsid w:val="00B5257A"/>
    <w:rsid w:val="00B6762C"/>
    <w:rsid w:val="00B764C2"/>
    <w:rsid w:val="00BA6E77"/>
    <w:rsid w:val="00BA7859"/>
    <w:rsid w:val="00BB31BB"/>
    <w:rsid w:val="00BC0319"/>
    <w:rsid w:val="00BD006B"/>
    <w:rsid w:val="00BD4838"/>
    <w:rsid w:val="00BE3094"/>
    <w:rsid w:val="00BE4377"/>
    <w:rsid w:val="00BF3A41"/>
    <w:rsid w:val="00BF7699"/>
    <w:rsid w:val="00BF7B55"/>
    <w:rsid w:val="00C02FC0"/>
    <w:rsid w:val="00C06D7F"/>
    <w:rsid w:val="00C16929"/>
    <w:rsid w:val="00C24395"/>
    <w:rsid w:val="00C36FF0"/>
    <w:rsid w:val="00C42F73"/>
    <w:rsid w:val="00C51BB4"/>
    <w:rsid w:val="00C60C85"/>
    <w:rsid w:val="00C72146"/>
    <w:rsid w:val="00C84715"/>
    <w:rsid w:val="00C9515F"/>
    <w:rsid w:val="00C95A12"/>
    <w:rsid w:val="00C97658"/>
    <w:rsid w:val="00CC2987"/>
    <w:rsid w:val="00CD1201"/>
    <w:rsid w:val="00CD54EC"/>
    <w:rsid w:val="00CE279A"/>
    <w:rsid w:val="00CF3239"/>
    <w:rsid w:val="00CF5F6E"/>
    <w:rsid w:val="00CF63D1"/>
    <w:rsid w:val="00D042DB"/>
    <w:rsid w:val="00D064B3"/>
    <w:rsid w:val="00D125D6"/>
    <w:rsid w:val="00D13F98"/>
    <w:rsid w:val="00D14866"/>
    <w:rsid w:val="00D20BC6"/>
    <w:rsid w:val="00D25155"/>
    <w:rsid w:val="00D35360"/>
    <w:rsid w:val="00D4351C"/>
    <w:rsid w:val="00D44DCD"/>
    <w:rsid w:val="00D50757"/>
    <w:rsid w:val="00D53DE9"/>
    <w:rsid w:val="00D5661C"/>
    <w:rsid w:val="00D56F36"/>
    <w:rsid w:val="00D61484"/>
    <w:rsid w:val="00D67FC2"/>
    <w:rsid w:val="00D723B8"/>
    <w:rsid w:val="00D848D7"/>
    <w:rsid w:val="00D97932"/>
    <w:rsid w:val="00DA15BA"/>
    <w:rsid w:val="00DA7DF3"/>
    <w:rsid w:val="00DB7697"/>
    <w:rsid w:val="00DB76E2"/>
    <w:rsid w:val="00DC07C1"/>
    <w:rsid w:val="00DC2B70"/>
    <w:rsid w:val="00DC66FF"/>
    <w:rsid w:val="00DD2532"/>
    <w:rsid w:val="00DD753E"/>
    <w:rsid w:val="00DE25B4"/>
    <w:rsid w:val="00DE3D4E"/>
    <w:rsid w:val="00DF0579"/>
    <w:rsid w:val="00DF18ED"/>
    <w:rsid w:val="00E20A3F"/>
    <w:rsid w:val="00E21607"/>
    <w:rsid w:val="00E31DE1"/>
    <w:rsid w:val="00E51F14"/>
    <w:rsid w:val="00E53112"/>
    <w:rsid w:val="00E65E52"/>
    <w:rsid w:val="00E7198E"/>
    <w:rsid w:val="00E73573"/>
    <w:rsid w:val="00E748C9"/>
    <w:rsid w:val="00E74F71"/>
    <w:rsid w:val="00E867A3"/>
    <w:rsid w:val="00E92C83"/>
    <w:rsid w:val="00E975E7"/>
    <w:rsid w:val="00EA5EFF"/>
    <w:rsid w:val="00EB2780"/>
    <w:rsid w:val="00EB6A55"/>
    <w:rsid w:val="00ED1A17"/>
    <w:rsid w:val="00ED5DE5"/>
    <w:rsid w:val="00EE6645"/>
    <w:rsid w:val="00EF3A4D"/>
    <w:rsid w:val="00EF4048"/>
    <w:rsid w:val="00F0576C"/>
    <w:rsid w:val="00F058B0"/>
    <w:rsid w:val="00F1291C"/>
    <w:rsid w:val="00F12C3E"/>
    <w:rsid w:val="00F16B9E"/>
    <w:rsid w:val="00F44311"/>
    <w:rsid w:val="00F465D2"/>
    <w:rsid w:val="00F557C5"/>
    <w:rsid w:val="00F63AC0"/>
    <w:rsid w:val="00F7087F"/>
    <w:rsid w:val="00F739D5"/>
    <w:rsid w:val="00F76D3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4179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4179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772356793">
      <w:bodyDiv w:val="1"/>
      <w:marLeft w:val="0"/>
      <w:marRight w:val="0"/>
      <w:marTop w:val="0"/>
      <w:marBottom w:val="0"/>
      <w:divBdr>
        <w:top w:val="none" w:sz="0" w:space="0" w:color="auto"/>
        <w:left w:val="none" w:sz="0" w:space="0" w:color="auto"/>
        <w:bottom w:val="none" w:sz="0" w:space="0" w:color="auto"/>
        <w:right w:val="none" w:sz="0" w:space="0" w:color="auto"/>
      </w:divBdr>
    </w:div>
    <w:div w:id="1188449092">
      <w:bodyDiv w:val="1"/>
      <w:marLeft w:val="0"/>
      <w:marRight w:val="0"/>
      <w:marTop w:val="0"/>
      <w:marBottom w:val="0"/>
      <w:divBdr>
        <w:top w:val="none" w:sz="0" w:space="0" w:color="auto"/>
        <w:left w:val="none" w:sz="0" w:space="0" w:color="auto"/>
        <w:bottom w:val="none" w:sz="0" w:space="0" w:color="auto"/>
        <w:right w:val="none" w:sz="0" w:space="0" w:color="auto"/>
      </w:divBdr>
    </w:div>
    <w:div w:id="1240214551">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 w:id="19326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cpr-autorisations.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22B6-F97E-4253-A23B-2D8B6EE6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71F1C8E9.dotm</Template>
  <TotalTime>8</TotalTime>
  <Pages>8</Pages>
  <Words>1901</Words>
  <Characters>10456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Clémence (UA 2788); DELEVA Androniki (UA 2788)</dc:creator>
  <cp:lastModifiedBy>Marion GIRONNET</cp:lastModifiedBy>
  <cp:revision>18</cp:revision>
  <cp:lastPrinted>2019-04-23T16:09:00Z</cp:lastPrinted>
  <dcterms:created xsi:type="dcterms:W3CDTF">2018-11-30T13:31:00Z</dcterms:created>
  <dcterms:modified xsi:type="dcterms:W3CDTF">2019-04-23T16:09:00Z</dcterms:modified>
</cp:coreProperties>
</file>