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4E1" w14:textId="77777777" w:rsidR="006B4C7E" w:rsidRPr="006B4C7E" w:rsidRDefault="00C61482" w:rsidP="006B4C7E">
      <w:pPr>
        <w:spacing w:after="0" w:line="480" w:lineRule="auto"/>
        <w:jc w:val="center"/>
        <w:rPr>
          <w:sz w:val="44"/>
          <w:szCs w:val="44"/>
        </w:rPr>
      </w:pPr>
      <w:r w:rsidRPr="006B4C7E">
        <w:rPr>
          <w:sz w:val="44"/>
          <w:szCs w:val="44"/>
        </w:rPr>
        <w:t>Conférence de l’ACPR</w:t>
      </w:r>
    </w:p>
    <w:p w14:paraId="50703471" w14:textId="62EFB757" w:rsidR="00C61482" w:rsidRPr="006B4C7E" w:rsidRDefault="00C61482" w:rsidP="005F3349">
      <w:pPr>
        <w:spacing w:after="480" w:line="480" w:lineRule="auto"/>
        <w:jc w:val="center"/>
        <w:rPr>
          <w:sz w:val="44"/>
          <w:szCs w:val="44"/>
        </w:rPr>
      </w:pPr>
      <w:proofErr w:type="gramStart"/>
      <w:r w:rsidRPr="006B4C7E">
        <w:rPr>
          <w:sz w:val="44"/>
          <w:szCs w:val="44"/>
        </w:rPr>
        <w:t>du</w:t>
      </w:r>
      <w:proofErr w:type="gramEnd"/>
      <w:r w:rsidRPr="006B4C7E">
        <w:rPr>
          <w:sz w:val="44"/>
          <w:szCs w:val="44"/>
        </w:rPr>
        <w:t xml:space="preserve"> 25 novembre 2025</w:t>
      </w:r>
    </w:p>
    <w:p w14:paraId="7983B055" w14:textId="3B1FD191" w:rsidR="00C61482" w:rsidRPr="006B4C7E" w:rsidRDefault="00C61482" w:rsidP="006B4C7E">
      <w:pPr>
        <w:spacing w:before="240" w:after="120" w:line="360" w:lineRule="auto"/>
        <w:jc w:val="both"/>
        <w:rPr>
          <w:sz w:val="44"/>
          <w:szCs w:val="28"/>
        </w:rPr>
      </w:pPr>
      <w:r w:rsidRPr="006B4C7E">
        <w:rPr>
          <w:sz w:val="44"/>
          <w:szCs w:val="28"/>
        </w:rPr>
        <w:t xml:space="preserve">Après cette brillante présentation </w:t>
      </w:r>
      <w:r w:rsidR="001F1B41">
        <w:rPr>
          <w:sz w:val="44"/>
          <w:szCs w:val="28"/>
        </w:rPr>
        <w:t xml:space="preserve">en duo </w:t>
      </w:r>
      <w:r w:rsidRPr="006B4C7E">
        <w:rPr>
          <w:sz w:val="44"/>
          <w:szCs w:val="28"/>
        </w:rPr>
        <w:t>d’Edouard Fernandez-</w:t>
      </w:r>
      <w:proofErr w:type="spellStart"/>
      <w:r w:rsidRPr="006B4C7E">
        <w:rPr>
          <w:sz w:val="44"/>
          <w:szCs w:val="28"/>
        </w:rPr>
        <w:t>Bollo</w:t>
      </w:r>
      <w:proofErr w:type="spellEnd"/>
      <w:r w:rsidRPr="006B4C7E">
        <w:rPr>
          <w:sz w:val="44"/>
          <w:szCs w:val="28"/>
        </w:rPr>
        <w:t xml:space="preserve"> </w:t>
      </w:r>
      <w:r w:rsidR="001F1B41">
        <w:rPr>
          <w:sz w:val="44"/>
          <w:szCs w:val="28"/>
        </w:rPr>
        <w:t>et d’Evelyne Massé</w:t>
      </w:r>
      <w:r w:rsidRPr="006B4C7E">
        <w:rPr>
          <w:sz w:val="44"/>
          <w:szCs w:val="28"/>
        </w:rPr>
        <w:t>, nous aurons deux tables rondes, la première sur le</w:t>
      </w:r>
      <w:r w:rsidR="001F1B41">
        <w:rPr>
          <w:sz w:val="44"/>
          <w:szCs w:val="28"/>
        </w:rPr>
        <w:t>s</w:t>
      </w:r>
      <w:r w:rsidRPr="006B4C7E">
        <w:rPr>
          <w:sz w:val="44"/>
          <w:szCs w:val="28"/>
        </w:rPr>
        <w:t xml:space="preserve"> modèle</w:t>
      </w:r>
      <w:r w:rsidR="001F1B41">
        <w:rPr>
          <w:sz w:val="44"/>
          <w:szCs w:val="28"/>
        </w:rPr>
        <w:t xml:space="preserve">s d’affaires des institutions </w:t>
      </w:r>
      <w:proofErr w:type="gramStart"/>
      <w:r w:rsidR="001F1B41">
        <w:rPr>
          <w:sz w:val="44"/>
          <w:szCs w:val="28"/>
        </w:rPr>
        <w:t>financières</w:t>
      </w:r>
      <w:proofErr w:type="gramEnd"/>
      <w:r w:rsidRPr="006B4C7E">
        <w:rPr>
          <w:sz w:val="44"/>
          <w:szCs w:val="28"/>
        </w:rPr>
        <w:t xml:space="preserve"> français</w:t>
      </w:r>
      <w:r w:rsidR="001F1B41">
        <w:rPr>
          <w:sz w:val="44"/>
          <w:szCs w:val="28"/>
        </w:rPr>
        <w:t>es</w:t>
      </w:r>
      <w:r w:rsidR="0015436B" w:rsidRPr="006B4C7E">
        <w:rPr>
          <w:sz w:val="44"/>
          <w:szCs w:val="28"/>
        </w:rPr>
        <w:t xml:space="preserve">, la </w:t>
      </w:r>
      <w:r w:rsidR="00994C38">
        <w:rPr>
          <w:sz w:val="44"/>
          <w:szCs w:val="28"/>
        </w:rPr>
        <w:t>seconde</w:t>
      </w:r>
      <w:r w:rsidR="0015436B" w:rsidRPr="006B4C7E">
        <w:rPr>
          <w:sz w:val="44"/>
          <w:szCs w:val="28"/>
        </w:rPr>
        <w:t xml:space="preserve"> sur le cadre </w:t>
      </w:r>
      <w:r w:rsidR="0015436B" w:rsidRPr="00FE5AAD">
        <w:rPr>
          <w:sz w:val="44"/>
          <w:szCs w:val="28"/>
        </w:rPr>
        <w:t>de résolution</w:t>
      </w:r>
      <w:r w:rsidR="0015436B" w:rsidRPr="006B4C7E">
        <w:rPr>
          <w:sz w:val="44"/>
          <w:szCs w:val="28"/>
        </w:rPr>
        <w:t xml:space="preserve">. Mon intervention se place en </w:t>
      </w:r>
      <w:r w:rsidR="006D68F3" w:rsidRPr="006B4C7E">
        <w:rPr>
          <w:sz w:val="44"/>
          <w:szCs w:val="28"/>
        </w:rPr>
        <w:t>avant-première</w:t>
      </w:r>
      <w:r w:rsidR="0015436B" w:rsidRPr="006B4C7E">
        <w:rPr>
          <w:sz w:val="44"/>
          <w:szCs w:val="28"/>
        </w:rPr>
        <w:t xml:space="preserve"> de ces débats et n’a d’autre ambition que d’illustrer les acquis de notre système de </w:t>
      </w:r>
      <w:r w:rsidR="006D68F3" w:rsidRPr="006B4C7E">
        <w:rPr>
          <w:sz w:val="44"/>
          <w:szCs w:val="28"/>
        </w:rPr>
        <w:t>supervision</w:t>
      </w:r>
      <w:r w:rsidR="0015436B" w:rsidRPr="006B4C7E">
        <w:rPr>
          <w:sz w:val="44"/>
          <w:szCs w:val="28"/>
        </w:rPr>
        <w:t xml:space="preserve">, tout en mettant en évidence </w:t>
      </w:r>
      <w:r w:rsidR="006D68F3" w:rsidRPr="006B4C7E">
        <w:rPr>
          <w:sz w:val="44"/>
          <w:szCs w:val="28"/>
        </w:rPr>
        <w:t>quelques-unes</w:t>
      </w:r>
      <w:r w:rsidR="0015436B" w:rsidRPr="006B4C7E">
        <w:rPr>
          <w:sz w:val="44"/>
          <w:szCs w:val="28"/>
        </w:rPr>
        <w:t xml:space="preserve"> des incertitudes auxquelles il sera confronté.</w:t>
      </w:r>
    </w:p>
    <w:p w14:paraId="4CABA777" w14:textId="1C3AB855" w:rsidR="0015436B" w:rsidRPr="006B4C7E" w:rsidRDefault="0015436B" w:rsidP="006D68F3">
      <w:pPr>
        <w:spacing w:after="120" w:line="360" w:lineRule="auto"/>
        <w:jc w:val="both"/>
        <w:rPr>
          <w:sz w:val="44"/>
          <w:szCs w:val="28"/>
        </w:rPr>
      </w:pPr>
      <w:r w:rsidRPr="006B4C7E">
        <w:rPr>
          <w:sz w:val="44"/>
          <w:szCs w:val="28"/>
        </w:rPr>
        <w:t xml:space="preserve">D’abord un coup d’œil sur le bilan de ces 15 ans, </w:t>
      </w:r>
      <w:r w:rsidR="00B352B3" w:rsidRPr="006B4C7E">
        <w:rPr>
          <w:sz w:val="44"/>
          <w:szCs w:val="28"/>
        </w:rPr>
        <w:t>de l’ACPR. Comme la vidéo présentée en ouverture de cette journée le souligne, la création de l’ACPR en 2010 est une des réponses institutionnelles à la crise de 2008.</w:t>
      </w:r>
      <w:r w:rsidR="000D5D10" w:rsidRPr="006B4C7E">
        <w:rPr>
          <w:sz w:val="44"/>
          <w:szCs w:val="28"/>
        </w:rPr>
        <w:t xml:space="preserve"> Et nous pouvons affi</w:t>
      </w:r>
      <w:r w:rsidR="006D68F3" w:rsidRPr="006B4C7E">
        <w:rPr>
          <w:sz w:val="44"/>
          <w:szCs w:val="28"/>
        </w:rPr>
        <w:t>r</w:t>
      </w:r>
      <w:r w:rsidR="000D5D10" w:rsidRPr="006B4C7E">
        <w:rPr>
          <w:sz w:val="44"/>
          <w:szCs w:val="28"/>
        </w:rPr>
        <w:t xml:space="preserve">mer avec </w:t>
      </w:r>
      <w:r w:rsidR="00BE009F">
        <w:rPr>
          <w:sz w:val="44"/>
          <w:szCs w:val="28"/>
        </w:rPr>
        <w:t>force</w:t>
      </w:r>
      <w:r w:rsidR="000D5D10" w:rsidRPr="006B4C7E">
        <w:rPr>
          <w:sz w:val="44"/>
          <w:szCs w:val="28"/>
        </w:rPr>
        <w:t xml:space="preserve"> que ni en banque, ni en assurance, nous </w:t>
      </w:r>
      <w:r w:rsidR="00FE5AAD">
        <w:rPr>
          <w:sz w:val="44"/>
          <w:szCs w:val="28"/>
        </w:rPr>
        <w:t>n'</w:t>
      </w:r>
      <w:r w:rsidR="000D5D10" w:rsidRPr="006B4C7E">
        <w:rPr>
          <w:sz w:val="44"/>
          <w:szCs w:val="28"/>
        </w:rPr>
        <w:t>avons eu à connaître de défaillance notable depuis lors. Et lorsque la Secrétaire générale de l’ACPR a présenté en octobre le dernier rapport sur les chiffres qui caractérisent nos institutions financières, elle a pu conclure à la résilience de notre système financier. Cet acquis est remarquable. Il doit beaucoup à notre pratique de la supervision. Pr</w:t>
      </w:r>
      <w:r w:rsidR="00700D46">
        <w:rPr>
          <w:sz w:val="44"/>
          <w:szCs w:val="28"/>
        </w:rPr>
        <w:t>a</w:t>
      </w:r>
      <w:r w:rsidR="000D5D10" w:rsidRPr="006B4C7E">
        <w:rPr>
          <w:sz w:val="44"/>
          <w:szCs w:val="28"/>
        </w:rPr>
        <w:t xml:space="preserve">tique partagée avec Francfort pour les banques bien sûr. Pratique unifiée banque-assurance depuis 15 ans, non sans </w:t>
      </w:r>
      <w:r w:rsidR="001F1B41">
        <w:rPr>
          <w:sz w:val="44"/>
          <w:szCs w:val="28"/>
        </w:rPr>
        <w:t xml:space="preserve">quelques </w:t>
      </w:r>
      <w:r w:rsidR="000D5D10" w:rsidRPr="006B4C7E">
        <w:rPr>
          <w:sz w:val="44"/>
          <w:szCs w:val="28"/>
        </w:rPr>
        <w:t>réticence</w:t>
      </w:r>
      <w:r w:rsidR="001F1B41">
        <w:rPr>
          <w:sz w:val="44"/>
          <w:szCs w:val="28"/>
        </w:rPr>
        <w:t>s</w:t>
      </w:r>
      <w:r w:rsidR="000D5D10" w:rsidRPr="006B4C7E">
        <w:rPr>
          <w:sz w:val="44"/>
          <w:szCs w:val="28"/>
        </w:rPr>
        <w:t xml:space="preserve"> au départ comme l’a s</w:t>
      </w:r>
      <w:r w:rsidR="00E75D35">
        <w:rPr>
          <w:sz w:val="44"/>
          <w:szCs w:val="28"/>
        </w:rPr>
        <w:t>uggéré</w:t>
      </w:r>
      <w:r w:rsidR="000D5D10" w:rsidRPr="006B4C7E">
        <w:rPr>
          <w:sz w:val="44"/>
          <w:szCs w:val="28"/>
        </w:rPr>
        <w:t xml:space="preserve"> </w:t>
      </w:r>
      <w:r w:rsidR="001F1B41">
        <w:rPr>
          <w:sz w:val="44"/>
          <w:szCs w:val="28"/>
        </w:rPr>
        <w:t>Evelyne Massé</w:t>
      </w:r>
      <w:r w:rsidR="000D5D10" w:rsidRPr="006B4C7E">
        <w:rPr>
          <w:sz w:val="44"/>
          <w:szCs w:val="28"/>
        </w:rPr>
        <w:t>. Mais en définitive cette unification est bien établie désormais, a</w:t>
      </w:r>
      <w:r w:rsidR="006D68F3" w:rsidRPr="006B4C7E">
        <w:rPr>
          <w:sz w:val="44"/>
          <w:szCs w:val="28"/>
        </w:rPr>
        <w:t>v</w:t>
      </w:r>
      <w:r w:rsidR="000D5D10" w:rsidRPr="006B4C7E">
        <w:rPr>
          <w:sz w:val="44"/>
          <w:szCs w:val="28"/>
        </w:rPr>
        <w:t>ec une richesse accrue des expériences croisées dans ces deux composantes de notre système</w:t>
      </w:r>
      <w:r w:rsidR="0076081E" w:rsidRPr="006B4C7E">
        <w:rPr>
          <w:sz w:val="44"/>
          <w:szCs w:val="28"/>
        </w:rPr>
        <w:t>.</w:t>
      </w:r>
    </w:p>
    <w:p w14:paraId="3D2A4F91" w14:textId="16C29512" w:rsidR="00703AA2" w:rsidRDefault="0076081E" w:rsidP="006D68F3">
      <w:pPr>
        <w:spacing w:after="120" w:line="360" w:lineRule="auto"/>
        <w:jc w:val="both"/>
        <w:rPr>
          <w:sz w:val="44"/>
          <w:szCs w:val="28"/>
        </w:rPr>
      </w:pPr>
      <w:r w:rsidRPr="006B4C7E">
        <w:rPr>
          <w:sz w:val="44"/>
          <w:szCs w:val="28"/>
        </w:rPr>
        <w:t xml:space="preserve">Au cours de </w:t>
      </w:r>
      <w:r w:rsidR="00BE009F">
        <w:rPr>
          <w:sz w:val="44"/>
          <w:szCs w:val="28"/>
        </w:rPr>
        <w:t>s</w:t>
      </w:r>
      <w:r w:rsidRPr="006B4C7E">
        <w:rPr>
          <w:sz w:val="44"/>
          <w:szCs w:val="28"/>
        </w:rPr>
        <w:t xml:space="preserve">es 15 années d’existence, l’ACPR a certes assumé bien des changements, mais aussi une forme de </w:t>
      </w:r>
      <w:r w:rsidR="00FE5AAD">
        <w:rPr>
          <w:sz w:val="44"/>
          <w:szCs w:val="28"/>
        </w:rPr>
        <w:t>continuité</w:t>
      </w:r>
      <w:r w:rsidRPr="006B4C7E">
        <w:rPr>
          <w:sz w:val="44"/>
          <w:szCs w:val="28"/>
        </w:rPr>
        <w:t>. Des changements oui, assurément, i</w:t>
      </w:r>
      <w:r w:rsidR="00F17FCD" w:rsidRPr="006B4C7E">
        <w:rPr>
          <w:sz w:val="44"/>
          <w:szCs w:val="28"/>
        </w:rPr>
        <w:t>l</w:t>
      </w:r>
      <w:r w:rsidRPr="006B4C7E">
        <w:rPr>
          <w:sz w:val="44"/>
          <w:szCs w:val="28"/>
        </w:rPr>
        <w:t xml:space="preserve"> y en a eu beaucoup. Celui </w:t>
      </w:r>
      <w:r w:rsidR="00700D46">
        <w:rPr>
          <w:sz w:val="44"/>
          <w:szCs w:val="28"/>
        </w:rPr>
        <w:t>q</w:t>
      </w:r>
      <w:r w:rsidRPr="006B4C7E">
        <w:rPr>
          <w:sz w:val="44"/>
          <w:szCs w:val="28"/>
        </w:rPr>
        <w:t>ui saute aux yeux est le développement du cadre réglementaire. Les différents p</w:t>
      </w:r>
      <w:r w:rsidR="00FE5AAD">
        <w:rPr>
          <w:sz w:val="44"/>
          <w:szCs w:val="28"/>
        </w:rPr>
        <w:t>aquets</w:t>
      </w:r>
      <w:r w:rsidRPr="006B4C7E">
        <w:rPr>
          <w:sz w:val="44"/>
          <w:szCs w:val="28"/>
        </w:rPr>
        <w:t xml:space="preserve"> bancaires (CRD et C</w:t>
      </w:r>
      <w:r w:rsidR="00FE5AAD">
        <w:rPr>
          <w:sz w:val="44"/>
          <w:szCs w:val="28"/>
        </w:rPr>
        <w:t>R</w:t>
      </w:r>
      <w:r w:rsidRPr="006B4C7E">
        <w:rPr>
          <w:sz w:val="44"/>
          <w:szCs w:val="28"/>
        </w:rPr>
        <w:t xml:space="preserve">R), l’Union bancaire et de résolution, Solvabilité II, avec </w:t>
      </w:r>
      <w:r w:rsidR="00016245">
        <w:rPr>
          <w:sz w:val="44"/>
          <w:szCs w:val="28"/>
        </w:rPr>
        <w:t>s</w:t>
      </w:r>
      <w:r w:rsidRPr="006B4C7E">
        <w:rPr>
          <w:sz w:val="44"/>
          <w:szCs w:val="28"/>
        </w:rPr>
        <w:t>a récente révision</w:t>
      </w:r>
      <w:r w:rsidR="00016245">
        <w:rPr>
          <w:sz w:val="44"/>
          <w:szCs w:val="28"/>
        </w:rPr>
        <w:t>,</w:t>
      </w:r>
      <w:r w:rsidRPr="006B4C7E">
        <w:rPr>
          <w:sz w:val="44"/>
          <w:szCs w:val="28"/>
        </w:rPr>
        <w:t xml:space="preserve"> IRRD, DSP</w:t>
      </w:r>
      <w:r w:rsidR="00F17FCD" w:rsidRPr="006B4C7E">
        <w:rPr>
          <w:sz w:val="44"/>
          <w:szCs w:val="28"/>
        </w:rPr>
        <w:t>2, MICA, DORA, les paquets AML, auxquels on pourrait rajouter la DDA, le RIA voire peut être bientôt l</w:t>
      </w:r>
      <w:r w:rsidR="00016245">
        <w:rPr>
          <w:sz w:val="44"/>
          <w:szCs w:val="28"/>
        </w:rPr>
        <w:t>a</w:t>
      </w:r>
      <w:r w:rsidR="00F17FCD" w:rsidRPr="006B4C7E">
        <w:rPr>
          <w:sz w:val="44"/>
          <w:szCs w:val="28"/>
        </w:rPr>
        <w:t xml:space="preserve"> RIS et FIDA. C’est </w:t>
      </w:r>
      <w:r w:rsidR="00FE5AAD">
        <w:rPr>
          <w:sz w:val="44"/>
          <w:szCs w:val="28"/>
        </w:rPr>
        <w:t>incontestablement</w:t>
      </w:r>
      <w:r w:rsidR="00F17FCD" w:rsidRPr="006B4C7E">
        <w:rPr>
          <w:sz w:val="44"/>
          <w:szCs w:val="28"/>
        </w:rPr>
        <w:t xml:space="preserve"> lourd pour les entreprises du secteur. Mais l’ACPR a toujours eu à cœur d’accompagner les institutions financières dans la m</w:t>
      </w:r>
      <w:r w:rsidR="00700D46">
        <w:rPr>
          <w:sz w:val="44"/>
          <w:szCs w:val="28"/>
        </w:rPr>
        <w:t>i</w:t>
      </w:r>
      <w:r w:rsidR="00F17FCD" w:rsidRPr="006B4C7E">
        <w:rPr>
          <w:sz w:val="44"/>
          <w:szCs w:val="28"/>
        </w:rPr>
        <w:t>se en œuvre de ces réformes. Non seulement parce que c’est son devoir en tant que contrôleur de la conformité</w:t>
      </w:r>
      <w:r w:rsidR="00016245">
        <w:rPr>
          <w:sz w:val="44"/>
          <w:szCs w:val="28"/>
        </w:rPr>
        <w:t>,</w:t>
      </w:r>
      <w:r w:rsidR="00F17FCD" w:rsidRPr="006B4C7E">
        <w:rPr>
          <w:sz w:val="44"/>
          <w:szCs w:val="28"/>
        </w:rPr>
        <w:t xml:space="preserve"> mais aussi pour mettre en exergue l’e</w:t>
      </w:r>
      <w:r w:rsidR="00296937" w:rsidRPr="006B4C7E">
        <w:rPr>
          <w:sz w:val="44"/>
          <w:szCs w:val="28"/>
        </w:rPr>
        <w:t>s</w:t>
      </w:r>
      <w:r w:rsidR="00F17FCD" w:rsidRPr="006B4C7E">
        <w:rPr>
          <w:sz w:val="44"/>
          <w:szCs w:val="28"/>
        </w:rPr>
        <w:t>prit des textes dont il s’agit. Il est</w:t>
      </w:r>
      <w:r w:rsidR="00FE5AAD">
        <w:rPr>
          <w:sz w:val="44"/>
          <w:szCs w:val="28"/>
        </w:rPr>
        <w:t xml:space="preserve"> en effet</w:t>
      </w:r>
      <w:r w:rsidR="00F17FCD" w:rsidRPr="006B4C7E">
        <w:rPr>
          <w:sz w:val="44"/>
          <w:szCs w:val="28"/>
        </w:rPr>
        <w:t xml:space="preserve"> primordial de ne pa</w:t>
      </w:r>
      <w:r w:rsidR="00296937" w:rsidRPr="006B4C7E">
        <w:rPr>
          <w:sz w:val="44"/>
          <w:szCs w:val="28"/>
        </w:rPr>
        <w:t>s</w:t>
      </w:r>
      <w:r w:rsidR="00F17FCD" w:rsidRPr="006B4C7E">
        <w:rPr>
          <w:sz w:val="44"/>
          <w:szCs w:val="28"/>
        </w:rPr>
        <w:t xml:space="preserve"> perdre de vue l’essentiel, c’est-à-dire l’intention qui a motivé ces textes</w:t>
      </w:r>
      <w:r w:rsidR="00FE5AAD">
        <w:rPr>
          <w:sz w:val="44"/>
          <w:szCs w:val="28"/>
        </w:rPr>
        <w:t>. Rappelons-nous ce principe d’action qu</w:t>
      </w:r>
      <w:r w:rsidR="00AD0C1A">
        <w:rPr>
          <w:sz w:val="44"/>
          <w:szCs w:val="28"/>
        </w:rPr>
        <w:t>’en 1801</w:t>
      </w:r>
      <w:r w:rsidR="00F17FCD" w:rsidRPr="006B4C7E">
        <w:rPr>
          <w:sz w:val="44"/>
          <w:szCs w:val="28"/>
        </w:rPr>
        <w:t xml:space="preserve"> </w:t>
      </w:r>
      <w:r w:rsidR="00F6155F">
        <w:rPr>
          <w:sz w:val="44"/>
          <w:szCs w:val="28"/>
        </w:rPr>
        <w:t xml:space="preserve">Portalis </w:t>
      </w:r>
      <w:r w:rsidR="00703AA2">
        <w:rPr>
          <w:sz w:val="44"/>
          <w:szCs w:val="28"/>
        </w:rPr>
        <w:t xml:space="preserve">évoquait </w:t>
      </w:r>
      <w:r w:rsidR="00AD0C1A">
        <w:rPr>
          <w:sz w:val="44"/>
          <w:szCs w:val="28"/>
        </w:rPr>
        <w:t xml:space="preserve">déjà </w:t>
      </w:r>
      <w:r w:rsidR="009B502F">
        <w:rPr>
          <w:sz w:val="44"/>
          <w:szCs w:val="28"/>
        </w:rPr>
        <w:t xml:space="preserve">à </w:t>
      </w:r>
      <w:r w:rsidR="00703AA2">
        <w:rPr>
          <w:sz w:val="44"/>
          <w:szCs w:val="28"/>
        </w:rPr>
        <w:t xml:space="preserve">l’intention de tous les praticiens du droit </w:t>
      </w:r>
      <w:r w:rsidR="00F6155F">
        <w:rPr>
          <w:sz w:val="44"/>
          <w:szCs w:val="28"/>
        </w:rPr>
        <w:t xml:space="preserve">dans </w:t>
      </w:r>
      <w:r w:rsidR="00700D46">
        <w:rPr>
          <w:sz w:val="44"/>
          <w:szCs w:val="28"/>
        </w:rPr>
        <w:t>son discours de présentation du code civil</w:t>
      </w:r>
      <w:r w:rsidR="00F6155F">
        <w:rPr>
          <w:sz w:val="44"/>
          <w:szCs w:val="28"/>
        </w:rPr>
        <w:t>.</w:t>
      </w:r>
    </w:p>
    <w:p w14:paraId="757FF3FA" w14:textId="6E37AC17" w:rsidR="0076081E" w:rsidRPr="006B4C7E" w:rsidRDefault="00703AA2" w:rsidP="006D68F3">
      <w:pPr>
        <w:spacing w:after="120" w:line="360" w:lineRule="auto"/>
        <w:jc w:val="both"/>
        <w:rPr>
          <w:sz w:val="44"/>
          <w:szCs w:val="28"/>
        </w:rPr>
      </w:pPr>
      <w:r>
        <w:rPr>
          <w:sz w:val="44"/>
          <w:szCs w:val="28"/>
        </w:rPr>
        <w:t>Oui l’esprit de la loi est bien l’essentiel</w:t>
      </w:r>
      <w:r w:rsidR="00BE009F">
        <w:rPr>
          <w:sz w:val="44"/>
          <w:szCs w:val="28"/>
        </w:rPr>
        <w:t>. C</w:t>
      </w:r>
      <w:r>
        <w:rPr>
          <w:sz w:val="44"/>
          <w:szCs w:val="28"/>
        </w:rPr>
        <w:t>ela doit nous aider à hiérarchiser les questions. Aujourd’hui, cela s’appelle l’a</w:t>
      </w:r>
      <w:r w:rsidR="00296937" w:rsidRPr="006B4C7E">
        <w:rPr>
          <w:sz w:val="44"/>
          <w:szCs w:val="28"/>
        </w:rPr>
        <w:t xml:space="preserve">pproche par les risques, </w:t>
      </w:r>
      <w:r>
        <w:rPr>
          <w:sz w:val="44"/>
          <w:szCs w:val="28"/>
        </w:rPr>
        <w:t>ce qui con</w:t>
      </w:r>
      <w:r w:rsidR="00016245">
        <w:rPr>
          <w:sz w:val="44"/>
          <w:szCs w:val="28"/>
        </w:rPr>
        <w:t>duit</w:t>
      </w:r>
      <w:r>
        <w:rPr>
          <w:sz w:val="44"/>
          <w:szCs w:val="28"/>
        </w:rPr>
        <w:t xml:space="preserve"> à bien </w:t>
      </w:r>
      <w:r w:rsidR="00016245">
        <w:rPr>
          <w:sz w:val="44"/>
          <w:szCs w:val="28"/>
        </w:rPr>
        <w:t>saisir</w:t>
      </w:r>
      <w:r>
        <w:rPr>
          <w:sz w:val="44"/>
          <w:szCs w:val="28"/>
        </w:rPr>
        <w:t xml:space="preserve"> les signes d</w:t>
      </w:r>
      <w:r w:rsidR="00016245">
        <w:rPr>
          <w:sz w:val="44"/>
          <w:szCs w:val="28"/>
        </w:rPr>
        <w:t>es</w:t>
      </w:r>
      <w:r>
        <w:rPr>
          <w:sz w:val="44"/>
          <w:szCs w:val="28"/>
        </w:rPr>
        <w:t xml:space="preserve"> temps</w:t>
      </w:r>
      <w:r w:rsidR="00296937" w:rsidRPr="006B4C7E">
        <w:rPr>
          <w:sz w:val="44"/>
          <w:szCs w:val="28"/>
        </w:rPr>
        <w:t xml:space="preserve">. Nous l’avons fait </w:t>
      </w:r>
      <w:r>
        <w:rPr>
          <w:sz w:val="44"/>
          <w:szCs w:val="28"/>
        </w:rPr>
        <w:t xml:space="preserve">lors </w:t>
      </w:r>
      <w:r w:rsidR="00296937" w:rsidRPr="006B4C7E">
        <w:rPr>
          <w:sz w:val="44"/>
          <w:szCs w:val="28"/>
        </w:rPr>
        <w:t xml:space="preserve">du COVID 19. </w:t>
      </w:r>
      <w:r>
        <w:rPr>
          <w:sz w:val="44"/>
          <w:szCs w:val="28"/>
        </w:rPr>
        <w:t>De même</w:t>
      </w:r>
      <w:r w:rsidR="00296937" w:rsidRPr="006B4C7E">
        <w:rPr>
          <w:sz w:val="44"/>
          <w:szCs w:val="28"/>
        </w:rPr>
        <w:t xml:space="preserve"> nous entendons </w:t>
      </w:r>
      <w:r>
        <w:rPr>
          <w:sz w:val="44"/>
          <w:szCs w:val="28"/>
        </w:rPr>
        <w:t>bien</w:t>
      </w:r>
      <w:r w:rsidR="00296937" w:rsidRPr="006B4C7E">
        <w:rPr>
          <w:sz w:val="44"/>
          <w:szCs w:val="28"/>
        </w:rPr>
        <w:t xml:space="preserve"> traiter en amont les risques émergents</w:t>
      </w:r>
      <w:r>
        <w:rPr>
          <w:sz w:val="44"/>
          <w:szCs w:val="28"/>
        </w:rPr>
        <w:t xml:space="preserve"> en évitant de nous laisser surprendre. </w:t>
      </w:r>
      <w:r w:rsidR="00F6155F">
        <w:rPr>
          <w:sz w:val="44"/>
          <w:szCs w:val="28"/>
        </w:rPr>
        <w:t>Q</w:t>
      </w:r>
      <w:r w:rsidR="00296937" w:rsidRPr="006B4C7E">
        <w:rPr>
          <w:sz w:val="44"/>
          <w:szCs w:val="28"/>
        </w:rPr>
        <w:t>uelques exemples : le d</w:t>
      </w:r>
      <w:r w:rsidR="002F69F5" w:rsidRPr="006B4C7E">
        <w:rPr>
          <w:sz w:val="44"/>
          <w:szCs w:val="28"/>
        </w:rPr>
        <w:t xml:space="preserve">ocument publié sur le risque informatique de </w:t>
      </w:r>
      <w:r w:rsidR="002F69F5" w:rsidRPr="00295F42">
        <w:rPr>
          <w:sz w:val="44"/>
          <w:szCs w:val="28"/>
        </w:rPr>
        <w:t>mars</w:t>
      </w:r>
      <w:r w:rsidR="002F69F5" w:rsidRPr="006B4C7E">
        <w:rPr>
          <w:sz w:val="44"/>
          <w:szCs w:val="28"/>
        </w:rPr>
        <w:t xml:space="preserve"> 2018, en avance de phase sur DORA ; l’exercice pilote sur le risque climatique en assurance initié en 2023 ; le document sur les enjeux de la finance dé</w:t>
      </w:r>
      <w:r w:rsidR="00295F42">
        <w:rPr>
          <w:sz w:val="44"/>
          <w:szCs w:val="28"/>
        </w:rPr>
        <w:t>sin</w:t>
      </w:r>
      <w:r w:rsidR="002F69F5" w:rsidRPr="006B4C7E">
        <w:rPr>
          <w:sz w:val="44"/>
          <w:szCs w:val="28"/>
        </w:rPr>
        <w:t>termédié</w:t>
      </w:r>
      <w:r w:rsidR="006D68F3" w:rsidRPr="006B4C7E">
        <w:rPr>
          <w:sz w:val="44"/>
          <w:szCs w:val="28"/>
        </w:rPr>
        <w:t>e</w:t>
      </w:r>
      <w:r w:rsidR="00B61BDF" w:rsidRPr="006B4C7E">
        <w:rPr>
          <w:sz w:val="44"/>
          <w:szCs w:val="28"/>
        </w:rPr>
        <w:t xml:space="preserve">, </w:t>
      </w:r>
      <w:r w:rsidR="00295F42">
        <w:rPr>
          <w:sz w:val="44"/>
          <w:szCs w:val="28"/>
        </w:rPr>
        <w:t>et</w:t>
      </w:r>
      <w:r w:rsidR="00B61BDF" w:rsidRPr="006B4C7E">
        <w:rPr>
          <w:sz w:val="44"/>
          <w:szCs w:val="28"/>
        </w:rPr>
        <w:t xml:space="preserve"> l’usage des technologies de type blockchain, mis en consultation en 2024</w:t>
      </w:r>
      <w:r w:rsidR="00295F42">
        <w:rPr>
          <w:sz w:val="44"/>
          <w:szCs w:val="28"/>
        </w:rPr>
        <w:t> ;</w:t>
      </w:r>
      <w:r w:rsidR="00B61BDF" w:rsidRPr="006B4C7E">
        <w:rPr>
          <w:sz w:val="44"/>
          <w:szCs w:val="28"/>
        </w:rPr>
        <w:t xml:space="preserve"> dernièrement </w:t>
      </w:r>
      <w:r w:rsidR="006D68F3" w:rsidRPr="006B4C7E">
        <w:rPr>
          <w:sz w:val="44"/>
          <w:szCs w:val="28"/>
        </w:rPr>
        <w:t>l</w:t>
      </w:r>
      <w:r w:rsidR="00B61BDF" w:rsidRPr="006B4C7E">
        <w:rPr>
          <w:sz w:val="44"/>
          <w:szCs w:val="28"/>
        </w:rPr>
        <w:t>e stress test d</w:t>
      </w:r>
      <w:r w:rsidR="00295F42">
        <w:rPr>
          <w:sz w:val="44"/>
          <w:szCs w:val="28"/>
        </w:rPr>
        <w:t>i</w:t>
      </w:r>
      <w:r w:rsidR="00B61BDF" w:rsidRPr="006B4C7E">
        <w:rPr>
          <w:sz w:val="44"/>
          <w:szCs w:val="28"/>
        </w:rPr>
        <w:t xml:space="preserve">t « system </w:t>
      </w:r>
      <w:proofErr w:type="spellStart"/>
      <w:r w:rsidR="00B61BDF" w:rsidRPr="006B4C7E">
        <w:rPr>
          <w:sz w:val="44"/>
          <w:szCs w:val="28"/>
        </w:rPr>
        <w:t>wide</w:t>
      </w:r>
      <w:proofErr w:type="spellEnd"/>
      <w:r w:rsidR="00B61BDF" w:rsidRPr="006B4C7E">
        <w:rPr>
          <w:sz w:val="44"/>
          <w:szCs w:val="28"/>
        </w:rPr>
        <w:t xml:space="preserve"> » lancé cet été afin d’éclairer les interconnexions entre les différentes catégories d’acteurs du système financier, régulés </w:t>
      </w:r>
      <w:r w:rsidR="00B61BDF" w:rsidRPr="006B4C7E">
        <w:rPr>
          <w:sz w:val="44"/>
          <w:szCs w:val="28"/>
          <w:u w:val="single"/>
        </w:rPr>
        <w:t>et</w:t>
      </w:r>
      <w:r w:rsidR="00B61BDF" w:rsidRPr="006B4C7E">
        <w:rPr>
          <w:sz w:val="44"/>
          <w:szCs w:val="28"/>
        </w:rPr>
        <w:t xml:space="preserve"> non régulés…</w:t>
      </w:r>
    </w:p>
    <w:p w14:paraId="044260AC" w14:textId="68FB1D38" w:rsidR="00B61BDF" w:rsidRPr="006B4C7E" w:rsidRDefault="00B61BDF" w:rsidP="006D68F3">
      <w:pPr>
        <w:spacing w:after="120" w:line="360" w:lineRule="auto"/>
        <w:jc w:val="both"/>
        <w:rPr>
          <w:sz w:val="44"/>
          <w:szCs w:val="28"/>
        </w:rPr>
      </w:pPr>
      <w:r w:rsidRPr="006B4C7E">
        <w:rPr>
          <w:sz w:val="44"/>
          <w:szCs w:val="28"/>
        </w:rPr>
        <w:t>En définitive, je</w:t>
      </w:r>
      <w:r w:rsidR="00295F42">
        <w:rPr>
          <w:sz w:val="44"/>
          <w:szCs w:val="28"/>
        </w:rPr>
        <w:t xml:space="preserve"> crois</w:t>
      </w:r>
      <w:r w:rsidRPr="006B4C7E">
        <w:rPr>
          <w:sz w:val="44"/>
          <w:szCs w:val="28"/>
        </w:rPr>
        <w:t xml:space="preserve"> pouvoir aff</w:t>
      </w:r>
      <w:r w:rsidR="00D76244" w:rsidRPr="006B4C7E">
        <w:rPr>
          <w:sz w:val="44"/>
          <w:szCs w:val="28"/>
        </w:rPr>
        <w:t>irmer que l’ACPR</w:t>
      </w:r>
      <w:r w:rsidR="00E92895" w:rsidRPr="006B4C7E">
        <w:rPr>
          <w:sz w:val="44"/>
          <w:szCs w:val="28"/>
        </w:rPr>
        <w:t>, a stimulé la résilience du système financier, en bonne intelligence avec la place. Elle l’a fait, conformément à une tradition héritée de l’histoire, le plus souvent par un dialogue approfondi</w:t>
      </w:r>
      <w:r w:rsidR="00AD0C1A">
        <w:rPr>
          <w:sz w:val="44"/>
          <w:szCs w:val="28"/>
        </w:rPr>
        <w:t>.</w:t>
      </w:r>
    </w:p>
    <w:p w14:paraId="701341C5" w14:textId="5929D0BA" w:rsidR="005A589B" w:rsidRPr="006B4C7E" w:rsidRDefault="00B27E14" w:rsidP="006D68F3">
      <w:pPr>
        <w:spacing w:after="120" w:line="360" w:lineRule="auto"/>
        <w:jc w:val="both"/>
        <w:rPr>
          <w:sz w:val="44"/>
          <w:szCs w:val="28"/>
        </w:rPr>
      </w:pPr>
      <w:r w:rsidRPr="006B4C7E">
        <w:rPr>
          <w:sz w:val="44"/>
          <w:szCs w:val="28"/>
        </w:rPr>
        <w:t xml:space="preserve">Depuis 15 ans, la gouvernance et la gestion des risques ont partout beaucoup changé et cela au bénéfice d’une maîtrise bien </w:t>
      </w:r>
      <w:r w:rsidR="00295F42">
        <w:rPr>
          <w:sz w:val="44"/>
          <w:szCs w:val="28"/>
        </w:rPr>
        <w:t>mieux</w:t>
      </w:r>
      <w:r w:rsidRPr="006B4C7E">
        <w:rPr>
          <w:sz w:val="44"/>
          <w:szCs w:val="28"/>
        </w:rPr>
        <w:t xml:space="preserve"> f</w:t>
      </w:r>
      <w:r w:rsidR="005A589B" w:rsidRPr="006B4C7E">
        <w:rPr>
          <w:sz w:val="44"/>
          <w:szCs w:val="28"/>
        </w:rPr>
        <w:t>ormalisée. Les crises</w:t>
      </w:r>
      <w:r w:rsidR="00295F42">
        <w:rPr>
          <w:sz w:val="44"/>
          <w:szCs w:val="28"/>
        </w:rPr>
        <w:t>,</w:t>
      </w:r>
      <w:r w:rsidR="005A589B" w:rsidRPr="006B4C7E">
        <w:rPr>
          <w:sz w:val="44"/>
          <w:szCs w:val="28"/>
        </w:rPr>
        <w:t xml:space="preserve"> qui se sont succédées à un rythme soutenu ces dernières années</w:t>
      </w:r>
      <w:r w:rsidR="00295F42">
        <w:rPr>
          <w:sz w:val="44"/>
          <w:szCs w:val="28"/>
        </w:rPr>
        <w:t>,</w:t>
      </w:r>
      <w:r w:rsidR="005A589B" w:rsidRPr="006B4C7E">
        <w:rPr>
          <w:sz w:val="44"/>
          <w:szCs w:val="28"/>
        </w:rPr>
        <w:t xml:space="preserve"> ont été surmontées : le Covid,</w:t>
      </w:r>
      <w:r w:rsidR="006D68F3" w:rsidRPr="006B4C7E">
        <w:rPr>
          <w:sz w:val="44"/>
          <w:szCs w:val="28"/>
        </w:rPr>
        <w:t xml:space="preserve"> </w:t>
      </w:r>
      <w:r w:rsidR="0064145F">
        <w:rPr>
          <w:sz w:val="44"/>
          <w:szCs w:val="28"/>
        </w:rPr>
        <w:t>l’Ukraine</w:t>
      </w:r>
      <w:r w:rsidR="005A589B" w:rsidRPr="006B4C7E">
        <w:rPr>
          <w:sz w:val="44"/>
          <w:szCs w:val="28"/>
        </w:rPr>
        <w:t xml:space="preserve">, la remontée brusque </w:t>
      </w:r>
      <w:r w:rsidR="009B502F">
        <w:rPr>
          <w:sz w:val="44"/>
          <w:szCs w:val="28"/>
        </w:rPr>
        <w:t>d</w:t>
      </w:r>
      <w:r w:rsidR="005A589B" w:rsidRPr="006B4C7E">
        <w:rPr>
          <w:sz w:val="44"/>
          <w:szCs w:val="28"/>
        </w:rPr>
        <w:t>es taux avec l’inflation, les turbulences bancaires du printemps 2023, les secousses géop</w:t>
      </w:r>
      <w:r w:rsidR="0064145F">
        <w:rPr>
          <w:sz w:val="44"/>
          <w:szCs w:val="28"/>
        </w:rPr>
        <w:t>o</w:t>
      </w:r>
      <w:r w:rsidR="005A589B" w:rsidRPr="006B4C7E">
        <w:rPr>
          <w:sz w:val="44"/>
          <w:szCs w:val="28"/>
        </w:rPr>
        <w:t xml:space="preserve">litiques de l’année 2025. Nous pouvons raisonnablement croire en particulier avec </w:t>
      </w:r>
      <w:r w:rsidR="001A7ABE">
        <w:rPr>
          <w:sz w:val="44"/>
          <w:szCs w:val="28"/>
        </w:rPr>
        <w:t>l</w:t>
      </w:r>
      <w:r w:rsidR="005A589B" w:rsidRPr="006B4C7E">
        <w:rPr>
          <w:sz w:val="44"/>
          <w:szCs w:val="28"/>
        </w:rPr>
        <w:t>es résultats des stress tests successifs que le système est armé pour faire face à ce qui ne manquera pas de surprendre au cours des prochaines années.</w:t>
      </w:r>
    </w:p>
    <w:p w14:paraId="638E6001" w14:textId="40AFBF66" w:rsidR="00C722CF" w:rsidRPr="006B4C7E" w:rsidRDefault="005A589B" w:rsidP="006D68F3">
      <w:pPr>
        <w:spacing w:after="120" w:line="360" w:lineRule="auto"/>
        <w:jc w:val="both"/>
        <w:rPr>
          <w:sz w:val="44"/>
          <w:szCs w:val="28"/>
        </w:rPr>
      </w:pPr>
      <w:r w:rsidRPr="006B4C7E">
        <w:rPr>
          <w:sz w:val="44"/>
          <w:szCs w:val="28"/>
        </w:rPr>
        <w:t>De cela, l’ACPR entend partag</w:t>
      </w:r>
      <w:r w:rsidR="00C722CF" w:rsidRPr="006B4C7E">
        <w:rPr>
          <w:sz w:val="44"/>
          <w:szCs w:val="28"/>
        </w:rPr>
        <w:t>er</w:t>
      </w:r>
      <w:r w:rsidRPr="006B4C7E">
        <w:rPr>
          <w:sz w:val="44"/>
          <w:szCs w:val="28"/>
        </w:rPr>
        <w:t xml:space="preserve"> la fierté avec l’ensemble des professionnels de la Place. Et dans ces temps où il arrive que soient présentes</w:t>
      </w:r>
      <w:r w:rsidR="000155A2" w:rsidRPr="006B4C7E">
        <w:rPr>
          <w:sz w:val="44"/>
          <w:szCs w:val="28"/>
        </w:rPr>
        <w:t xml:space="preserve"> à l’esprit les vulnérabilités de la vie</w:t>
      </w:r>
      <w:r w:rsidR="0064145F">
        <w:rPr>
          <w:sz w:val="44"/>
          <w:szCs w:val="28"/>
        </w:rPr>
        <w:t>i</w:t>
      </w:r>
      <w:r w:rsidR="000155A2" w:rsidRPr="006B4C7E">
        <w:rPr>
          <w:sz w:val="44"/>
          <w:szCs w:val="28"/>
        </w:rPr>
        <w:t>lle Europe, il n’est pas mauvais de souligner que l’industrie financière, en particulier en France, est un at</w:t>
      </w:r>
      <w:r w:rsidR="00C722CF" w:rsidRPr="006B4C7E">
        <w:rPr>
          <w:sz w:val="44"/>
          <w:szCs w:val="28"/>
        </w:rPr>
        <w:t>o</w:t>
      </w:r>
      <w:r w:rsidR="000155A2" w:rsidRPr="006B4C7E">
        <w:rPr>
          <w:sz w:val="44"/>
          <w:szCs w:val="28"/>
        </w:rPr>
        <w:t xml:space="preserve">ut important </w:t>
      </w:r>
      <w:r w:rsidR="001A7ABE">
        <w:rPr>
          <w:sz w:val="44"/>
          <w:szCs w:val="28"/>
        </w:rPr>
        <w:t>pour</w:t>
      </w:r>
      <w:r w:rsidR="000155A2" w:rsidRPr="006B4C7E">
        <w:rPr>
          <w:sz w:val="44"/>
          <w:szCs w:val="28"/>
        </w:rPr>
        <w:t xml:space="preserve"> l’économie</w:t>
      </w:r>
      <w:r w:rsidR="00C722CF" w:rsidRPr="006B4C7E">
        <w:rPr>
          <w:sz w:val="44"/>
          <w:szCs w:val="28"/>
        </w:rPr>
        <w:t>.</w:t>
      </w:r>
    </w:p>
    <w:p w14:paraId="585B44A5" w14:textId="3FD2F103" w:rsidR="006303BB" w:rsidRPr="006B4C7E" w:rsidRDefault="00C722CF" w:rsidP="006D68F3">
      <w:pPr>
        <w:spacing w:after="120" w:line="360" w:lineRule="auto"/>
        <w:jc w:val="both"/>
        <w:rPr>
          <w:sz w:val="44"/>
          <w:szCs w:val="28"/>
        </w:rPr>
      </w:pPr>
      <w:r w:rsidRPr="006B4C7E">
        <w:rPr>
          <w:sz w:val="44"/>
          <w:szCs w:val="28"/>
        </w:rPr>
        <w:t xml:space="preserve">Toutefois, le paysage n’est pas immuable et il n’est pas exclu que nous soyons à un moment charnière. Bien sûr on pense aux évolutions géopolitiques qui se traduiront probablement par des équilibres nouveaux. </w:t>
      </w:r>
      <w:r w:rsidR="001A7ABE">
        <w:rPr>
          <w:sz w:val="44"/>
          <w:szCs w:val="28"/>
        </w:rPr>
        <w:t>N</w:t>
      </w:r>
      <w:r w:rsidRPr="006B4C7E">
        <w:rPr>
          <w:sz w:val="44"/>
          <w:szCs w:val="28"/>
        </w:rPr>
        <w:t>ous n’avons</w:t>
      </w:r>
      <w:r w:rsidR="001A7ABE">
        <w:rPr>
          <w:sz w:val="44"/>
          <w:szCs w:val="28"/>
        </w:rPr>
        <w:t xml:space="preserve"> d’ailleurs</w:t>
      </w:r>
      <w:r w:rsidRPr="006B4C7E">
        <w:rPr>
          <w:sz w:val="44"/>
          <w:szCs w:val="28"/>
        </w:rPr>
        <w:t xml:space="preserve"> pas encore la mesure des cho</w:t>
      </w:r>
      <w:r w:rsidR="001A7ABE">
        <w:rPr>
          <w:sz w:val="44"/>
          <w:szCs w:val="28"/>
        </w:rPr>
        <w:t>c</w:t>
      </w:r>
      <w:r w:rsidRPr="006B4C7E">
        <w:rPr>
          <w:sz w:val="44"/>
          <w:szCs w:val="28"/>
        </w:rPr>
        <w:t>s</w:t>
      </w:r>
      <w:r w:rsidR="006303BB" w:rsidRPr="006B4C7E">
        <w:rPr>
          <w:sz w:val="44"/>
          <w:szCs w:val="28"/>
        </w:rPr>
        <w:t xml:space="preserve"> qu</w:t>
      </w:r>
      <w:r w:rsidR="00016245">
        <w:rPr>
          <w:sz w:val="44"/>
          <w:szCs w:val="28"/>
        </w:rPr>
        <w:t>’</w:t>
      </w:r>
      <w:r w:rsidR="006303BB" w:rsidRPr="006B4C7E">
        <w:rPr>
          <w:sz w:val="44"/>
          <w:szCs w:val="28"/>
        </w:rPr>
        <w:t xml:space="preserve">impliquent les trois grandes mutations structurelles </w:t>
      </w:r>
      <w:r w:rsidR="001A7ABE">
        <w:rPr>
          <w:sz w:val="44"/>
          <w:szCs w:val="28"/>
        </w:rPr>
        <w:t xml:space="preserve">du </w:t>
      </w:r>
      <w:proofErr w:type="spellStart"/>
      <w:r w:rsidR="001A7ABE">
        <w:rPr>
          <w:sz w:val="44"/>
          <w:szCs w:val="28"/>
        </w:rPr>
        <w:t>XXIè</w:t>
      </w:r>
      <w:proofErr w:type="spellEnd"/>
      <w:r w:rsidR="001A7ABE">
        <w:rPr>
          <w:sz w:val="44"/>
          <w:szCs w:val="28"/>
        </w:rPr>
        <w:t xml:space="preserve"> siècle</w:t>
      </w:r>
      <w:r w:rsidR="006303BB" w:rsidRPr="006B4C7E">
        <w:rPr>
          <w:sz w:val="44"/>
          <w:szCs w:val="28"/>
        </w:rPr>
        <w:t> : le climat, le numérique, avec en particulier l’avènement de l’IA, et la transition démographique, en Europe au moins. Ces réalités</w:t>
      </w:r>
      <w:r w:rsidRPr="006B4C7E">
        <w:rPr>
          <w:sz w:val="44"/>
          <w:szCs w:val="28"/>
        </w:rPr>
        <w:t xml:space="preserve"> </w:t>
      </w:r>
      <w:r w:rsidR="006303BB" w:rsidRPr="006B4C7E">
        <w:rPr>
          <w:sz w:val="44"/>
          <w:szCs w:val="28"/>
        </w:rPr>
        <w:t xml:space="preserve">incontournables, </w:t>
      </w:r>
      <w:r w:rsidR="0064145F" w:rsidRPr="006B4C7E">
        <w:rPr>
          <w:sz w:val="44"/>
          <w:szCs w:val="28"/>
        </w:rPr>
        <w:t>par-delà</w:t>
      </w:r>
      <w:r w:rsidR="006303BB" w:rsidRPr="006B4C7E">
        <w:rPr>
          <w:sz w:val="44"/>
          <w:szCs w:val="28"/>
        </w:rPr>
        <w:t xml:space="preserve"> des variations conjoncturelles, induiront des conséquences pour les institutions financières</w:t>
      </w:r>
      <w:r w:rsidR="00836555" w:rsidRPr="006B4C7E">
        <w:rPr>
          <w:sz w:val="44"/>
          <w:szCs w:val="28"/>
        </w:rPr>
        <w:t>.</w:t>
      </w:r>
    </w:p>
    <w:p w14:paraId="664DCDDC" w14:textId="06BAEADE" w:rsidR="00836555" w:rsidRPr="006B4C7E" w:rsidRDefault="006303BB" w:rsidP="006D68F3">
      <w:pPr>
        <w:spacing w:after="120" w:line="360" w:lineRule="auto"/>
        <w:jc w:val="both"/>
        <w:rPr>
          <w:sz w:val="44"/>
          <w:szCs w:val="28"/>
        </w:rPr>
      </w:pPr>
      <w:r w:rsidRPr="006B4C7E">
        <w:rPr>
          <w:sz w:val="44"/>
          <w:szCs w:val="28"/>
        </w:rPr>
        <w:t xml:space="preserve">Du point de vue du Superviseur, un pilotage de de court terme sera nécessairement insuffisant. La réglementation oblige les acteurs à lever les yeux pour </w:t>
      </w:r>
      <w:r w:rsidR="001F1B41">
        <w:rPr>
          <w:sz w:val="44"/>
          <w:szCs w:val="28"/>
        </w:rPr>
        <w:t>défini</w:t>
      </w:r>
      <w:r w:rsidRPr="006B4C7E">
        <w:rPr>
          <w:sz w:val="44"/>
          <w:szCs w:val="28"/>
        </w:rPr>
        <w:t xml:space="preserve">r des perspectives </w:t>
      </w:r>
      <w:r w:rsidR="001F1B41">
        <w:rPr>
          <w:sz w:val="44"/>
          <w:szCs w:val="28"/>
        </w:rPr>
        <w:t xml:space="preserve">voire des scénarios </w:t>
      </w:r>
      <w:r w:rsidRPr="006B4C7E">
        <w:rPr>
          <w:sz w:val="44"/>
          <w:szCs w:val="28"/>
        </w:rPr>
        <w:t>de moyen et long terme autant qu’il est possible</w:t>
      </w:r>
      <w:r w:rsidR="00836555" w:rsidRPr="006B4C7E">
        <w:rPr>
          <w:sz w:val="44"/>
          <w:szCs w:val="28"/>
        </w:rPr>
        <w:t>. La résilience de long terme doit se préparer maintenant.</w:t>
      </w:r>
    </w:p>
    <w:p w14:paraId="1F8C68C1" w14:textId="4228E222" w:rsidR="00B27E14" w:rsidRPr="006B4C7E" w:rsidRDefault="00836555" w:rsidP="006D68F3">
      <w:pPr>
        <w:spacing w:after="120" w:line="360" w:lineRule="auto"/>
        <w:jc w:val="both"/>
        <w:rPr>
          <w:sz w:val="44"/>
          <w:szCs w:val="28"/>
        </w:rPr>
      </w:pPr>
      <w:r w:rsidRPr="006B4C7E">
        <w:rPr>
          <w:sz w:val="44"/>
          <w:szCs w:val="28"/>
        </w:rPr>
        <w:t>Illustrons un instant par quelques exemples la puissance des variables qui pou</w:t>
      </w:r>
      <w:r w:rsidR="001A7ABE">
        <w:rPr>
          <w:sz w:val="44"/>
          <w:szCs w:val="28"/>
        </w:rPr>
        <w:t>rraient compter</w:t>
      </w:r>
      <w:r w:rsidRPr="006B4C7E">
        <w:rPr>
          <w:sz w:val="44"/>
          <w:szCs w:val="28"/>
        </w:rPr>
        <w:t xml:space="preserve"> à l’avenir, </w:t>
      </w:r>
      <w:r w:rsidR="00545931" w:rsidRPr="006B4C7E">
        <w:rPr>
          <w:sz w:val="44"/>
          <w:szCs w:val="28"/>
        </w:rPr>
        <w:t>au-delà même des 3 grandes mutations structurelles que j’évoquais.</w:t>
      </w:r>
    </w:p>
    <w:p w14:paraId="40AA888C" w14:textId="286CCFE2" w:rsidR="00545931" w:rsidRPr="006B4C7E" w:rsidRDefault="00545931" w:rsidP="006D68F3">
      <w:pPr>
        <w:spacing w:after="120" w:line="360" w:lineRule="auto"/>
        <w:jc w:val="both"/>
        <w:rPr>
          <w:sz w:val="44"/>
          <w:szCs w:val="28"/>
        </w:rPr>
      </w:pPr>
      <w:r w:rsidRPr="006B4C7E">
        <w:rPr>
          <w:sz w:val="44"/>
          <w:szCs w:val="28"/>
        </w:rPr>
        <w:t>D’abord les institutions financières, banqu</w:t>
      </w:r>
      <w:r w:rsidR="00282610">
        <w:rPr>
          <w:sz w:val="44"/>
          <w:szCs w:val="28"/>
        </w:rPr>
        <w:t>e</w:t>
      </w:r>
      <w:r w:rsidRPr="006B4C7E">
        <w:rPr>
          <w:sz w:val="44"/>
          <w:szCs w:val="28"/>
        </w:rPr>
        <w:t>s et assur</w:t>
      </w:r>
      <w:r w:rsidR="001A7ABE">
        <w:rPr>
          <w:sz w:val="44"/>
          <w:szCs w:val="28"/>
        </w:rPr>
        <w:t>ance</w:t>
      </w:r>
      <w:r w:rsidRPr="006B4C7E">
        <w:rPr>
          <w:sz w:val="44"/>
          <w:szCs w:val="28"/>
        </w:rPr>
        <w:t xml:space="preserve">s, sont </w:t>
      </w:r>
      <w:r w:rsidR="0076104B" w:rsidRPr="006B4C7E">
        <w:rPr>
          <w:sz w:val="44"/>
          <w:szCs w:val="28"/>
        </w:rPr>
        <w:t>environnées</w:t>
      </w:r>
      <w:r w:rsidRPr="006B4C7E">
        <w:rPr>
          <w:sz w:val="44"/>
          <w:szCs w:val="28"/>
        </w:rPr>
        <w:t xml:space="preserve"> d’acteurs puissants en asset manag</w:t>
      </w:r>
      <w:r w:rsidR="001F1B41">
        <w:rPr>
          <w:sz w:val="44"/>
          <w:szCs w:val="28"/>
        </w:rPr>
        <w:t>e</w:t>
      </w:r>
      <w:r w:rsidRPr="006B4C7E">
        <w:rPr>
          <w:sz w:val="44"/>
          <w:szCs w:val="28"/>
        </w:rPr>
        <w:t xml:space="preserve">ment, pour beaucoup </w:t>
      </w:r>
      <w:proofErr w:type="gramStart"/>
      <w:r w:rsidRPr="006B4C7E">
        <w:rPr>
          <w:sz w:val="44"/>
          <w:szCs w:val="28"/>
        </w:rPr>
        <w:t>extra européens</w:t>
      </w:r>
      <w:proofErr w:type="gramEnd"/>
      <w:r w:rsidR="00282610">
        <w:rPr>
          <w:sz w:val="44"/>
          <w:szCs w:val="28"/>
        </w:rPr>
        <w:t>,</w:t>
      </w:r>
      <w:r w:rsidRPr="006B4C7E">
        <w:rPr>
          <w:sz w:val="44"/>
          <w:szCs w:val="28"/>
        </w:rPr>
        <w:t xml:space="preserve"> avec lesquels les relations sont </w:t>
      </w:r>
      <w:r w:rsidR="00282610">
        <w:rPr>
          <w:sz w:val="44"/>
          <w:szCs w:val="28"/>
        </w:rPr>
        <w:t>natur</w:t>
      </w:r>
      <w:r w:rsidRPr="006B4C7E">
        <w:rPr>
          <w:sz w:val="44"/>
          <w:szCs w:val="28"/>
        </w:rPr>
        <w:t>elles mais peuvent aussi créer une</w:t>
      </w:r>
      <w:r w:rsidR="0076104B" w:rsidRPr="006B4C7E">
        <w:rPr>
          <w:sz w:val="44"/>
          <w:szCs w:val="28"/>
        </w:rPr>
        <w:t xml:space="preserve"> interdépendance</w:t>
      </w:r>
      <w:r w:rsidR="000E0D36">
        <w:rPr>
          <w:sz w:val="44"/>
          <w:szCs w:val="28"/>
        </w:rPr>
        <w:t xml:space="preserve"> v</w:t>
      </w:r>
      <w:r w:rsidR="001F1B41">
        <w:rPr>
          <w:sz w:val="44"/>
          <w:szCs w:val="28"/>
        </w:rPr>
        <w:t xml:space="preserve">oire une </w:t>
      </w:r>
      <w:r w:rsidR="00AD0C1A">
        <w:rPr>
          <w:sz w:val="44"/>
          <w:szCs w:val="28"/>
        </w:rPr>
        <w:t xml:space="preserve">véritable </w:t>
      </w:r>
      <w:r w:rsidR="001F1B41">
        <w:rPr>
          <w:sz w:val="44"/>
          <w:szCs w:val="28"/>
        </w:rPr>
        <w:t>concurrence</w:t>
      </w:r>
      <w:r w:rsidR="00BE009F">
        <w:rPr>
          <w:sz w:val="44"/>
          <w:szCs w:val="28"/>
        </w:rPr>
        <w:t>.</w:t>
      </w:r>
      <w:r w:rsidR="001F1B41">
        <w:rPr>
          <w:sz w:val="44"/>
          <w:szCs w:val="28"/>
        </w:rPr>
        <w:t xml:space="preserve"> </w:t>
      </w:r>
      <w:r w:rsidR="00016245">
        <w:rPr>
          <w:sz w:val="44"/>
          <w:szCs w:val="28"/>
        </w:rPr>
        <w:t>L’essor des ETF est un symptôme de ce constat.</w:t>
      </w:r>
    </w:p>
    <w:p w14:paraId="343A8E11" w14:textId="5CFEECFA" w:rsidR="00C61482" w:rsidRPr="006B4C7E" w:rsidRDefault="0076104B" w:rsidP="006D68F3">
      <w:pPr>
        <w:spacing w:after="120" w:line="360" w:lineRule="auto"/>
        <w:jc w:val="both"/>
        <w:rPr>
          <w:sz w:val="44"/>
          <w:szCs w:val="28"/>
        </w:rPr>
      </w:pPr>
      <w:r w:rsidRPr="006B4C7E">
        <w:rPr>
          <w:sz w:val="44"/>
          <w:szCs w:val="28"/>
        </w:rPr>
        <w:t xml:space="preserve">Ensuite </w:t>
      </w:r>
      <w:r w:rsidR="00016245">
        <w:rPr>
          <w:sz w:val="44"/>
          <w:szCs w:val="28"/>
        </w:rPr>
        <w:t>l</w:t>
      </w:r>
      <w:r w:rsidRPr="006B4C7E">
        <w:rPr>
          <w:sz w:val="44"/>
          <w:szCs w:val="28"/>
        </w:rPr>
        <w:t xml:space="preserve">es grandes institutions financières ont largement recours à des prestataires, en particulier en </w:t>
      </w:r>
      <w:r w:rsidRPr="00282610">
        <w:rPr>
          <w:sz w:val="44"/>
          <w:szCs w:val="28"/>
        </w:rPr>
        <w:t>IT</w:t>
      </w:r>
      <w:r w:rsidR="00282610">
        <w:rPr>
          <w:sz w:val="44"/>
          <w:szCs w:val="28"/>
        </w:rPr>
        <w:t>. Ces prestations</w:t>
      </w:r>
      <w:r w:rsidRPr="006B4C7E">
        <w:rPr>
          <w:sz w:val="44"/>
          <w:szCs w:val="28"/>
        </w:rPr>
        <w:t xml:space="preserve"> sont des éléments déterminants de la qualité de service et par suite de la capacité </w:t>
      </w:r>
      <w:r w:rsidRPr="00282610">
        <w:rPr>
          <w:sz w:val="44"/>
          <w:szCs w:val="28"/>
        </w:rPr>
        <w:t>concurrentielle.</w:t>
      </w:r>
      <w:r w:rsidRPr="006B4C7E">
        <w:rPr>
          <w:sz w:val="44"/>
          <w:szCs w:val="28"/>
        </w:rPr>
        <w:t xml:space="preserve"> Et là aussi des incidences </w:t>
      </w:r>
      <w:proofErr w:type="gramStart"/>
      <w:r w:rsidR="00282610">
        <w:rPr>
          <w:sz w:val="44"/>
          <w:szCs w:val="28"/>
        </w:rPr>
        <w:t>en</w:t>
      </w:r>
      <w:r w:rsidRPr="006B4C7E">
        <w:rPr>
          <w:sz w:val="44"/>
          <w:szCs w:val="28"/>
        </w:rPr>
        <w:t xml:space="preserve"> terme de</w:t>
      </w:r>
      <w:proofErr w:type="gramEnd"/>
      <w:r w:rsidRPr="006B4C7E">
        <w:rPr>
          <w:sz w:val="44"/>
          <w:szCs w:val="28"/>
        </w:rPr>
        <w:t xml:space="preserve"> maitrise des risques, voire de souveraineté</w:t>
      </w:r>
      <w:r w:rsidR="00282610">
        <w:rPr>
          <w:sz w:val="44"/>
          <w:szCs w:val="28"/>
        </w:rPr>
        <w:t xml:space="preserve">, sont probables. Un exemple caractéristique de ce type de </w:t>
      </w:r>
      <w:r w:rsidR="00282610" w:rsidRPr="00016245">
        <w:rPr>
          <w:sz w:val="44"/>
          <w:szCs w:val="28"/>
        </w:rPr>
        <w:t>questions</w:t>
      </w:r>
      <w:r w:rsidR="00282610">
        <w:rPr>
          <w:sz w:val="44"/>
          <w:szCs w:val="28"/>
        </w:rPr>
        <w:t xml:space="preserve"> dans le domaine des paiements est donné</w:t>
      </w:r>
      <w:r w:rsidRPr="006B4C7E">
        <w:rPr>
          <w:sz w:val="44"/>
          <w:szCs w:val="28"/>
        </w:rPr>
        <w:t xml:space="preserve"> </w:t>
      </w:r>
      <w:r w:rsidR="00282610">
        <w:rPr>
          <w:sz w:val="44"/>
          <w:szCs w:val="28"/>
        </w:rPr>
        <w:t>par</w:t>
      </w:r>
      <w:r w:rsidRPr="006B4C7E">
        <w:rPr>
          <w:sz w:val="44"/>
          <w:szCs w:val="28"/>
        </w:rPr>
        <w:t xml:space="preserve"> l’émergence des « stable coins</w:t>
      </w:r>
      <w:r w:rsidR="00016245">
        <w:rPr>
          <w:sz w:val="44"/>
          <w:szCs w:val="28"/>
        </w:rPr>
        <w:t> »</w:t>
      </w:r>
      <w:r w:rsidRPr="006B4C7E">
        <w:rPr>
          <w:sz w:val="44"/>
          <w:szCs w:val="28"/>
        </w:rPr>
        <w:t>.</w:t>
      </w:r>
    </w:p>
    <w:p w14:paraId="685DB879" w14:textId="020EC7FA" w:rsidR="003801EF" w:rsidRPr="003801EF" w:rsidRDefault="003801EF" w:rsidP="003801EF">
      <w:pPr>
        <w:spacing w:after="120" w:line="360" w:lineRule="auto"/>
        <w:jc w:val="both"/>
        <w:rPr>
          <w:sz w:val="44"/>
          <w:szCs w:val="28"/>
        </w:rPr>
      </w:pPr>
      <w:r w:rsidRPr="003801EF">
        <w:rPr>
          <w:sz w:val="44"/>
          <w:szCs w:val="28"/>
        </w:rPr>
        <w:t xml:space="preserve">Enfin, la place </w:t>
      </w:r>
      <w:r w:rsidR="00F71355">
        <w:rPr>
          <w:sz w:val="44"/>
          <w:szCs w:val="28"/>
        </w:rPr>
        <w:t xml:space="preserve">de </w:t>
      </w:r>
      <w:r w:rsidRPr="003801EF">
        <w:rPr>
          <w:sz w:val="44"/>
          <w:szCs w:val="28"/>
        </w:rPr>
        <w:t>l’intermédiation financière non bancaire (NBFI) est apparue croissante dans le financement de l’économie. Selon le FSB, la part des actifs financiers mondiaux portés par des acteurs non bancaires devrait dépasser 50%. Parmi ces acteurs, certains présentent des enjeux spécifiques en raison de leurs modalités de financement, d’une transparence lacunaire sur leurs actifs et leur passif</w:t>
      </w:r>
      <w:r w:rsidR="00BE009F">
        <w:rPr>
          <w:sz w:val="44"/>
          <w:szCs w:val="28"/>
        </w:rPr>
        <w:t>,</w:t>
      </w:r>
      <w:r w:rsidRPr="003801EF">
        <w:rPr>
          <w:sz w:val="44"/>
          <w:szCs w:val="28"/>
        </w:rPr>
        <w:t xml:space="preserve"> ou encore </w:t>
      </w:r>
      <w:r w:rsidR="00BE009F">
        <w:rPr>
          <w:sz w:val="44"/>
          <w:szCs w:val="28"/>
        </w:rPr>
        <w:t>d’</w:t>
      </w:r>
      <w:r w:rsidRPr="003801EF">
        <w:rPr>
          <w:sz w:val="44"/>
          <w:szCs w:val="28"/>
        </w:rPr>
        <w:t>un décalage entre la liquidité de leur passif et celle de leur</w:t>
      </w:r>
      <w:r w:rsidR="00BE009F">
        <w:rPr>
          <w:sz w:val="44"/>
          <w:szCs w:val="28"/>
        </w:rPr>
        <w:t>s</w:t>
      </w:r>
      <w:r w:rsidRPr="003801EF">
        <w:rPr>
          <w:sz w:val="44"/>
          <w:szCs w:val="28"/>
        </w:rPr>
        <w:t xml:space="preserve"> actif</w:t>
      </w:r>
      <w:r w:rsidR="00BE009F">
        <w:rPr>
          <w:sz w:val="44"/>
          <w:szCs w:val="28"/>
        </w:rPr>
        <w:t>s</w:t>
      </w:r>
      <w:r w:rsidRPr="003801EF">
        <w:rPr>
          <w:sz w:val="44"/>
          <w:szCs w:val="28"/>
        </w:rPr>
        <w:t>. Et nous avons pu voir ici et là que les questions de</w:t>
      </w:r>
      <w:r w:rsidR="00AD0C1A">
        <w:rPr>
          <w:sz w:val="44"/>
          <w:szCs w:val="28"/>
        </w:rPr>
        <w:t xml:space="preserve"> </w:t>
      </w:r>
      <w:r w:rsidRPr="003801EF">
        <w:rPr>
          <w:sz w:val="44"/>
          <w:szCs w:val="28"/>
        </w:rPr>
        <w:t>valorisation</w:t>
      </w:r>
      <w:r w:rsidR="00F71355">
        <w:rPr>
          <w:sz w:val="44"/>
          <w:szCs w:val="28"/>
        </w:rPr>
        <w:t xml:space="preserve"> ou</w:t>
      </w:r>
      <w:r w:rsidRPr="003801EF">
        <w:rPr>
          <w:sz w:val="44"/>
          <w:szCs w:val="28"/>
        </w:rPr>
        <w:t xml:space="preserve"> de liquidité, de ces acteurs pouvai</w:t>
      </w:r>
      <w:r w:rsidR="00F71355">
        <w:rPr>
          <w:sz w:val="44"/>
          <w:szCs w:val="28"/>
        </w:rPr>
        <w:t>ent</w:t>
      </w:r>
      <w:r w:rsidRPr="003801EF">
        <w:rPr>
          <w:sz w:val="44"/>
          <w:szCs w:val="28"/>
        </w:rPr>
        <w:t xml:space="preserve"> se poser.</w:t>
      </w:r>
    </w:p>
    <w:p w14:paraId="4ED567A0" w14:textId="47CC3D48" w:rsidR="005F0DA1" w:rsidRPr="006B4C7E" w:rsidRDefault="005F0DA1" w:rsidP="006D68F3">
      <w:pPr>
        <w:spacing w:after="120" w:line="360" w:lineRule="auto"/>
        <w:jc w:val="both"/>
        <w:rPr>
          <w:sz w:val="44"/>
          <w:szCs w:val="28"/>
        </w:rPr>
      </w:pPr>
      <w:r w:rsidRPr="006B4C7E">
        <w:rPr>
          <w:sz w:val="44"/>
          <w:szCs w:val="28"/>
        </w:rPr>
        <w:t xml:space="preserve">Dans ce contexte permettez-moi donc simplement </w:t>
      </w:r>
      <w:r w:rsidR="007F54DA">
        <w:rPr>
          <w:sz w:val="44"/>
          <w:szCs w:val="28"/>
        </w:rPr>
        <w:t>d’affirmer</w:t>
      </w:r>
      <w:r w:rsidRPr="006B4C7E">
        <w:rPr>
          <w:sz w:val="44"/>
          <w:szCs w:val="28"/>
        </w:rPr>
        <w:t xml:space="preserve"> la nécessité de garantir l’e</w:t>
      </w:r>
      <w:r w:rsidR="0076294D" w:rsidRPr="006B4C7E">
        <w:rPr>
          <w:sz w:val="44"/>
          <w:szCs w:val="28"/>
        </w:rPr>
        <w:t>mprise de la supervision. J’y vois une nécessité pour asseoir durablement la confiance</w:t>
      </w:r>
      <w:r w:rsidR="00BE009F">
        <w:rPr>
          <w:sz w:val="44"/>
          <w:szCs w:val="28"/>
        </w:rPr>
        <w:t>.</w:t>
      </w:r>
    </w:p>
    <w:p w14:paraId="7E8F4C1F" w14:textId="3E6F945D" w:rsidR="007F54DA" w:rsidRDefault="0076294D" w:rsidP="006D68F3">
      <w:pPr>
        <w:spacing w:after="120" w:line="360" w:lineRule="auto"/>
        <w:jc w:val="both"/>
        <w:rPr>
          <w:sz w:val="44"/>
          <w:szCs w:val="28"/>
        </w:rPr>
      </w:pPr>
      <w:r w:rsidRPr="006B4C7E">
        <w:rPr>
          <w:sz w:val="44"/>
          <w:szCs w:val="28"/>
        </w:rPr>
        <w:t>Autant dire que l</w:t>
      </w:r>
      <w:r w:rsidR="00BA3665" w:rsidRPr="006B4C7E">
        <w:rPr>
          <w:sz w:val="44"/>
          <w:szCs w:val="28"/>
        </w:rPr>
        <w:t>e</w:t>
      </w:r>
      <w:r w:rsidRPr="006B4C7E">
        <w:rPr>
          <w:sz w:val="44"/>
          <w:szCs w:val="28"/>
        </w:rPr>
        <w:t xml:space="preserve"> superv</w:t>
      </w:r>
      <w:r w:rsidR="00EE7DC6" w:rsidRPr="006B4C7E">
        <w:rPr>
          <w:sz w:val="44"/>
          <w:szCs w:val="28"/>
        </w:rPr>
        <w:t xml:space="preserve">iseur </w:t>
      </w:r>
      <w:r w:rsidR="001867F5" w:rsidRPr="006B4C7E">
        <w:rPr>
          <w:sz w:val="44"/>
          <w:szCs w:val="28"/>
        </w:rPr>
        <w:t>n</w:t>
      </w:r>
      <w:r w:rsidR="00EE7DC6" w:rsidRPr="006B4C7E">
        <w:rPr>
          <w:sz w:val="44"/>
          <w:szCs w:val="28"/>
        </w:rPr>
        <w:t>e</w:t>
      </w:r>
      <w:r w:rsidR="001867F5" w:rsidRPr="006B4C7E">
        <w:rPr>
          <w:sz w:val="44"/>
          <w:szCs w:val="28"/>
        </w:rPr>
        <w:t xml:space="preserve"> peut pas suivre lorsque l</w:t>
      </w:r>
      <w:r w:rsidR="00BA3665" w:rsidRPr="006B4C7E">
        <w:rPr>
          <w:sz w:val="44"/>
          <w:szCs w:val="28"/>
        </w:rPr>
        <w:t xml:space="preserve">a tentation de la dérégulation apparait. Il est </w:t>
      </w:r>
      <w:r w:rsidR="007F54DA">
        <w:rPr>
          <w:sz w:val="44"/>
          <w:szCs w:val="28"/>
        </w:rPr>
        <w:t>constern</w:t>
      </w:r>
      <w:r w:rsidR="006D68F3" w:rsidRPr="006B4C7E">
        <w:rPr>
          <w:sz w:val="44"/>
          <w:szCs w:val="28"/>
        </w:rPr>
        <w:t>ant</w:t>
      </w:r>
      <w:r w:rsidR="00BA3665" w:rsidRPr="006B4C7E">
        <w:rPr>
          <w:sz w:val="44"/>
          <w:szCs w:val="28"/>
        </w:rPr>
        <w:t xml:space="preserve"> de voir cette tentation refleurir régulièrement</w:t>
      </w:r>
      <w:r w:rsidR="003B56BE">
        <w:rPr>
          <w:sz w:val="44"/>
          <w:szCs w:val="28"/>
        </w:rPr>
        <w:t xml:space="preserve">. Le souvenir </w:t>
      </w:r>
      <w:r w:rsidR="00974FFB" w:rsidRPr="006B4C7E">
        <w:rPr>
          <w:sz w:val="44"/>
          <w:szCs w:val="28"/>
        </w:rPr>
        <w:t xml:space="preserve">des crises passées </w:t>
      </w:r>
      <w:r w:rsidR="003B56BE">
        <w:rPr>
          <w:sz w:val="44"/>
          <w:szCs w:val="28"/>
        </w:rPr>
        <w:t>s’estompe si vite !</w:t>
      </w:r>
      <w:r w:rsidR="00BA3665" w:rsidRPr="006B4C7E">
        <w:rPr>
          <w:sz w:val="44"/>
          <w:szCs w:val="28"/>
        </w:rPr>
        <w:t xml:space="preserve"> </w:t>
      </w:r>
      <w:r w:rsidR="00974FFB">
        <w:rPr>
          <w:sz w:val="44"/>
          <w:szCs w:val="28"/>
        </w:rPr>
        <w:t>E</w:t>
      </w:r>
      <w:r w:rsidR="00BA3665" w:rsidRPr="006B4C7E">
        <w:rPr>
          <w:sz w:val="44"/>
          <w:szCs w:val="28"/>
        </w:rPr>
        <w:t xml:space="preserve">t l’on </w:t>
      </w:r>
      <w:r w:rsidR="003B56BE">
        <w:rPr>
          <w:sz w:val="44"/>
          <w:szCs w:val="28"/>
        </w:rPr>
        <w:t>voit reparaître</w:t>
      </w:r>
      <w:r w:rsidR="00BA3665" w:rsidRPr="006B4C7E">
        <w:rPr>
          <w:sz w:val="44"/>
          <w:szCs w:val="28"/>
        </w:rPr>
        <w:t xml:space="preserve"> le </w:t>
      </w:r>
      <w:r w:rsidR="007F54DA">
        <w:rPr>
          <w:sz w:val="44"/>
          <w:szCs w:val="28"/>
        </w:rPr>
        <w:t>charme d</w:t>
      </w:r>
      <w:r w:rsidR="00BA3665" w:rsidRPr="006B4C7E">
        <w:rPr>
          <w:sz w:val="44"/>
          <w:szCs w:val="28"/>
        </w:rPr>
        <w:t>es bénéfices supposés</w:t>
      </w:r>
      <w:r w:rsidR="003B56BE">
        <w:rPr>
          <w:sz w:val="44"/>
          <w:szCs w:val="28"/>
        </w:rPr>
        <w:t>,</w:t>
      </w:r>
      <w:r w:rsidR="00BA3665" w:rsidRPr="006B4C7E">
        <w:rPr>
          <w:sz w:val="44"/>
          <w:szCs w:val="28"/>
        </w:rPr>
        <w:t xml:space="preserve"> à court terme</w:t>
      </w:r>
      <w:r w:rsidR="003B56BE">
        <w:rPr>
          <w:sz w:val="44"/>
          <w:szCs w:val="28"/>
        </w:rPr>
        <w:t>,</w:t>
      </w:r>
      <w:r w:rsidR="00BA3665" w:rsidRPr="006B4C7E">
        <w:rPr>
          <w:sz w:val="44"/>
          <w:szCs w:val="28"/>
        </w:rPr>
        <w:t xml:space="preserve"> d’une dérégulation. Mais </w:t>
      </w:r>
      <w:r w:rsidR="003B56BE">
        <w:rPr>
          <w:sz w:val="44"/>
          <w:szCs w:val="28"/>
        </w:rPr>
        <w:t>la réticence, voire la résistance du superviseur ne doi</w:t>
      </w:r>
      <w:r w:rsidR="00974FFB">
        <w:rPr>
          <w:sz w:val="44"/>
          <w:szCs w:val="28"/>
        </w:rPr>
        <w:t>ven</w:t>
      </w:r>
      <w:r w:rsidR="003B56BE">
        <w:rPr>
          <w:sz w:val="44"/>
          <w:szCs w:val="28"/>
        </w:rPr>
        <w:t xml:space="preserve">t en rien entraver les efforts de </w:t>
      </w:r>
      <w:r w:rsidR="00BA3665" w:rsidRPr="006B4C7E">
        <w:rPr>
          <w:sz w:val="44"/>
          <w:szCs w:val="28"/>
        </w:rPr>
        <w:t xml:space="preserve">simplification </w:t>
      </w:r>
      <w:r w:rsidR="003B56BE">
        <w:rPr>
          <w:sz w:val="44"/>
          <w:szCs w:val="28"/>
        </w:rPr>
        <w:t>bien au contraire ! Car beaucoup sont à portée de mains.</w:t>
      </w:r>
      <w:r w:rsidR="00BA3665" w:rsidRPr="006B4C7E">
        <w:rPr>
          <w:sz w:val="44"/>
          <w:szCs w:val="28"/>
        </w:rPr>
        <w:t xml:space="preserve"> </w:t>
      </w:r>
      <w:r w:rsidR="00042D90" w:rsidRPr="006B4C7E">
        <w:rPr>
          <w:sz w:val="44"/>
          <w:szCs w:val="28"/>
        </w:rPr>
        <w:t>À</w:t>
      </w:r>
      <w:r w:rsidR="00EF39E9" w:rsidRPr="006B4C7E">
        <w:rPr>
          <w:sz w:val="44"/>
          <w:szCs w:val="28"/>
        </w:rPr>
        <w:t xml:space="preserve"> commencer par</w:t>
      </w:r>
      <w:r w:rsidR="003B56BE">
        <w:rPr>
          <w:sz w:val="44"/>
          <w:szCs w:val="28"/>
        </w:rPr>
        <w:t xml:space="preserve"> le fait de</w:t>
      </w:r>
      <w:r w:rsidR="00EF39E9" w:rsidRPr="006B4C7E">
        <w:rPr>
          <w:sz w:val="44"/>
          <w:szCs w:val="28"/>
        </w:rPr>
        <w:t xml:space="preserve"> ne pas trop rajouter </w:t>
      </w:r>
      <w:r w:rsidR="007F54DA">
        <w:rPr>
          <w:sz w:val="44"/>
          <w:szCs w:val="28"/>
        </w:rPr>
        <w:t>d</w:t>
      </w:r>
      <w:r w:rsidR="00EF39E9" w:rsidRPr="006B4C7E">
        <w:rPr>
          <w:sz w:val="44"/>
          <w:szCs w:val="28"/>
        </w:rPr>
        <w:t>e complexité nouvelle à ce qui existe déjà.</w:t>
      </w:r>
    </w:p>
    <w:p w14:paraId="5E135AF2" w14:textId="7F0ECF62" w:rsidR="00EF39E9" w:rsidRPr="006B4C7E" w:rsidRDefault="00EF39E9" w:rsidP="006D68F3">
      <w:pPr>
        <w:spacing w:after="120" w:line="360" w:lineRule="auto"/>
        <w:jc w:val="both"/>
        <w:rPr>
          <w:sz w:val="44"/>
          <w:szCs w:val="28"/>
        </w:rPr>
      </w:pPr>
      <w:r w:rsidRPr="006B4C7E">
        <w:rPr>
          <w:sz w:val="44"/>
          <w:szCs w:val="28"/>
        </w:rPr>
        <w:t xml:space="preserve">Une deuxième observation sur la partie régulée du paysage des institutions financières : nous croyons que la supervision doit conforter non seulement la confiance </w:t>
      </w:r>
      <w:r w:rsidR="00533209">
        <w:rPr>
          <w:sz w:val="44"/>
          <w:szCs w:val="28"/>
        </w:rPr>
        <w:t xml:space="preserve">dans la stabilité du système mais aussi la confiance </w:t>
      </w:r>
      <w:r w:rsidRPr="006B4C7E">
        <w:rPr>
          <w:sz w:val="44"/>
          <w:szCs w:val="28"/>
        </w:rPr>
        <w:t>au niveau le plus élémentaire, celui de la relation personnelle avec le client. Cela suppose que le devoir d’information</w:t>
      </w:r>
      <w:r w:rsidR="00533209">
        <w:rPr>
          <w:sz w:val="44"/>
          <w:szCs w:val="28"/>
        </w:rPr>
        <w:t>,</w:t>
      </w:r>
      <w:r w:rsidR="004C6B18" w:rsidRPr="006B4C7E">
        <w:rPr>
          <w:sz w:val="44"/>
          <w:szCs w:val="28"/>
        </w:rPr>
        <w:t xml:space="preserve"> de conseil ne soit pas perçu comme une </w:t>
      </w:r>
      <w:r w:rsidR="00533209">
        <w:rPr>
          <w:sz w:val="44"/>
          <w:szCs w:val="28"/>
        </w:rPr>
        <w:t xml:space="preserve">formalité supplémentaire, pour tout dire comme une </w:t>
      </w:r>
      <w:r w:rsidR="00C37B5F">
        <w:rPr>
          <w:sz w:val="44"/>
          <w:szCs w:val="28"/>
        </w:rPr>
        <w:t>gêne</w:t>
      </w:r>
      <w:r w:rsidR="00533209">
        <w:rPr>
          <w:sz w:val="44"/>
          <w:szCs w:val="28"/>
        </w:rPr>
        <w:t xml:space="preserve"> dans le processus de distribution,</w:t>
      </w:r>
      <w:r w:rsidR="004C6B18" w:rsidRPr="006B4C7E">
        <w:rPr>
          <w:sz w:val="44"/>
          <w:szCs w:val="28"/>
        </w:rPr>
        <w:t xml:space="preserve"> mais </w:t>
      </w:r>
      <w:r w:rsidR="00533209">
        <w:rPr>
          <w:sz w:val="44"/>
          <w:szCs w:val="28"/>
        </w:rPr>
        <w:t xml:space="preserve">comme </w:t>
      </w:r>
      <w:r w:rsidR="004C6B18" w:rsidRPr="006B4C7E">
        <w:rPr>
          <w:sz w:val="44"/>
          <w:szCs w:val="28"/>
        </w:rPr>
        <w:t xml:space="preserve">un élément de la confiance du client, dans la durée </w:t>
      </w:r>
    </w:p>
    <w:p w14:paraId="260341D8" w14:textId="0157D325" w:rsidR="004C6B18" w:rsidRPr="006B4C7E" w:rsidRDefault="004C6B18" w:rsidP="006D68F3">
      <w:pPr>
        <w:spacing w:after="120" w:line="360" w:lineRule="auto"/>
        <w:jc w:val="both"/>
        <w:rPr>
          <w:sz w:val="44"/>
          <w:szCs w:val="28"/>
        </w:rPr>
      </w:pPr>
      <w:r w:rsidRPr="006B4C7E">
        <w:rPr>
          <w:sz w:val="44"/>
          <w:szCs w:val="28"/>
        </w:rPr>
        <w:t xml:space="preserve">Le conseil, la transparence sur les frais facturés, </w:t>
      </w:r>
      <w:r w:rsidR="00533209">
        <w:rPr>
          <w:sz w:val="44"/>
          <w:szCs w:val="28"/>
        </w:rPr>
        <w:t>à tous les niveaux de</w:t>
      </w:r>
      <w:r w:rsidR="00CA4E7E" w:rsidRPr="006B4C7E">
        <w:rPr>
          <w:sz w:val="44"/>
          <w:szCs w:val="28"/>
        </w:rPr>
        <w:t xml:space="preserve"> la chaine de distribution, et la recherche d’un</w:t>
      </w:r>
      <w:r w:rsidR="00533209">
        <w:rPr>
          <w:sz w:val="44"/>
          <w:szCs w:val="28"/>
        </w:rPr>
        <w:t xml:space="preserve"> partage</w:t>
      </w:r>
      <w:r w:rsidR="00CA4E7E" w:rsidRPr="006B4C7E">
        <w:rPr>
          <w:sz w:val="44"/>
          <w:szCs w:val="28"/>
        </w:rPr>
        <w:t xml:space="preserve"> de valeur équilibré avec le client</w:t>
      </w:r>
      <w:r w:rsidR="00533209">
        <w:rPr>
          <w:sz w:val="44"/>
          <w:szCs w:val="28"/>
        </w:rPr>
        <w:t>,</w:t>
      </w:r>
      <w:r w:rsidR="00CA4E7E" w:rsidRPr="006B4C7E">
        <w:rPr>
          <w:sz w:val="44"/>
          <w:szCs w:val="28"/>
        </w:rPr>
        <w:t xml:space="preserve"> sont des impératifs de mieux en mieux </w:t>
      </w:r>
      <w:r w:rsidR="001641C2">
        <w:rPr>
          <w:sz w:val="44"/>
          <w:szCs w:val="28"/>
        </w:rPr>
        <w:t>établis</w:t>
      </w:r>
      <w:r w:rsidR="00CA4E7E" w:rsidRPr="006B4C7E">
        <w:rPr>
          <w:sz w:val="44"/>
          <w:szCs w:val="28"/>
        </w:rPr>
        <w:t xml:space="preserve"> par la réglementation, et dont les exigences doivent être </w:t>
      </w:r>
      <w:r w:rsidR="00533209">
        <w:rPr>
          <w:sz w:val="44"/>
          <w:szCs w:val="28"/>
        </w:rPr>
        <w:t>i</w:t>
      </w:r>
      <w:r w:rsidR="00CA4E7E" w:rsidRPr="006B4C7E">
        <w:rPr>
          <w:sz w:val="44"/>
          <w:szCs w:val="28"/>
        </w:rPr>
        <w:t>ntériorisées.</w:t>
      </w:r>
    </w:p>
    <w:p w14:paraId="53120ED6" w14:textId="1E62C925" w:rsidR="00CA4E7E" w:rsidRPr="006B4C7E" w:rsidRDefault="00CA4E7E" w:rsidP="006D68F3">
      <w:pPr>
        <w:spacing w:after="120" w:line="360" w:lineRule="auto"/>
        <w:jc w:val="both"/>
        <w:rPr>
          <w:sz w:val="44"/>
          <w:szCs w:val="28"/>
        </w:rPr>
      </w:pPr>
      <w:r w:rsidRPr="006B4C7E">
        <w:rPr>
          <w:sz w:val="44"/>
          <w:szCs w:val="28"/>
        </w:rPr>
        <w:t>La « finance » fût parfois brocardée, bien à tort, car nous savons tous sa place centrale dans l’</w:t>
      </w:r>
      <w:r w:rsidR="00533209">
        <w:rPr>
          <w:sz w:val="44"/>
          <w:szCs w:val="28"/>
        </w:rPr>
        <w:t>économie. L</w:t>
      </w:r>
      <w:r w:rsidRPr="006B4C7E">
        <w:rPr>
          <w:sz w:val="44"/>
          <w:szCs w:val="28"/>
        </w:rPr>
        <w:t>a supervi</w:t>
      </w:r>
      <w:r w:rsidR="006D68F3" w:rsidRPr="006B4C7E">
        <w:rPr>
          <w:sz w:val="44"/>
          <w:szCs w:val="28"/>
        </w:rPr>
        <w:t>s</w:t>
      </w:r>
      <w:r w:rsidRPr="006B4C7E">
        <w:rPr>
          <w:sz w:val="44"/>
          <w:szCs w:val="28"/>
        </w:rPr>
        <w:t xml:space="preserve">ion n’est </w:t>
      </w:r>
      <w:r w:rsidR="00016245">
        <w:rPr>
          <w:sz w:val="44"/>
          <w:szCs w:val="28"/>
        </w:rPr>
        <w:t xml:space="preserve">donc </w:t>
      </w:r>
      <w:r w:rsidRPr="006B4C7E">
        <w:rPr>
          <w:sz w:val="44"/>
          <w:szCs w:val="28"/>
        </w:rPr>
        <w:t>pas là pour empê</w:t>
      </w:r>
      <w:r w:rsidR="006D68F3" w:rsidRPr="006B4C7E">
        <w:rPr>
          <w:sz w:val="44"/>
          <w:szCs w:val="28"/>
        </w:rPr>
        <w:t>c</w:t>
      </w:r>
      <w:r w:rsidRPr="006B4C7E">
        <w:rPr>
          <w:sz w:val="44"/>
          <w:szCs w:val="28"/>
        </w:rPr>
        <w:t>her mais pour conforter notre modèle</w:t>
      </w:r>
      <w:r w:rsidR="006D68F3" w:rsidRPr="006B4C7E">
        <w:rPr>
          <w:sz w:val="44"/>
          <w:szCs w:val="28"/>
        </w:rPr>
        <w:t xml:space="preserve">. La supervision se </w:t>
      </w:r>
      <w:r w:rsidR="00533209">
        <w:rPr>
          <w:sz w:val="44"/>
          <w:szCs w:val="28"/>
        </w:rPr>
        <w:t>veu</w:t>
      </w:r>
      <w:r w:rsidR="006D68F3" w:rsidRPr="006B4C7E">
        <w:rPr>
          <w:sz w:val="44"/>
          <w:szCs w:val="28"/>
        </w:rPr>
        <w:t xml:space="preserve">t en accompagnement, en particulier de toutes les innovations. Nous sommes là en fait pour tirer le système vers le haut et renforcer sa résilience face </w:t>
      </w:r>
      <w:r w:rsidR="006D68F3" w:rsidRPr="00533209">
        <w:rPr>
          <w:sz w:val="44"/>
          <w:szCs w:val="28"/>
        </w:rPr>
        <w:t>aux accidents de l’histoire</w:t>
      </w:r>
      <w:r w:rsidR="006D68F3" w:rsidRPr="006B4C7E">
        <w:rPr>
          <w:sz w:val="44"/>
          <w:szCs w:val="28"/>
        </w:rPr>
        <w:t xml:space="preserve">. C’est du moins </w:t>
      </w:r>
      <w:r w:rsidR="00533209">
        <w:rPr>
          <w:sz w:val="44"/>
          <w:szCs w:val="28"/>
        </w:rPr>
        <w:t>ma</w:t>
      </w:r>
      <w:r w:rsidR="006D68F3" w:rsidRPr="006B4C7E">
        <w:rPr>
          <w:sz w:val="44"/>
          <w:szCs w:val="28"/>
        </w:rPr>
        <w:t xml:space="preserve"> philosophie, sous le contrôle des orateurs de la table ronde qui va suivre.</w:t>
      </w:r>
    </w:p>
    <w:p w14:paraId="6A5D2FB6" w14:textId="40595FD3" w:rsidR="006D68F3" w:rsidRPr="006B4C7E" w:rsidRDefault="006D68F3" w:rsidP="006D68F3">
      <w:pPr>
        <w:spacing w:after="120" w:line="360" w:lineRule="auto"/>
        <w:jc w:val="both"/>
        <w:rPr>
          <w:sz w:val="44"/>
          <w:szCs w:val="28"/>
        </w:rPr>
      </w:pPr>
      <w:r w:rsidRPr="006B4C7E">
        <w:rPr>
          <w:sz w:val="44"/>
          <w:szCs w:val="28"/>
        </w:rPr>
        <w:t>Merci de votre attention.</w:t>
      </w:r>
    </w:p>
    <w:p w14:paraId="07388FCC" w14:textId="48F8BA98" w:rsidR="00C754F5" w:rsidRPr="00C61482" w:rsidRDefault="00C754F5" w:rsidP="0055721C">
      <w:pPr>
        <w:spacing w:after="120" w:line="360" w:lineRule="auto"/>
        <w:jc w:val="both"/>
        <w:rPr>
          <w:sz w:val="28"/>
          <w:szCs w:val="28"/>
        </w:rPr>
      </w:pPr>
    </w:p>
    <w:sectPr w:rsidR="00C754F5" w:rsidRPr="00C614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B2AE" w14:textId="77777777" w:rsidR="00FF0269" w:rsidRDefault="00FF0269" w:rsidP="00C754F5">
      <w:pPr>
        <w:spacing w:after="0" w:line="240" w:lineRule="auto"/>
      </w:pPr>
      <w:r>
        <w:separator/>
      </w:r>
    </w:p>
  </w:endnote>
  <w:endnote w:type="continuationSeparator" w:id="0">
    <w:p w14:paraId="6C0A2A24" w14:textId="77777777" w:rsidR="00FF0269" w:rsidRDefault="00FF0269" w:rsidP="00C7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12110"/>
      <w:docPartObj>
        <w:docPartGallery w:val="Page Numbers (Bottom of Page)"/>
        <w:docPartUnique/>
      </w:docPartObj>
    </w:sdtPr>
    <w:sdtEndPr/>
    <w:sdtContent>
      <w:p w14:paraId="3DE760C2" w14:textId="3F16EEE6" w:rsidR="00C754F5" w:rsidRDefault="00C754F5">
        <w:pPr>
          <w:pStyle w:val="Pieddepage"/>
          <w:jc w:val="right"/>
        </w:pPr>
        <w:r>
          <w:fldChar w:fldCharType="begin"/>
        </w:r>
        <w:r>
          <w:instrText>PAGE   \* MERGEFORMAT</w:instrText>
        </w:r>
        <w:r>
          <w:fldChar w:fldCharType="separate"/>
        </w:r>
        <w:r>
          <w:t>2</w:t>
        </w:r>
        <w:r>
          <w:fldChar w:fldCharType="end"/>
        </w:r>
      </w:p>
    </w:sdtContent>
  </w:sdt>
  <w:p w14:paraId="3DDA0D8C" w14:textId="77777777" w:rsidR="00C754F5" w:rsidRDefault="00C754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93A3" w14:textId="77777777" w:rsidR="00FF0269" w:rsidRDefault="00FF0269" w:rsidP="00C754F5">
      <w:pPr>
        <w:spacing w:after="0" w:line="240" w:lineRule="auto"/>
      </w:pPr>
      <w:r>
        <w:separator/>
      </w:r>
    </w:p>
  </w:footnote>
  <w:footnote w:type="continuationSeparator" w:id="0">
    <w:p w14:paraId="698607FF" w14:textId="77777777" w:rsidR="00FF0269" w:rsidRDefault="00FF0269" w:rsidP="00C754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82"/>
    <w:rsid w:val="000155A2"/>
    <w:rsid w:val="00016245"/>
    <w:rsid w:val="00042D90"/>
    <w:rsid w:val="000547C2"/>
    <w:rsid w:val="00057D7E"/>
    <w:rsid w:val="000D5D10"/>
    <w:rsid w:val="000E0D36"/>
    <w:rsid w:val="0015436B"/>
    <w:rsid w:val="001641C2"/>
    <w:rsid w:val="001867F5"/>
    <w:rsid w:val="001A7ABE"/>
    <w:rsid w:val="001F1B41"/>
    <w:rsid w:val="00282610"/>
    <w:rsid w:val="00282B8C"/>
    <w:rsid w:val="00291DFB"/>
    <w:rsid w:val="00295F42"/>
    <w:rsid w:val="00296937"/>
    <w:rsid w:val="002F69F5"/>
    <w:rsid w:val="00307FAF"/>
    <w:rsid w:val="003801EF"/>
    <w:rsid w:val="003B56BE"/>
    <w:rsid w:val="003E75FB"/>
    <w:rsid w:val="003F7897"/>
    <w:rsid w:val="004A418D"/>
    <w:rsid w:val="004C6B18"/>
    <w:rsid w:val="004E6AD6"/>
    <w:rsid w:val="00533209"/>
    <w:rsid w:val="00545931"/>
    <w:rsid w:val="005548AB"/>
    <w:rsid w:val="0055557A"/>
    <w:rsid w:val="0055721C"/>
    <w:rsid w:val="005635B5"/>
    <w:rsid w:val="005A589B"/>
    <w:rsid w:val="005B3A1C"/>
    <w:rsid w:val="005F0DA1"/>
    <w:rsid w:val="005F3349"/>
    <w:rsid w:val="005F5432"/>
    <w:rsid w:val="00616513"/>
    <w:rsid w:val="006303BB"/>
    <w:rsid w:val="0064145F"/>
    <w:rsid w:val="00651B8B"/>
    <w:rsid w:val="006835D6"/>
    <w:rsid w:val="006A5478"/>
    <w:rsid w:val="006A6009"/>
    <w:rsid w:val="006B4C7E"/>
    <w:rsid w:val="006D68F3"/>
    <w:rsid w:val="00700D46"/>
    <w:rsid w:val="00703AA2"/>
    <w:rsid w:val="0076081E"/>
    <w:rsid w:val="0076104B"/>
    <w:rsid w:val="0076294D"/>
    <w:rsid w:val="007B3819"/>
    <w:rsid w:val="007F54DA"/>
    <w:rsid w:val="00836555"/>
    <w:rsid w:val="008523AC"/>
    <w:rsid w:val="00852E31"/>
    <w:rsid w:val="008766B4"/>
    <w:rsid w:val="00887572"/>
    <w:rsid w:val="00974FFB"/>
    <w:rsid w:val="00994C38"/>
    <w:rsid w:val="009B502F"/>
    <w:rsid w:val="009C1822"/>
    <w:rsid w:val="00A74A40"/>
    <w:rsid w:val="00AD0C1A"/>
    <w:rsid w:val="00AD3A67"/>
    <w:rsid w:val="00B20EB0"/>
    <w:rsid w:val="00B27E14"/>
    <w:rsid w:val="00B352B3"/>
    <w:rsid w:val="00B534DD"/>
    <w:rsid w:val="00B61BDF"/>
    <w:rsid w:val="00BA3665"/>
    <w:rsid w:val="00BD1A8E"/>
    <w:rsid w:val="00BE009F"/>
    <w:rsid w:val="00C37B5F"/>
    <w:rsid w:val="00C61482"/>
    <w:rsid w:val="00C722CF"/>
    <w:rsid w:val="00C754F5"/>
    <w:rsid w:val="00CA39FF"/>
    <w:rsid w:val="00CA4E7E"/>
    <w:rsid w:val="00D66656"/>
    <w:rsid w:val="00D76244"/>
    <w:rsid w:val="00E75D35"/>
    <w:rsid w:val="00E92895"/>
    <w:rsid w:val="00EB1B34"/>
    <w:rsid w:val="00EE7DC6"/>
    <w:rsid w:val="00EF39E9"/>
    <w:rsid w:val="00F17FCD"/>
    <w:rsid w:val="00F510F3"/>
    <w:rsid w:val="00F6155F"/>
    <w:rsid w:val="00F71355"/>
    <w:rsid w:val="00FD51F6"/>
    <w:rsid w:val="00FE5AAD"/>
    <w:rsid w:val="00FF0269"/>
    <w:rsid w:val="00FF58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6000"/>
  <w15:chartTrackingRefBased/>
  <w15:docId w15:val="{933AEC0A-2BB2-4DC3-B15E-BDE0FDEE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1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1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14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14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14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14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14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14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14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4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14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14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14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14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14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14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14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1482"/>
    <w:rPr>
      <w:rFonts w:eastAsiaTheme="majorEastAsia" w:cstheme="majorBidi"/>
      <w:color w:val="272727" w:themeColor="text1" w:themeTint="D8"/>
    </w:rPr>
  </w:style>
  <w:style w:type="paragraph" w:styleId="Titre">
    <w:name w:val="Title"/>
    <w:basedOn w:val="Normal"/>
    <w:next w:val="Normal"/>
    <w:link w:val="TitreCar"/>
    <w:uiPriority w:val="10"/>
    <w:qFormat/>
    <w:rsid w:val="00C61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14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14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14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1482"/>
    <w:pPr>
      <w:spacing w:before="160"/>
      <w:jc w:val="center"/>
    </w:pPr>
    <w:rPr>
      <w:i/>
      <w:iCs/>
      <w:color w:val="404040" w:themeColor="text1" w:themeTint="BF"/>
    </w:rPr>
  </w:style>
  <w:style w:type="character" w:customStyle="1" w:styleId="CitationCar">
    <w:name w:val="Citation Car"/>
    <w:basedOn w:val="Policepardfaut"/>
    <w:link w:val="Citation"/>
    <w:uiPriority w:val="29"/>
    <w:rsid w:val="00C61482"/>
    <w:rPr>
      <w:i/>
      <w:iCs/>
      <w:color w:val="404040" w:themeColor="text1" w:themeTint="BF"/>
    </w:rPr>
  </w:style>
  <w:style w:type="paragraph" w:styleId="Paragraphedeliste">
    <w:name w:val="List Paragraph"/>
    <w:basedOn w:val="Normal"/>
    <w:uiPriority w:val="34"/>
    <w:qFormat/>
    <w:rsid w:val="00C61482"/>
    <w:pPr>
      <w:ind w:left="720"/>
      <w:contextualSpacing/>
    </w:pPr>
  </w:style>
  <w:style w:type="character" w:styleId="Accentuationintense">
    <w:name w:val="Intense Emphasis"/>
    <w:basedOn w:val="Policepardfaut"/>
    <w:uiPriority w:val="21"/>
    <w:qFormat/>
    <w:rsid w:val="00C61482"/>
    <w:rPr>
      <w:i/>
      <w:iCs/>
      <w:color w:val="0F4761" w:themeColor="accent1" w:themeShade="BF"/>
    </w:rPr>
  </w:style>
  <w:style w:type="paragraph" w:styleId="Citationintense">
    <w:name w:val="Intense Quote"/>
    <w:basedOn w:val="Normal"/>
    <w:next w:val="Normal"/>
    <w:link w:val="CitationintenseCar"/>
    <w:uiPriority w:val="30"/>
    <w:qFormat/>
    <w:rsid w:val="00C61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1482"/>
    <w:rPr>
      <w:i/>
      <w:iCs/>
      <w:color w:val="0F4761" w:themeColor="accent1" w:themeShade="BF"/>
    </w:rPr>
  </w:style>
  <w:style w:type="character" w:styleId="Rfrenceintense">
    <w:name w:val="Intense Reference"/>
    <w:basedOn w:val="Policepardfaut"/>
    <w:uiPriority w:val="32"/>
    <w:qFormat/>
    <w:rsid w:val="00C61482"/>
    <w:rPr>
      <w:b/>
      <w:bCs/>
      <w:smallCaps/>
      <w:color w:val="0F4761" w:themeColor="accent1" w:themeShade="BF"/>
      <w:spacing w:val="5"/>
    </w:rPr>
  </w:style>
  <w:style w:type="paragraph" w:styleId="En-tte">
    <w:name w:val="header"/>
    <w:basedOn w:val="Normal"/>
    <w:link w:val="En-tteCar"/>
    <w:uiPriority w:val="99"/>
    <w:unhideWhenUsed/>
    <w:rsid w:val="00C754F5"/>
    <w:pPr>
      <w:tabs>
        <w:tab w:val="center" w:pos="4536"/>
        <w:tab w:val="right" w:pos="9072"/>
      </w:tabs>
      <w:spacing w:after="0" w:line="240" w:lineRule="auto"/>
    </w:pPr>
  </w:style>
  <w:style w:type="character" w:customStyle="1" w:styleId="En-tteCar">
    <w:name w:val="En-tête Car"/>
    <w:basedOn w:val="Policepardfaut"/>
    <w:link w:val="En-tte"/>
    <w:uiPriority w:val="99"/>
    <w:rsid w:val="00C754F5"/>
  </w:style>
  <w:style w:type="paragraph" w:styleId="Pieddepage">
    <w:name w:val="footer"/>
    <w:basedOn w:val="Normal"/>
    <w:link w:val="PieddepageCar"/>
    <w:uiPriority w:val="99"/>
    <w:unhideWhenUsed/>
    <w:rsid w:val="00C754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4085">
      <w:bodyDiv w:val="1"/>
      <w:marLeft w:val="0"/>
      <w:marRight w:val="0"/>
      <w:marTop w:val="0"/>
      <w:marBottom w:val="0"/>
      <w:divBdr>
        <w:top w:val="none" w:sz="0" w:space="0" w:color="auto"/>
        <w:left w:val="none" w:sz="0" w:space="0" w:color="auto"/>
        <w:bottom w:val="none" w:sz="0" w:space="0" w:color="auto"/>
        <w:right w:val="none" w:sz="0" w:space="0" w:color="auto"/>
      </w:divBdr>
    </w:div>
    <w:div w:id="292366349">
      <w:bodyDiv w:val="1"/>
      <w:marLeft w:val="0"/>
      <w:marRight w:val="0"/>
      <w:marTop w:val="0"/>
      <w:marBottom w:val="0"/>
      <w:divBdr>
        <w:top w:val="none" w:sz="0" w:space="0" w:color="auto"/>
        <w:left w:val="none" w:sz="0" w:space="0" w:color="auto"/>
        <w:bottom w:val="none" w:sz="0" w:space="0" w:color="auto"/>
        <w:right w:val="none" w:sz="0" w:space="0" w:color="auto"/>
      </w:divBdr>
    </w:div>
    <w:div w:id="918828442">
      <w:bodyDiv w:val="1"/>
      <w:marLeft w:val="0"/>
      <w:marRight w:val="0"/>
      <w:marTop w:val="0"/>
      <w:marBottom w:val="0"/>
      <w:divBdr>
        <w:top w:val="none" w:sz="0" w:space="0" w:color="auto"/>
        <w:left w:val="none" w:sz="0" w:space="0" w:color="auto"/>
        <w:bottom w:val="none" w:sz="0" w:space="0" w:color="auto"/>
        <w:right w:val="none" w:sz="0" w:space="0" w:color="auto"/>
      </w:divBdr>
    </w:div>
    <w:div w:id="98693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932A-2423-4D4B-B550-EA7DC120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Pages>
  <Words>1408</Words>
  <Characters>7746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HOTIN Quetty (SGACPR)</dc:creator>
  <cp:keywords/>
  <dc:description/>
  <cp:lastModifiedBy>HOTIN Quetty (SGACPR)</cp:lastModifiedBy>
  <cp:revision>103</cp:revision>
  <cp:lastPrinted>2025-11-24T09:04:00Z</cp:lastPrinted>
  <dcterms:created xsi:type="dcterms:W3CDTF">2025-11-05T16:11:00Z</dcterms:created>
  <dcterms:modified xsi:type="dcterms:W3CDTF">2025-11-24T11:02:00Z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2a2859-efb8-43c3-a3da-c3714387a9bb_Enabled">
    <vt:lpwstr>true</vt:lpwstr>
  </property>
  <property fmtid="{D5CDD505-2E9C-101B-9397-08002B2CF9AE}" pid="3" name="MSIP_Label_b92a2859-efb8-43c3-a3da-c3714387a9bb_SetDate">
    <vt:lpwstr>2025-11-05T17:05:01Z</vt:lpwstr>
  </property>
  <property fmtid="{D5CDD505-2E9C-101B-9397-08002B2CF9AE}" pid="4" name="MSIP_Label_b92a2859-efb8-43c3-a3da-c3714387a9bb_Method">
    <vt:lpwstr>Privileged</vt:lpwstr>
  </property>
  <property fmtid="{D5CDD505-2E9C-101B-9397-08002B2CF9AE}" pid="5" name="MSIP_Label_b92a2859-efb8-43c3-a3da-c3714387a9bb_Name">
    <vt:lpwstr>BDF-RESTREINT-Sans-Marquage</vt:lpwstr>
  </property>
  <property fmtid="{D5CDD505-2E9C-101B-9397-08002B2CF9AE}" pid="6" name="MSIP_Label_b92a2859-efb8-43c3-a3da-c3714387a9bb_SiteId">
    <vt:lpwstr>e6599448-62a0-418e-8930-d00d8d5682c2</vt:lpwstr>
  </property>
  <property fmtid="{D5CDD505-2E9C-101B-9397-08002B2CF9AE}" pid="7" name="MSIP_Label_b92a2859-efb8-43c3-a3da-c3714387a9bb_ActionId">
    <vt:lpwstr>60bebc28-71f4-434f-a29f-93c58adcab90</vt:lpwstr>
  </property>
  <property fmtid="{D5CDD505-2E9C-101B-9397-08002B2CF9AE}" pid="8" name="MSIP_Label_b92a2859-efb8-43c3-a3da-c3714387a9bb_ContentBits">
    <vt:lpwstr>0</vt:lpwstr>
  </property>
  <property fmtid="{D5CDD505-2E9C-101B-9397-08002B2CF9AE}" pid="9" name="MSIP_Label_b92a2859-efb8-43c3-a3da-c3714387a9bb_Tag">
    <vt:lpwstr>10, 0, 1, 1</vt:lpwstr>
  </property>
</Properties>
</file>