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952F" w14:textId="29E0ED7A" w:rsidR="00250CCC" w:rsidRPr="00250CCC" w:rsidRDefault="00250CCC" w:rsidP="00250CCC">
      <w:pPr>
        <w:spacing w:after="0" w:line="240" w:lineRule="auto"/>
        <w:jc w:val="right"/>
        <w:rPr>
          <w:b/>
          <w:sz w:val="24"/>
          <w:szCs w:val="24"/>
        </w:rPr>
      </w:pPr>
      <w:r>
        <w:rPr>
          <w:b/>
          <w:sz w:val="24"/>
          <w:szCs w:val="24"/>
        </w:rPr>
        <w:t>Annexe à l’instruction n°</w:t>
      </w:r>
      <w:r w:rsidR="00CF7770">
        <w:rPr>
          <w:b/>
          <w:sz w:val="24"/>
          <w:szCs w:val="24"/>
        </w:rPr>
        <w:t xml:space="preserve"> </w:t>
      </w:r>
      <w:r w:rsidRPr="00250CCC">
        <w:rPr>
          <w:b/>
          <w:sz w:val="24"/>
          <w:szCs w:val="24"/>
        </w:rPr>
        <w:t>2025-I-</w:t>
      </w:r>
      <w:r>
        <w:rPr>
          <w:b/>
          <w:sz w:val="24"/>
          <w:szCs w:val="24"/>
        </w:rPr>
        <w:t>2</w:t>
      </w:r>
      <w:r w:rsidR="00A32EC9">
        <w:rPr>
          <w:b/>
          <w:sz w:val="24"/>
          <w:szCs w:val="24"/>
        </w:rPr>
        <w:t>2</w:t>
      </w:r>
    </w:p>
    <w:p w14:paraId="10A16C20" w14:textId="77777777" w:rsidR="00250CCC" w:rsidRDefault="00250CCC" w:rsidP="00250CCC">
      <w:pPr>
        <w:spacing w:after="0" w:line="240" w:lineRule="auto"/>
        <w:jc w:val="center"/>
        <w:rPr>
          <w:b/>
          <w:sz w:val="24"/>
          <w:szCs w:val="24"/>
          <w:u w:val="single"/>
        </w:rPr>
      </w:pPr>
    </w:p>
    <w:p w14:paraId="22A8941E" w14:textId="77777777" w:rsidR="00CF7770" w:rsidRDefault="00D57A1D" w:rsidP="00AD0459">
      <w:pPr>
        <w:jc w:val="center"/>
        <w:rPr>
          <w:b/>
          <w:sz w:val="24"/>
          <w:szCs w:val="24"/>
          <w:u w:val="single"/>
        </w:rPr>
      </w:pPr>
      <w:r w:rsidRPr="00697972">
        <w:rPr>
          <w:b/>
          <w:sz w:val="24"/>
          <w:szCs w:val="24"/>
          <w:u w:val="single"/>
        </w:rPr>
        <w:t>DEMANDE D’APPROBATION</w:t>
      </w:r>
      <w:r w:rsidR="00A51692" w:rsidRPr="00697972">
        <w:rPr>
          <w:b/>
          <w:sz w:val="24"/>
          <w:szCs w:val="24"/>
          <w:u w:val="single"/>
        </w:rPr>
        <w:t xml:space="preserve"> DE CONCLUSION</w:t>
      </w:r>
      <w:r w:rsidR="00AD0459" w:rsidRPr="00697972">
        <w:rPr>
          <w:b/>
          <w:sz w:val="24"/>
          <w:szCs w:val="24"/>
          <w:u w:val="single"/>
        </w:rPr>
        <w:t xml:space="preserve"> </w:t>
      </w:r>
      <w:r w:rsidR="00A51692" w:rsidRPr="00697972">
        <w:rPr>
          <w:b/>
          <w:sz w:val="24"/>
          <w:szCs w:val="24"/>
          <w:u w:val="single"/>
        </w:rPr>
        <w:t xml:space="preserve">OU D’AVENANT </w:t>
      </w:r>
    </w:p>
    <w:p w14:paraId="3F1B1A74" w14:textId="5511B062" w:rsidR="00D57A1D" w:rsidRPr="00697972" w:rsidRDefault="00A51692" w:rsidP="00AD0459">
      <w:pPr>
        <w:jc w:val="center"/>
        <w:rPr>
          <w:b/>
          <w:sz w:val="24"/>
          <w:szCs w:val="24"/>
          <w:u w:val="single"/>
        </w:rPr>
      </w:pPr>
      <w:r w:rsidRPr="00697972">
        <w:rPr>
          <w:b/>
          <w:sz w:val="24"/>
          <w:szCs w:val="24"/>
          <w:u w:val="single"/>
        </w:rPr>
        <w:t>A UNE CONVENTION DE SUBSTITUTION</w:t>
      </w:r>
    </w:p>
    <w:p w14:paraId="0DD2B57A" w14:textId="77777777" w:rsidR="00D57A1D" w:rsidRPr="00D57A1D" w:rsidRDefault="00D57A1D" w:rsidP="00D57A1D">
      <w:pPr>
        <w:rPr>
          <w:b/>
        </w:rPr>
      </w:pPr>
      <w:r w:rsidRPr="00D57A1D">
        <w:rPr>
          <w:b/>
        </w:rPr>
        <w:t>DOCUMENTS OU INFORMATIONS A PRODUIRE POUR L’EXAMEN DES DOSSIERS</w:t>
      </w:r>
    </w:p>
    <w:p w14:paraId="0A408CD1" w14:textId="77777777" w:rsidR="000D01F7" w:rsidRDefault="00951649" w:rsidP="00853F48">
      <w:pPr>
        <w:jc w:val="both"/>
        <w:rPr>
          <w:b/>
          <w:i/>
          <w:iCs/>
        </w:rPr>
      </w:pPr>
      <w:bookmarkStart w:id="0" w:name="_Hlk205548202"/>
      <w:r w:rsidRPr="00BA1AFF">
        <w:rPr>
          <w:b/>
          <w:i/>
          <w:iCs/>
        </w:rPr>
        <w:t>Liste non limitative qui peut être complétée en fonction des particularités de l’opération</w:t>
      </w:r>
    </w:p>
    <w:p w14:paraId="0B6E5307" w14:textId="77777777" w:rsidR="00853F48" w:rsidRDefault="00853F48" w:rsidP="00853F48">
      <w:pPr>
        <w:jc w:val="both"/>
      </w:pPr>
      <w:r>
        <w:t>En l’absence de mention explicite, les documents listés ci-après sont attendus de la part de l’ensemble des entités concernées.</w:t>
      </w:r>
    </w:p>
    <w:p w14:paraId="77E3E149" w14:textId="554F7DA7" w:rsidR="00622F67" w:rsidRDefault="00853F48" w:rsidP="00622F67">
      <w:pPr>
        <w:jc w:val="both"/>
      </w:pPr>
      <w:r w:rsidRPr="006E4C34">
        <w:t>Les fichiers transmis doivent être au format PDF et permettre l’utilisation de la fonctionnalité « Ctrl+F ». Les fichiers de données doivent, quant à eux, être transmis au format XLSX</w:t>
      </w:r>
      <w:r>
        <w:t>.</w:t>
      </w:r>
    </w:p>
    <w:tbl>
      <w:tblPr>
        <w:tblStyle w:val="Grilledutableau"/>
        <w:tblW w:w="0" w:type="auto"/>
        <w:tblLook w:val="04A0" w:firstRow="1" w:lastRow="0" w:firstColumn="1" w:lastColumn="0" w:noHBand="0" w:noVBand="1"/>
      </w:tblPr>
      <w:tblGrid>
        <w:gridCol w:w="1626"/>
        <w:gridCol w:w="7436"/>
      </w:tblGrid>
      <w:tr w:rsidR="00A51692" w14:paraId="6696708F" w14:textId="77777777" w:rsidTr="00622F67">
        <w:tc>
          <w:tcPr>
            <w:tcW w:w="1626" w:type="dxa"/>
          </w:tcPr>
          <w:bookmarkEnd w:id="0"/>
          <w:p w14:paraId="3D96BE1B" w14:textId="77777777" w:rsidR="00A51692" w:rsidRDefault="00A51692" w:rsidP="00CD140F">
            <w:r>
              <w:t>A – Identité</w:t>
            </w:r>
          </w:p>
        </w:tc>
        <w:tc>
          <w:tcPr>
            <w:tcW w:w="7436" w:type="dxa"/>
          </w:tcPr>
          <w:p w14:paraId="5B07D997" w14:textId="7468B23E" w:rsidR="00A51692" w:rsidRDefault="00A51692" w:rsidP="00CD140F">
            <w:pPr>
              <w:pStyle w:val="Paragraphedeliste"/>
              <w:numPr>
                <w:ilvl w:val="0"/>
                <w:numId w:val="1"/>
              </w:numPr>
              <w:jc w:val="both"/>
            </w:pPr>
            <w:r>
              <w:t>Dénomination sociale ; SIREN et LEI</w:t>
            </w:r>
            <w:r w:rsidR="00735574">
              <w:t>.</w:t>
            </w:r>
          </w:p>
          <w:p w14:paraId="57335025" w14:textId="6F8AF7A5" w:rsidR="00A51692" w:rsidRDefault="00A51692" w:rsidP="00CD140F">
            <w:pPr>
              <w:pStyle w:val="Paragraphedeliste"/>
              <w:numPr>
                <w:ilvl w:val="0"/>
                <w:numId w:val="1"/>
              </w:numPr>
              <w:jc w:val="both"/>
            </w:pPr>
            <w:r>
              <w:t>Branches d’agrément</w:t>
            </w:r>
            <w:r w:rsidR="00735574">
              <w:t>.</w:t>
            </w:r>
          </w:p>
        </w:tc>
      </w:tr>
      <w:tr w:rsidR="00A51692" w14:paraId="55C5063B" w14:textId="77777777" w:rsidTr="00622F67">
        <w:tc>
          <w:tcPr>
            <w:tcW w:w="1626" w:type="dxa"/>
          </w:tcPr>
          <w:p w14:paraId="346904FA" w14:textId="77777777" w:rsidR="00A51692" w:rsidRDefault="00A51692" w:rsidP="00CD140F">
            <w:r>
              <w:t>B – Motivations</w:t>
            </w:r>
          </w:p>
        </w:tc>
        <w:tc>
          <w:tcPr>
            <w:tcW w:w="7436" w:type="dxa"/>
          </w:tcPr>
          <w:p w14:paraId="3BF0BB4B" w14:textId="2322C829" w:rsidR="00A51692" w:rsidRDefault="00A51692" w:rsidP="00CD140F">
            <w:pPr>
              <w:pStyle w:val="Paragraphedeliste"/>
              <w:numPr>
                <w:ilvl w:val="0"/>
                <w:numId w:val="2"/>
              </w:numPr>
              <w:jc w:val="both"/>
            </w:pPr>
            <w:r>
              <w:t>Présentation des entités concernées en précisant notamment, leur date de création, leur nombre d’adhérents ou d’assurés et de personnes bénéficiaires, leurs particularités et leurs événements récents</w:t>
            </w:r>
            <w:r w:rsidR="00735574">
              <w:t>.</w:t>
            </w:r>
          </w:p>
          <w:p w14:paraId="1D4E093C" w14:textId="414B7059" w:rsidR="00A51692" w:rsidRDefault="00A51692" w:rsidP="00CD140F">
            <w:pPr>
              <w:pStyle w:val="Paragraphedeliste"/>
              <w:numPr>
                <w:ilvl w:val="0"/>
                <w:numId w:val="2"/>
              </w:numPr>
              <w:jc w:val="both"/>
            </w:pPr>
            <w:r>
              <w:t>Présentation des motivations de l’opération</w:t>
            </w:r>
            <w:r w:rsidR="00735574">
              <w:t>.</w:t>
            </w:r>
          </w:p>
        </w:tc>
      </w:tr>
      <w:tr w:rsidR="00A51692" w14:paraId="7B5F1D24" w14:textId="77777777" w:rsidTr="00622F67">
        <w:tc>
          <w:tcPr>
            <w:tcW w:w="1626" w:type="dxa"/>
          </w:tcPr>
          <w:p w14:paraId="028CF18F" w14:textId="3A57E5E5" w:rsidR="00A51692" w:rsidRDefault="00A51692" w:rsidP="00CD140F">
            <w:r>
              <w:t>C – Éléments juridiques</w:t>
            </w:r>
          </w:p>
        </w:tc>
        <w:tc>
          <w:tcPr>
            <w:tcW w:w="7436" w:type="dxa"/>
          </w:tcPr>
          <w:p w14:paraId="659D7628" w14:textId="0612B1B5" w:rsidR="00A51692" w:rsidRDefault="00A51692" w:rsidP="00CD140F">
            <w:pPr>
              <w:pStyle w:val="Paragraphedeliste"/>
              <w:numPr>
                <w:ilvl w:val="0"/>
                <w:numId w:val="3"/>
              </w:numPr>
              <w:jc w:val="both"/>
            </w:pPr>
            <w:r>
              <w:t xml:space="preserve">Le procès-verbal de </w:t>
            </w:r>
            <w:r w:rsidR="00267380">
              <w:t>l’assemblée générale approuvant l’opération</w:t>
            </w:r>
            <w:r w:rsidR="00735574">
              <w:t>.</w:t>
            </w:r>
          </w:p>
          <w:p w14:paraId="64CAD072" w14:textId="11C30CC2" w:rsidR="00A51692" w:rsidRDefault="00A51692" w:rsidP="00CD140F">
            <w:pPr>
              <w:pStyle w:val="Paragraphedeliste"/>
              <w:numPr>
                <w:ilvl w:val="0"/>
                <w:numId w:val="3"/>
              </w:numPr>
              <w:jc w:val="both"/>
            </w:pPr>
            <w:r>
              <w:t xml:space="preserve">La copie des derniers statuts en vigueur, datés et signés </w:t>
            </w:r>
            <w:r w:rsidR="00267380">
              <w:t xml:space="preserve">avec, pour </w:t>
            </w:r>
            <w:r w:rsidR="00267380" w:rsidRPr="00267380">
              <w:t>la mutuelle substituée</w:t>
            </w:r>
            <w:r w:rsidR="00267380">
              <w:t>,</w:t>
            </w:r>
            <w:r w:rsidR="00267380" w:rsidRPr="00267380">
              <w:t xml:space="preserve"> une disposition organisant la substitution et conférant à la mutuelle ou union substituante</w:t>
            </w:r>
            <w:r w:rsidR="00267380">
              <w:t xml:space="preserve"> </w:t>
            </w:r>
            <w:r w:rsidR="00267380" w:rsidRPr="00186CEF">
              <w:t>des pouvoirs de contrôle</w:t>
            </w:r>
            <w:r w:rsidR="00267380">
              <w:rPr>
                <w:rStyle w:val="Appelnotedebasdep"/>
              </w:rPr>
              <w:footnoteReference w:id="1"/>
            </w:r>
            <w:r w:rsidR="00267380">
              <w:t>.</w:t>
            </w:r>
          </w:p>
          <w:p w14:paraId="53AB7F2D" w14:textId="522767A7" w:rsidR="00A51692" w:rsidRDefault="00267380" w:rsidP="00CD140F">
            <w:pPr>
              <w:pStyle w:val="Paragraphedeliste"/>
              <w:numPr>
                <w:ilvl w:val="0"/>
                <w:numId w:val="3"/>
              </w:numPr>
              <w:jc w:val="both"/>
            </w:pPr>
            <w:r>
              <w:t>L</w:t>
            </w:r>
            <w:r w:rsidR="00A51692">
              <w:t>e</w:t>
            </w:r>
            <w:r>
              <w:t>s</w:t>
            </w:r>
            <w:r w:rsidR="00A51692">
              <w:t xml:space="preserve"> règlement</w:t>
            </w:r>
            <w:r>
              <w:t>s</w:t>
            </w:r>
            <w:r w:rsidR="00A51692">
              <w:t xml:space="preserve"> mutualiste</w:t>
            </w:r>
            <w:r>
              <w:t>s</w:t>
            </w:r>
            <w:r w:rsidR="00A51692">
              <w:t xml:space="preserve"> en vigueur</w:t>
            </w:r>
            <w:r>
              <w:t xml:space="preserve"> ainsi que, pour la mutuelle subs</w:t>
            </w:r>
            <w:r w:rsidR="00703F0D">
              <w:t>t</w:t>
            </w:r>
            <w:r>
              <w:t xml:space="preserve">ituée, </w:t>
            </w:r>
            <w:r w:rsidR="00622F67">
              <w:t>l</w:t>
            </w:r>
            <w:r w:rsidRPr="00267380">
              <w:t>es règlements, bulletins d'adhésion, contrats collectifs et notices d'information contenant en caractères très apparents la désignation et l'adresse de la mutuelle ou de l'union substituante</w:t>
            </w:r>
            <w:r>
              <w:rPr>
                <w:rStyle w:val="Appelnotedebasdep"/>
              </w:rPr>
              <w:footnoteReference w:id="2"/>
            </w:r>
            <w:r>
              <w:t>.</w:t>
            </w:r>
          </w:p>
          <w:p w14:paraId="09898279" w14:textId="00238B77" w:rsidR="00A51692" w:rsidRDefault="00267380" w:rsidP="00267380">
            <w:pPr>
              <w:pStyle w:val="Paragraphedeliste"/>
              <w:numPr>
                <w:ilvl w:val="0"/>
                <w:numId w:val="3"/>
              </w:numPr>
              <w:jc w:val="both"/>
            </w:pPr>
            <w:r w:rsidRPr="00267380">
              <w:t>Le projet de convention de substitution, le ou les avenants à la convention de substitution</w:t>
            </w:r>
            <w:r>
              <w:rPr>
                <w:rStyle w:val="Appelnotedebasdep"/>
              </w:rPr>
              <w:footnoteReference w:id="3"/>
            </w:r>
            <w:r w:rsidRPr="00267380">
              <w:t xml:space="preserve"> introduisant notamment la caution solidaire, le périmètre et les modalités des pouvoirs de contrôle de la substituante ainsi que la convention de substitution en vigueur le cas échéant</w:t>
            </w:r>
            <w:r>
              <w:t>.</w:t>
            </w:r>
          </w:p>
        </w:tc>
      </w:tr>
      <w:tr w:rsidR="00A51692" w14:paraId="6FC6EDB8" w14:textId="77777777" w:rsidTr="00622F67">
        <w:tc>
          <w:tcPr>
            <w:tcW w:w="1626" w:type="dxa"/>
          </w:tcPr>
          <w:p w14:paraId="0AEDEF55" w14:textId="77777777" w:rsidR="00A51692" w:rsidRDefault="00A51692" w:rsidP="00CD140F">
            <w:r>
              <w:t>D - Éléments comptables</w:t>
            </w:r>
          </w:p>
        </w:tc>
        <w:tc>
          <w:tcPr>
            <w:tcW w:w="7436" w:type="dxa"/>
          </w:tcPr>
          <w:p w14:paraId="2CF36096" w14:textId="0DE2C87F" w:rsidR="00415D83" w:rsidRDefault="00A51692" w:rsidP="00CD140F">
            <w:pPr>
              <w:pStyle w:val="Paragraphedeliste"/>
              <w:numPr>
                <w:ilvl w:val="0"/>
                <w:numId w:val="4"/>
              </w:numPr>
              <w:jc w:val="both"/>
            </w:pPr>
            <w:r w:rsidRPr="000B6F94">
              <w:t>Bilans, comptes de résultat du dernier exercice clos</w:t>
            </w:r>
            <w:r w:rsidR="00415D83">
              <w:t>.</w:t>
            </w:r>
          </w:p>
          <w:p w14:paraId="50C5EFBC" w14:textId="51DC8851" w:rsidR="00A51692" w:rsidRDefault="00415D83" w:rsidP="00CD140F">
            <w:pPr>
              <w:pStyle w:val="Paragraphedeliste"/>
              <w:numPr>
                <w:ilvl w:val="0"/>
                <w:numId w:val="4"/>
              </w:numPr>
              <w:jc w:val="both"/>
            </w:pPr>
            <w:r>
              <w:t>M</w:t>
            </w:r>
            <w:r w:rsidRPr="00415D83">
              <w:t>ontants et les bénéficiaires des engagements donnés hors bilan</w:t>
            </w:r>
            <w:r w:rsidR="00A51692">
              <w:t xml:space="preserve"> </w:t>
            </w:r>
            <w:r w:rsidRPr="000B6F94">
              <w:t>du dernier exercice clos</w:t>
            </w:r>
            <w:r>
              <w:t>.</w:t>
            </w:r>
          </w:p>
          <w:p w14:paraId="5C7FA320" w14:textId="77777777" w:rsidR="0001617B" w:rsidRDefault="00415D83" w:rsidP="00543988">
            <w:pPr>
              <w:pStyle w:val="Paragraphedeliste"/>
              <w:numPr>
                <w:ilvl w:val="0"/>
                <w:numId w:val="4"/>
              </w:numPr>
              <w:jc w:val="both"/>
            </w:pPr>
            <w:r>
              <w:t>Le cas échéant, le b</w:t>
            </w:r>
            <w:r w:rsidR="00A51692">
              <w:t>ilan et le compte de résultat</w:t>
            </w:r>
            <w:r>
              <w:t xml:space="preserve"> combinés </w:t>
            </w:r>
            <w:r w:rsidRPr="000B6F94">
              <w:t>du dernier exercice clos</w:t>
            </w:r>
            <w:r w:rsidR="00A51692">
              <w:t>.</w:t>
            </w:r>
          </w:p>
          <w:p w14:paraId="548AE6D9" w14:textId="4029E3E6" w:rsidR="00543988" w:rsidRDefault="00543988" w:rsidP="00543988">
            <w:pPr>
              <w:pStyle w:val="Paragraphedeliste"/>
              <w:numPr>
                <w:ilvl w:val="0"/>
                <w:numId w:val="4"/>
              </w:numPr>
              <w:jc w:val="both"/>
            </w:pPr>
            <w:r>
              <w:t>Pour la mutuelle ou union subs</w:t>
            </w:r>
            <w:r w:rsidR="00703F0D">
              <w:t>t</w:t>
            </w:r>
            <w:r>
              <w:t xml:space="preserve">ituante, les éléments précédents doivent également être transmis en prévisionnels </w:t>
            </w:r>
            <w:r w:rsidRPr="00543988">
              <w:t>de l'exercice dont la clôture comptable est la plus proche suivant la signature de la convention ou de l’avenant à la convention</w:t>
            </w:r>
            <w:r>
              <w:t>.</w:t>
            </w:r>
          </w:p>
        </w:tc>
      </w:tr>
      <w:tr w:rsidR="00A51692" w14:paraId="4AD5466E" w14:textId="77777777" w:rsidTr="00622F67">
        <w:tc>
          <w:tcPr>
            <w:tcW w:w="1626" w:type="dxa"/>
          </w:tcPr>
          <w:p w14:paraId="3D9A9259" w14:textId="77777777" w:rsidR="00A51692" w:rsidRDefault="00A51692" w:rsidP="00CD140F">
            <w:r>
              <w:t>E – Éléments prudentiels</w:t>
            </w:r>
          </w:p>
        </w:tc>
        <w:tc>
          <w:tcPr>
            <w:tcW w:w="7436" w:type="dxa"/>
          </w:tcPr>
          <w:p w14:paraId="1DBF45EC" w14:textId="77777777" w:rsidR="00882D35" w:rsidRDefault="00882D35" w:rsidP="00882D35">
            <w:r>
              <w:t>Si l’organisme relève de « Solvabilité II »</w:t>
            </w:r>
            <w:r>
              <w:rPr>
                <w:rStyle w:val="Appelnotedebasdep"/>
              </w:rPr>
              <w:footnoteReference w:id="4"/>
            </w:r>
            <w:r>
              <w:t> :</w:t>
            </w:r>
          </w:p>
          <w:p w14:paraId="7B39966A" w14:textId="35644518" w:rsidR="00882D35" w:rsidRDefault="00882D35" w:rsidP="00882D35">
            <w:pPr>
              <w:pStyle w:val="Paragraphedeliste"/>
              <w:numPr>
                <w:ilvl w:val="0"/>
                <w:numId w:val="5"/>
              </w:numPr>
              <w:jc w:val="both"/>
            </w:pPr>
            <w:r>
              <w:t>Le bilan prudentiel individuel et, le cas échéant, combiné</w:t>
            </w:r>
            <w:r w:rsidR="00543988">
              <w:t xml:space="preserve"> du dernier exercice clos</w:t>
            </w:r>
            <w:r>
              <w:t xml:space="preserve"> (QRT S.02.01.01)</w:t>
            </w:r>
            <w:r w:rsidR="0001617B">
              <w:t> ;</w:t>
            </w:r>
          </w:p>
          <w:p w14:paraId="4DEA4055" w14:textId="4677DC47" w:rsidR="00882D35" w:rsidRDefault="00882D35" w:rsidP="00882D35">
            <w:pPr>
              <w:pStyle w:val="Paragraphedeliste"/>
              <w:numPr>
                <w:ilvl w:val="0"/>
                <w:numId w:val="5"/>
              </w:numPr>
              <w:jc w:val="both"/>
            </w:pPr>
            <w:r>
              <w:t>Les prévisions relatives aux fonds propres de base éligibles permettant la couverture du minimum de capital requis</w:t>
            </w:r>
            <w:r>
              <w:rPr>
                <w:rStyle w:val="Appelnotedebasdep"/>
              </w:rPr>
              <w:footnoteReference w:id="5"/>
            </w:r>
            <w:r>
              <w:t xml:space="preserve">, et des fonds propres éligibles </w:t>
            </w:r>
            <w:r>
              <w:lastRenderedPageBreak/>
              <w:t>permettant la couverture du capital de solvabilité requis</w:t>
            </w:r>
            <w:r>
              <w:rPr>
                <w:rStyle w:val="Appelnotedebasdep"/>
              </w:rPr>
              <w:footnoteReference w:id="6"/>
            </w:r>
            <w:r>
              <w:t xml:space="preserve">, </w:t>
            </w:r>
            <w:r w:rsidR="00543988">
              <w:t xml:space="preserve">du dernier exercice clos </w:t>
            </w:r>
            <w:r>
              <w:t>(QRT S.02.01.01 ; QRT S.03.01.01 ; QRT S.23.01.01)</w:t>
            </w:r>
            <w:r w:rsidR="0001617B">
              <w:t> ;</w:t>
            </w:r>
          </w:p>
          <w:p w14:paraId="2EB2CF4D" w14:textId="6F097B75" w:rsidR="00882D35" w:rsidRDefault="00882D35" w:rsidP="00882D35">
            <w:pPr>
              <w:pStyle w:val="Paragraphedeliste"/>
              <w:numPr>
                <w:ilvl w:val="0"/>
                <w:numId w:val="5"/>
              </w:numPr>
              <w:jc w:val="both"/>
            </w:pPr>
            <w:r>
              <w:t xml:space="preserve">Le capital de solvabilité requis </w:t>
            </w:r>
            <w:r w:rsidR="00543988">
              <w:t xml:space="preserve">du dernier exercice clos </w:t>
            </w:r>
            <w:r>
              <w:t>(QRT S.25.01, ainsi que QRT S.25.02 ou QRT S.25.03 le cas échéant)</w:t>
            </w:r>
            <w:r w:rsidR="0001617B">
              <w:t> ;</w:t>
            </w:r>
          </w:p>
          <w:p w14:paraId="3EE34E23" w14:textId="77777777" w:rsidR="0001617B" w:rsidRDefault="00882D35" w:rsidP="00543988">
            <w:pPr>
              <w:pStyle w:val="Paragraphedeliste"/>
              <w:numPr>
                <w:ilvl w:val="0"/>
                <w:numId w:val="5"/>
              </w:numPr>
              <w:jc w:val="both"/>
            </w:pPr>
            <w:r>
              <w:t>Le minimum de capital requis</w:t>
            </w:r>
            <w:r w:rsidR="00543988">
              <w:t xml:space="preserve"> du dernier exercice clos</w:t>
            </w:r>
            <w:r>
              <w:t>, ainsi que la méthode de calcul utilisée ; (QRT S.28.01.01) ;</w:t>
            </w:r>
          </w:p>
          <w:p w14:paraId="71E2512B" w14:textId="7599642A" w:rsidR="00543988" w:rsidRDefault="00543988" w:rsidP="00543988">
            <w:pPr>
              <w:pStyle w:val="Paragraphedeliste"/>
              <w:numPr>
                <w:ilvl w:val="0"/>
                <w:numId w:val="5"/>
              </w:numPr>
              <w:jc w:val="both"/>
            </w:pPr>
            <w:r>
              <w:t>Pour la mutuelle ou union subst</w:t>
            </w:r>
            <w:r w:rsidR="00703F0D">
              <w:t>it</w:t>
            </w:r>
            <w:r>
              <w:t xml:space="preserve">uante, les éléments précédents doivent également être transmis en prévisionnels </w:t>
            </w:r>
            <w:r w:rsidRPr="00543988">
              <w:t>de l'exercice dont la clôture comptable est la plus proche suivant la signature de la convention ou de l’avenant à la convention</w:t>
            </w:r>
            <w:r>
              <w:t>.</w:t>
            </w:r>
          </w:p>
          <w:p w14:paraId="4161CEEB" w14:textId="77777777" w:rsidR="00543988" w:rsidRDefault="00543988" w:rsidP="00543988">
            <w:pPr>
              <w:jc w:val="both"/>
            </w:pPr>
          </w:p>
          <w:p w14:paraId="2ED2082B" w14:textId="77777777" w:rsidR="00882D35" w:rsidRDefault="00882D35" w:rsidP="00882D35">
            <w:r>
              <w:t>Si l’organisme relève ne relève pas de « Solvabilité II »</w:t>
            </w:r>
            <w:r>
              <w:rPr>
                <w:rStyle w:val="Appelnotedebasdep"/>
              </w:rPr>
              <w:footnoteReference w:id="7"/>
            </w:r>
            <w:r>
              <w:t> :</w:t>
            </w:r>
          </w:p>
          <w:p w14:paraId="465AA02A" w14:textId="4A90291F" w:rsidR="00882D35" w:rsidRDefault="00882D35" w:rsidP="00882D35">
            <w:pPr>
              <w:pStyle w:val="Paragraphedeliste"/>
              <w:numPr>
                <w:ilvl w:val="0"/>
                <w:numId w:val="5"/>
              </w:numPr>
              <w:jc w:val="both"/>
            </w:pPr>
            <w:r>
              <w:t>L</w:t>
            </w:r>
            <w:r w:rsidRPr="00B94B59">
              <w:t>es états C5 et C6 avant et après</w:t>
            </w:r>
            <w:r>
              <w:t xml:space="preserve"> </w:t>
            </w:r>
            <w:r w:rsidRPr="00B94B59">
              <w:t>transfert</w:t>
            </w:r>
            <w:r>
              <w:t>.</w:t>
            </w:r>
          </w:p>
          <w:p w14:paraId="48D8C421" w14:textId="77777777" w:rsidR="00882D35" w:rsidRDefault="00882D35" w:rsidP="00882D35">
            <w:pPr>
              <w:jc w:val="both"/>
            </w:pPr>
          </w:p>
          <w:p w14:paraId="515BC3EF" w14:textId="37A94E20" w:rsidR="00622F67" w:rsidRDefault="00622F67" w:rsidP="00882D35">
            <w:pPr>
              <w:jc w:val="both"/>
            </w:pPr>
            <w:r>
              <w:t>Dans tous les cas :</w:t>
            </w:r>
          </w:p>
          <w:p w14:paraId="1BC35942" w14:textId="41575537" w:rsidR="00543988" w:rsidRDefault="00543988" w:rsidP="00703F0D">
            <w:pPr>
              <w:pStyle w:val="Paragraphedeliste"/>
              <w:numPr>
                <w:ilvl w:val="0"/>
                <w:numId w:val="5"/>
              </w:numPr>
              <w:jc w:val="both"/>
            </w:pPr>
            <w:r w:rsidRPr="00543988">
              <w:t>Une analyse de l’impact de la substitution à compter de la date de prise d’effet de la convention ou de l’avenant sur le profil de risque et le besoin global de solvabilité de la mutuelle ou union substituante</w:t>
            </w:r>
            <w:r w:rsidR="00735574">
              <w:t>.</w:t>
            </w:r>
          </w:p>
          <w:p w14:paraId="5522125A" w14:textId="4E6CEC75" w:rsidR="00A51692" w:rsidRDefault="00543988" w:rsidP="004900AB">
            <w:pPr>
              <w:pStyle w:val="Paragraphedeliste"/>
              <w:numPr>
                <w:ilvl w:val="0"/>
                <w:numId w:val="5"/>
              </w:numPr>
              <w:jc w:val="both"/>
            </w:pPr>
            <w:r w:rsidRPr="00543988">
              <w:t>Les traités ou projets de traités de réassurance des engagements pris par la mutuelle ou l'union substituante et les documents par lesquels les réassureurs donnent leur accord sur les montants ou les proportions de risques ou de sinistres pris en charge par eux</w:t>
            </w:r>
            <w:r w:rsidR="00735574">
              <w:t>.</w:t>
            </w:r>
          </w:p>
          <w:p w14:paraId="6E18C121" w14:textId="6E9AFD9F" w:rsidR="00543988" w:rsidRDefault="00543988" w:rsidP="004900AB">
            <w:pPr>
              <w:pStyle w:val="Paragraphedeliste"/>
              <w:numPr>
                <w:ilvl w:val="0"/>
                <w:numId w:val="5"/>
              </w:numPr>
              <w:jc w:val="both"/>
            </w:pPr>
            <w:r w:rsidRPr="00543988">
              <w:t>Un état justifié des engagements assurantiels et non assurantiels pris ou repris selon le modèle joint en annexe II.</w:t>
            </w:r>
          </w:p>
          <w:p w14:paraId="157529E7" w14:textId="3B0524DF" w:rsidR="00543988" w:rsidRPr="00543988" w:rsidRDefault="00543988" w:rsidP="00543988"/>
        </w:tc>
      </w:tr>
      <w:tr w:rsidR="00A51692" w14:paraId="73F5B71D" w14:textId="77777777" w:rsidTr="00622F67">
        <w:tc>
          <w:tcPr>
            <w:tcW w:w="1626" w:type="dxa"/>
          </w:tcPr>
          <w:p w14:paraId="72FBB6AF" w14:textId="77777777" w:rsidR="00A51692" w:rsidRDefault="00A51692" w:rsidP="00CD140F">
            <w:r>
              <w:lastRenderedPageBreak/>
              <w:t>F – Conséquences opérationnelles</w:t>
            </w:r>
          </w:p>
        </w:tc>
        <w:tc>
          <w:tcPr>
            <w:tcW w:w="7436" w:type="dxa"/>
          </w:tcPr>
          <w:p w14:paraId="5C06CEEA" w14:textId="65944FE0" w:rsidR="00735574" w:rsidRDefault="00735574" w:rsidP="00735574">
            <w:pPr>
              <w:pStyle w:val="Paragraphedeliste"/>
              <w:numPr>
                <w:ilvl w:val="0"/>
                <w:numId w:val="12"/>
              </w:numPr>
              <w:jc w:val="both"/>
              <w:rPr>
                <w:rFonts w:cstheme="minorHAnsi"/>
              </w:rPr>
            </w:pPr>
            <w:r w:rsidRPr="009D046A">
              <w:rPr>
                <w:rFonts w:cstheme="minorHAnsi"/>
              </w:rPr>
              <w:t>Description des évolutions de la gouvernance à l’issue de l’opérations (assemblée générale</w:t>
            </w:r>
            <w:r w:rsidR="0045258A">
              <w:rPr>
                <w:rFonts w:cstheme="minorHAnsi"/>
              </w:rPr>
              <w:t>,</w:t>
            </w:r>
            <w:r w:rsidR="000D01F7">
              <w:rPr>
                <w:rFonts w:cstheme="minorHAnsi"/>
              </w:rPr>
              <w:t xml:space="preserve"> </w:t>
            </w:r>
            <w:r w:rsidRPr="009D046A">
              <w:rPr>
                <w:rFonts w:cstheme="minorHAnsi"/>
              </w:rPr>
              <w:t>conseil d’administration ou de surveillance</w:t>
            </w:r>
            <w:r w:rsidR="0045258A">
              <w:rPr>
                <w:rFonts w:cstheme="minorHAnsi"/>
              </w:rPr>
              <w:t>,</w:t>
            </w:r>
            <w:r w:rsidRPr="009D046A">
              <w:rPr>
                <w:rFonts w:cstheme="minorHAnsi"/>
              </w:rPr>
              <w:t xml:space="preserve"> dirigeants effectifs</w:t>
            </w:r>
            <w:r>
              <w:rPr>
                <w:rStyle w:val="Appelnotedebasdep"/>
                <w:rFonts w:cstheme="minorHAnsi"/>
              </w:rPr>
              <w:footnoteReference w:id="8"/>
            </w:r>
            <w:r w:rsidRPr="009D046A">
              <w:rPr>
                <w:rFonts w:cstheme="minorHAnsi"/>
              </w:rPr>
              <w:t> </w:t>
            </w:r>
            <w:r w:rsidR="0045258A">
              <w:rPr>
                <w:rFonts w:cstheme="minorHAnsi"/>
              </w:rPr>
              <w:t>,r</w:t>
            </w:r>
            <w:r w:rsidRPr="009D046A">
              <w:rPr>
                <w:rFonts w:cstheme="minorHAnsi"/>
              </w:rPr>
              <w:t>esponsables de fonctions clés</w:t>
            </w:r>
            <w:r>
              <w:rPr>
                <w:rStyle w:val="Appelnotedebasdep"/>
                <w:rFonts w:cstheme="minorHAnsi"/>
              </w:rPr>
              <w:footnoteReference w:id="9"/>
            </w:r>
            <w:r w:rsidRPr="009D046A">
              <w:rPr>
                <w:rFonts w:cstheme="minorHAnsi"/>
              </w:rPr>
              <w:t>)</w:t>
            </w:r>
            <w:r>
              <w:rPr>
                <w:rFonts w:cstheme="minorHAnsi"/>
              </w:rPr>
              <w:t>.</w:t>
            </w:r>
          </w:p>
          <w:p w14:paraId="256176B5" w14:textId="77777777" w:rsidR="0027771F" w:rsidRPr="0027771F" w:rsidRDefault="00A51692" w:rsidP="00735574">
            <w:pPr>
              <w:pStyle w:val="Paragraphedeliste"/>
              <w:numPr>
                <w:ilvl w:val="0"/>
                <w:numId w:val="12"/>
              </w:numPr>
              <w:jc w:val="both"/>
              <w:rPr>
                <w:rFonts w:cstheme="minorHAnsi"/>
              </w:rPr>
            </w:pPr>
            <w:r>
              <w:t>Description des impacts de l’opération sur les ressources humaines, les systèmes d’information</w:t>
            </w:r>
            <w:r w:rsidR="0027771F">
              <w:t>.</w:t>
            </w:r>
          </w:p>
          <w:p w14:paraId="54E0F85C" w14:textId="1ABDEB34" w:rsidR="00A51692" w:rsidRPr="00735574" w:rsidRDefault="0027771F" w:rsidP="00735574">
            <w:pPr>
              <w:pStyle w:val="Paragraphedeliste"/>
              <w:numPr>
                <w:ilvl w:val="0"/>
                <w:numId w:val="12"/>
              </w:numPr>
              <w:jc w:val="both"/>
              <w:rPr>
                <w:rFonts w:cstheme="minorHAnsi"/>
              </w:rPr>
            </w:pPr>
            <w:r>
              <w:t>Le changement éventuel de</w:t>
            </w:r>
            <w:r w:rsidR="00A51692">
              <w:t xml:space="preserve"> siège socia</w:t>
            </w:r>
            <w:r>
              <w:t>l</w:t>
            </w:r>
            <w:r w:rsidR="00A51692">
              <w:t>.</w:t>
            </w:r>
          </w:p>
          <w:p w14:paraId="55A4D124" w14:textId="77777777" w:rsidR="00A51692" w:rsidRDefault="00A51692" w:rsidP="00703F0D">
            <w:pPr>
              <w:pStyle w:val="Paragraphedeliste"/>
              <w:numPr>
                <w:ilvl w:val="0"/>
                <w:numId w:val="12"/>
              </w:numPr>
              <w:jc w:val="both"/>
            </w:pPr>
            <w:r>
              <w:t xml:space="preserve">Description de l’évolution de la </w:t>
            </w:r>
            <w:r w:rsidRPr="00631CC1">
              <w:t>stratégie, conception des produits, gestion, distrib</w:t>
            </w:r>
            <w:r>
              <w:t>ution, pilotage technique.</w:t>
            </w:r>
          </w:p>
          <w:p w14:paraId="2EF82540" w14:textId="77777777" w:rsidR="00A51692" w:rsidRDefault="00A51692" w:rsidP="00703F0D">
            <w:pPr>
              <w:pStyle w:val="Paragraphedeliste"/>
              <w:numPr>
                <w:ilvl w:val="0"/>
                <w:numId w:val="12"/>
              </w:numPr>
              <w:jc w:val="both"/>
            </w:pPr>
            <w:r>
              <w:t>Description de l’impact de l’opération sur le dispositif de lutte contre le blanchiment et le financement du terrorisme.</w:t>
            </w:r>
          </w:p>
          <w:p w14:paraId="15FB0ABB" w14:textId="77777777" w:rsidR="00A51692" w:rsidRDefault="00A51692" w:rsidP="00703F0D">
            <w:pPr>
              <w:pStyle w:val="Paragraphedeliste"/>
              <w:numPr>
                <w:ilvl w:val="0"/>
                <w:numId w:val="12"/>
              </w:numPr>
              <w:jc w:val="both"/>
            </w:pPr>
            <w:r>
              <w:t>Description de l’impact de l’opération sur les politiques écrites.</w:t>
            </w:r>
          </w:p>
          <w:p w14:paraId="2C96EAF9" w14:textId="77777777" w:rsidR="00543988" w:rsidRDefault="00543988" w:rsidP="00703F0D">
            <w:pPr>
              <w:pStyle w:val="Paragraphedeliste"/>
              <w:numPr>
                <w:ilvl w:val="0"/>
                <w:numId w:val="12"/>
              </w:numPr>
              <w:jc w:val="both"/>
            </w:pPr>
            <w:r w:rsidRPr="00543988">
              <w:t>Le cas échéant, le projet de convention de délégation de gestion entre la mutuelle ou l’union substituante et la mutuelle ou l’union devant être substitué</w:t>
            </w:r>
            <w:r w:rsidR="00622F67">
              <w:t>e.</w:t>
            </w:r>
          </w:p>
          <w:p w14:paraId="00B9D38F" w14:textId="6F4563AE" w:rsidR="00622F67" w:rsidRDefault="00622F67" w:rsidP="00703F0D">
            <w:pPr>
              <w:pStyle w:val="Paragraphedeliste"/>
              <w:numPr>
                <w:ilvl w:val="0"/>
                <w:numId w:val="12"/>
              </w:numPr>
              <w:jc w:val="both"/>
            </w:pPr>
            <w:r>
              <w:t>En cas de changement de s</w:t>
            </w:r>
            <w:r w:rsidR="00703F0D">
              <w:t>ubstituant</w:t>
            </w:r>
            <w:r>
              <w:t xml:space="preserve">e, la description du traitement envisagé pour les engagements souscrits sous l’empire de la convention avec la précédente </w:t>
            </w:r>
            <w:r w:rsidRPr="00543988">
              <w:t>mutuelle ou union substituante</w:t>
            </w:r>
            <w:r w:rsidR="00703F0D">
              <w:t xml:space="preserve"> et le cas échéant, le projet de convention tripartite en faisant état</w:t>
            </w:r>
            <w:r>
              <w:t>.</w:t>
            </w:r>
          </w:p>
        </w:tc>
      </w:tr>
    </w:tbl>
    <w:p w14:paraId="28276043" w14:textId="77777777" w:rsidR="00250CCC" w:rsidRDefault="00250CCC" w:rsidP="00250CCC">
      <w:pPr>
        <w:spacing w:after="0" w:line="240" w:lineRule="auto"/>
        <w:jc w:val="both"/>
      </w:pPr>
    </w:p>
    <w:p w14:paraId="154EA460" w14:textId="58CF6A21" w:rsidR="00620F33" w:rsidRDefault="00620F33" w:rsidP="00250CCC">
      <w:pPr>
        <w:spacing w:after="0" w:line="240" w:lineRule="auto"/>
        <w:jc w:val="both"/>
      </w:pPr>
      <w:r>
        <w:lastRenderedPageBreak/>
        <w:t>LE DOSSIER EST À ADRESSER SOUS FORMAT ÉLECTRONIQUE À L’AUTORITÉ DE CONTRÔLE PRUDENTIEL ET DE RÉSOLUTION EN LE DÉPOSANT SUR LE PORTAIL EN LIGNE</w:t>
      </w:r>
      <w:r w:rsidR="00AD0459">
        <w:t xml:space="preserve"> DE L’ACPR </w:t>
      </w:r>
      <w:r>
        <w:t xml:space="preserve">À L’ADRESSE SUIVANTE : </w:t>
      </w:r>
      <w:hyperlink r:id="rId8" w:history="1">
        <w:r w:rsidRPr="009B45AF">
          <w:rPr>
            <w:rStyle w:val="Lienhypertexte"/>
          </w:rPr>
          <w:t>HTTPS://ACPR-AUTORISATIONS.BANQUE-FRANCE.FR/</w:t>
        </w:r>
      </w:hyperlink>
      <w:r>
        <w:t xml:space="preserve"> </w:t>
      </w:r>
    </w:p>
    <w:sectPr w:rsidR="00620F33" w:rsidSect="00CF7770">
      <w:headerReference w:type="even" r:id="rId9"/>
      <w:headerReference w:type="default" r:id="rId10"/>
      <w:headerReference w:type="first" r:id="rId11"/>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54BB" w14:textId="77777777" w:rsidR="00E87D39" w:rsidRDefault="00E87D39" w:rsidP="008D31AB">
      <w:pPr>
        <w:spacing w:after="0" w:line="240" w:lineRule="auto"/>
      </w:pPr>
      <w:r>
        <w:separator/>
      </w:r>
    </w:p>
  </w:endnote>
  <w:endnote w:type="continuationSeparator" w:id="0">
    <w:p w14:paraId="1CA540C3" w14:textId="77777777" w:rsidR="00E87D39" w:rsidRDefault="00E87D39" w:rsidP="008D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C676" w14:textId="77777777" w:rsidR="00E87D39" w:rsidRDefault="00E87D39" w:rsidP="008D31AB">
      <w:pPr>
        <w:spacing w:after="0" w:line="240" w:lineRule="auto"/>
      </w:pPr>
      <w:r>
        <w:separator/>
      </w:r>
    </w:p>
  </w:footnote>
  <w:footnote w:type="continuationSeparator" w:id="0">
    <w:p w14:paraId="5C360FAF" w14:textId="77777777" w:rsidR="00E87D39" w:rsidRDefault="00E87D39" w:rsidP="008D31AB">
      <w:pPr>
        <w:spacing w:after="0" w:line="240" w:lineRule="auto"/>
      </w:pPr>
      <w:r>
        <w:continuationSeparator/>
      </w:r>
    </w:p>
  </w:footnote>
  <w:footnote w:id="1">
    <w:p w14:paraId="539F4822" w14:textId="3D9338CF" w:rsidR="00267380" w:rsidRDefault="00267380" w:rsidP="00B335FE">
      <w:pPr>
        <w:pStyle w:val="Notedebasdepage"/>
        <w:jc w:val="both"/>
      </w:pPr>
      <w:r>
        <w:rPr>
          <w:rStyle w:val="Appelnotedebasdep"/>
        </w:rPr>
        <w:footnoteRef/>
      </w:r>
      <w:r>
        <w:t xml:space="preserve"> C</w:t>
      </w:r>
      <w:r w:rsidRPr="00267380">
        <w:t>onformément à l’article L. 211-5</w:t>
      </w:r>
      <w:r w:rsidR="00951649">
        <w:t xml:space="preserve">, </w:t>
      </w:r>
      <w:r w:rsidRPr="00267380">
        <w:t>II</w:t>
      </w:r>
      <w:r w:rsidR="00951649">
        <w:t>.</w:t>
      </w:r>
      <w:r w:rsidRPr="00267380">
        <w:t xml:space="preserve"> du </w:t>
      </w:r>
      <w:r>
        <w:t>C</w:t>
      </w:r>
      <w:r w:rsidRPr="00267380">
        <w:t>ode de la mutualité</w:t>
      </w:r>
      <w:r>
        <w:t>.</w:t>
      </w:r>
    </w:p>
  </w:footnote>
  <w:footnote w:id="2">
    <w:p w14:paraId="6617B4CA" w14:textId="6CFD2042" w:rsidR="00267380" w:rsidRDefault="00267380" w:rsidP="00B335FE">
      <w:pPr>
        <w:pStyle w:val="Notedebasdepage"/>
        <w:jc w:val="both"/>
      </w:pPr>
      <w:r>
        <w:rPr>
          <w:rStyle w:val="Appelnotedebasdep"/>
        </w:rPr>
        <w:footnoteRef/>
      </w:r>
      <w:r>
        <w:t xml:space="preserve"> C</w:t>
      </w:r>
      <w:r w:rsidRPr="00267380">
        <w:t xml:space="preserve">onformément à l’article R. 211-27 du </w:t>
      </w:r>
      <w:r w:rsidR="005E4D0C">
        <w:t>C</w:t>
      </w:r>
      <w:r w:rsidRPr="00267380">
        <w:t>ode de la mutualité</w:t>
      </w:r>
      <w:r>
        <w:t>.</w:t>
      </w:r>
    </w:p>
  </w:footnote>
  <w:footnote w:id="3">
    <w:p w14:paraId="1C37D59D" w14:textId="7CE6AF47" w:rsidR="00267380" w:rsidRDefault="00267380" w:rsidP="00B335FE">
      <w:pPr>
        <w:pStyle w:val="Notedebasdepage"/>
        <w:jc w:val="both"/>
      </w:pPr>
      <w:r>
        <w:rPr>
          <w:rStyle w:val="Appelnotedebasdep"/>
        </w:rPr>
        <w:footnoteRef/>
      </w:r>
      <w:r>
        <w:t xml:space="preserve"> R</w:t>
      </w:r>
      <w:r w:rsidRPr="00267380">
        <w:t xml:space="preserve">épondant aux dispositions des articles L. 211-5 et R. 211-21 et suivants du </w:t>
      </w:r>
      <w:r>
        <w:t>C</w:t>
      </w:r>
      <w:r w:rsidRPr="00267380">
        <w:t>ode de la mutualité</w:t>
      </w:r>
      <w:r>
        <w:t>.</w:t>
      </w:r>
    </w:p>
  </w:footnote>
  <w:footnote w:id="4">
    <w:p w14:paraId="17865964" w14:textId="77777777" w:rsidR="00882D35" w:rsidRDefault="00882D35" w:rsidP="00B335FE">
      <w:pPr>
        <w:pStyle w:val="Notedebasdepage"/>
        <w:jc w:val="both"/>
      </w:pPr>
      <w:r>
        <w:rPr>
          <w:rStyle w:val="Appelnotedebasdep"/>
        </w:rPr>
        <w:footnoteRef/>
      </w:r>
      <w:r>
        <w:t xml:space="preserve"> M</w:t>
      </w:r>
      <w:r w:rsidRPr="0007380E">
        <w:t>entionnés aux articles L. 310-3-1 du Code des assurances, L. 211-10 du Code de la mutualité et L. 931-6 du Code de la sécurité sociale</w:t>
      </w:r>
      <w:r>
        <w:t>.</w:t>
      </w:r>
    </w:p>
  </w:footnote>
  <w:footnote w:id="5">
    <w:p w14:paraId="181FFD9D" w14:textId="77777777" w:rsidR="00882D35" w:rsidRDefault="00882D35" w:rsidP="00703F0D">
      <w:pPr>
        <w:pStyle w:val="Notedebasdepage"/>
        <w:jc w:val="both"/>
      </w:pPr>
      <w:r>
        <w:rPr>
          <w:rStyle w:val="Appelnotedebasdep"/>
        </w:rPr>
        <w:footnoteRef/>
      </w:r>
      <w:r>
        <w:t xml:space="preserve"> P</w:t>
      </w:r>
      <w:r w:rsidRPr="0007380E">
        <w:t xml:space="preserve">révu à l’article L. 352-5 du </w:t>
      </w:r>
      <w:r>
        <w:t>C</w:t>
      </w:r>
      <w:r w:rsidRPr="0007380E">
        <w:t>ode des assurances</w:t>
      </w:r>
      <w:r>
        <w:t>.</w:t>
      </w:r>
    </w:p>
  </w:footnote>
  <w:footnote w:id="6">
    <w:p w14:paraId="1E5130ED" w14:textId="77777777" w:rsidR="00882D35" w:rsidRDefault="00882D35" w:rsidP="00697972">
      <w:pPr>
        <w:pStyle w:val="Notedebasdepage"/>
        <w:jc w:val="both"/>
      </w:pPr>
      <w:r>
        <w:rPr>
          <w:rStyle w:val="Appelnotedebasdep"/>
        </w:rPr>
        <w:footnoteRef/>
      </w:r>
      <w:r>
        <w:t xml:space="preserve"> P</w:t>
      </w:r>
      <w:r w:rsidRPr="0007380E">
        <w:t xml:space="preserve">révu à l’article L. 352-1 du </w:t>
      </w:r>
      <w:r>
        <w:t>C</w:t>
      </w:r>
      <w:r w:rsidRPr="0007380E">
        <w:t>ode des assurances</w:t>
      </w:r>
      <w:r>
        <w:t>.</w:t>
      </w:r>
    </w:p>
  </w:footnote>
  <w:footnote w:id="7">
    <w:p w14:paraId="2BCEB31D" w14:textId="45CB67DB" w:rsidR="00882D35" w:rsidRDefault="00882D35" w:rsidP="00697972">
      <w:pPr>
        <w:pStyle w:val="Notedebasdepage"/>
        <w:jc w:val="both"/>
      </w:pPr>
      <w:r>
        <w:rPr>
          <w:rStyle w:val="Appelnotedebasdep"/>
        </w:rPr>
        <w:footnoteRef/>
      </w:r>
      <w:r>
        <w:t xml:space="preserve"> M</w:t>
      </w:r>
      <w:r w:rsidRPr="0007380E">
        <w:t xml:space="preserve">entionnés aux articles L. 310-3-2 du </w:t>
      </w:r>
      <w:r w:rsidR="005E4D0C">
        <w:t>C</w:t>
      </w:r>
      <w:r w:rsidRPr="0007380E">
        <w:t xml:space="preserve">ode des assurances, L. 211-11 du </w:t>
      </w:r>
      <w:r>
        <w:t>C</w:t>
      </w:r>
      <w:r w:rsidRPr="0007380E">
        <w:t xml:space="preserve">ode de la mutualité et L. 931-6-1 du </w:t>
      </w:r>
      <w:r>
        <w:t>C</w:t>
      </w:r>
      <w:r w:rsidRPr="0007380E">
        <w:t>ode de la Sécurité sociale</w:t>
      </w:r>
      <w:r>
        <w:t>.</w:t>
      </w:r>
    </w:p>
  </w:footnote>
  <w:footnote w:id="8">
    <w:p w14:paraId="784CF990" w14:textId="77777777" w:rsidR="00735574" w:rsidRPr="009D046A" w:rsidRDefault="00735574" w:rsidP="00697972">
      <w:pPr>
        <w:pStyle w:val="Notedebasdepage"/>
        <w:jc w:val="both"/>
        <w:rPr>
          <w:rFonts w:cstheme="minorHAnsi"/>
        </w:rPr>
      </w:pPr>
      <w:r w:rsidRPr="009D046A">
        <w:rPr>
          <w:rStyle w:val="Appelnotedebasdep"/>
          <w:rFonts w:cstheme="minorHAnsi"/>
        </w:rPr>
        <w:footnoteRef/>
      </w:r>
      <w:r w:rsidRPr="009D046A">
        <w:rPr>
          <w:rFonts w:cstheme="minorHAnsi"/>
        </w:rPr>
        <w:t xml:space="preserve"> En cas de nouvelles nominations induites par l’opération, transmettre l’annexe 1 à l’instruction 2022-I-25, via le canal dédié.</w:t>
      </w:r>
    </w:p>
  </w:footnote>
  <w:footnote w:id="9">
    <w:p w14:paraId="3C0F1009" w14:textId="77777777" w:rsidR="00735574" w:rsidRDefault="00735574" w:rsidP="00697972">
      <w:pPr>
        <w:pStyle w:val="Notedebasdepage"/>
        <w:jc w:val="both"/>
      </w:pPr>
      <w:r w:rsidRPr="009D046A">
        <w:rPr>
          <w:rStyle w:val="Appelnotedebasdep"/>
          <w:rFonts w:cstheme="minorHAnsi"/>
        </w:rPr>
        <w:footnoteRef/>
      </w:r>
      <w:r w:rsidRPr="009D046A">
        <w:rPr>
          <w:rFonts w:cstheme="minorHAnsi"/>
        </w:rPr>
        <w:t xml:space="preserve"> En cas de nouvelles nominations induites par l’opération, transmettre l’annexe 2 à l’instruction 2022-I-25, via le canal dédié.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8CD7" w14:textId="6FA6B079" w:rsidR="00A51692" w:rsidRDefault="00A51692">
    <w:pPr>
      <w:pStyle w:val="En-tte"/>
    </w:pPr>
    <w:r>
      <w:rPr>
        <w:noProof/>
      </w:rPr>
      <mc:AlternateContent>
        <mc:Choice Requires="wps">
          <w:drawing>
            <wp:anchor distT="0" distB="0" distL="0" distR="0" simplePos="0" relativeHeight="251659264" behindDoc="0" locked="0" layoutInCell="1" allowOverlap="1" wp14:anchorId="68CD074B" wp14:editId="1A3D419B">
              <wp:simplePos x="635" y="635"/>
              <wp:positionH relativeFrom="page">
                <wp:align>right</wp:align>
              </wp:positionH>
              <wp:positionV relativeFrom="page">
                <wp:align>top</wp:align>
              </wp:positionV>
              <wp:extent cx="1019810" cy="357505"/>
              <wp:effectExtent l="0" t="0" r="0" b="4445"/>
              <wp:wrapNone/>
              <wp:docPr id="2092239508" name="Zone de texte 2"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57505"/>
                      </a:xfrm>
                      <a:prstGeom prst="rect">
                        <a:avLst/>
                      </a:prstGeom>
                      <a:noFill/>
                      <a:ln>
                        <a:noFill/>
                      </a:ln>
                    </wps:spPr>
                    <wps:txbx>
                      <w:txbxContent>
                        <w:p w14:paraId="7A7D04C7" w14:textId="292D4513" w:rsidR="00A51692" w:rsidRPr="00A51692" w:rsidRDefault="00A51692" w:rsidP="00A51692">
                          <w:pPr>
                            <w:spacing w:after="0"/>
                            <w:rPr>
                              <w:rFonts w:ascii="Calibri" w:eastAsia="Calibri" w:hAnsi="Calibri" w:cs="Calibri"/>
                              <w:noProof/>
                              <w:color w:val="000000"/>
                              <w:sz w:val="20"/>
                              <w:szCs w:val="20"/>
                            </w:rPr>
                          </w:pPr>
                          <w:r w:rsidRPr="00A51692">
                            <w:rPr>
                              <w:rFonts w:ascii="Calibri" w:eastAsia="Calibri" w:hAnsi="Calibri" w:cs="Calibri"/>
                              <w:noProof/>
                              <w:color w:val="000000"/>
                              <w:sz w:val="20"/>
                              <w:szCs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CD074B" id="_x0000_t202" coordsize="21600,21600" o:spt="202" path="m,l,21600r21600,l21600,xe">
              <v:stroke joinstyle="miter"/>
              <v:path gradientshapeok="t" o:connecttype="rect"/>
            </v:shapetype>
            <v:shape id="Zone de texte 2" o:spid="_x0000_s1026" type="#_x0000_t202" alt="ACPR-INTERNE" style="position:absolute;margin-left:29.1pt;margin-top:0;width:80.3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" filled="f" stroked="f">
              <v:textbox style="mso-fit-shape-to-text:t" inset="0,15pt,20pt,0">
                <w:txbxContent>
                  <w:p w14:paraId="7A7D04C7" w14:textId="292D4513" w:rsidR="00A51692" w:rsidRPr="00A51692" w:rsidRDefault="00A51692" w:rsidP="00A51692">
                    <w:pPr>
                      <w:spacing w:after="0"/>
                      <w:rPr>
                        <w:rFonts w:ascii="Calibri" w:eastAsia="Calibri" w:hAnsi="Calibri" w:cs="Calibri"/>
                        <w:noProof/>
                        <w:color w:val="000000"/>
                        <w:sz w:val="20"/>
                        <w:szCs w:val="20"/>
                      </w:rPr>
                    </w:pPr>
                    <w:r w:rsidRPr="00A51692">
                      <w:rPr>
                        <w:rFonts w:ascii="Calibri" w:eastAsia="Calibri" w:hAnsi="Calibri" w:cs="Calibri"/>
                        <w:noProof/>
                        <w:color w:val="000000"/>
                        <w:sz w:val="20"/>
                        <w:szCs w:val="20"/>
                      </w:rPr>
                      <w:t>ACPR-INTERNE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74990"/>
      <w:docPartObj>
        <w:docPartGallery w:val="Page Numbers (Top of Page)"/>
        <w:docPartUnique/>
      </w:docPartObj>
    </w:sdtPr>
    <w:sdtEndPr/>
    <w:sdtContent>
      <w:p w14:paraId="23FDDC89" w14:textId="380C9C97" w:rsidR="00CF7770" w:rsidRDefault="00CF7770">
        <w:pPr>
          <w:pStyle w:val="En-tte"/>
          <w:jc w:val="right"/>
        </w:pPr>
        <w:r>
          <w:fldChar w:fldCharType="begin"/>
        </w:r>
        <w:r>
          <w:instrText>PAGE   \* MERGEFORMAT</w:instrText>
        </w:r>
        <w:r>
          <w:fldChar w:fldCharType="separate"/>
        </w:r>
        <w:r>
          <w:t>2</w:t>
        </w:r>
        <w:r>
          <w:fldChar w:fldCharType="end"/>
        </w:r>
      </w:p>
    </w:sdtContent>
  </w:sdt>
  <w:p w14:paraId="1C3C6794" w14:textId="669602FF" w:rsidR="00A51692" w:rsidRDefault="00A516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4C96" w14:textId="505D15F5" w:rsidR="00A51692" w:rsidRDefault="00A51692">
    <w:pPr>
      <w:pStyle w:val="En-tte"/>
    </w:pPr>
    <w:r>
      <w:rPr>
        <w:noProof/>
      </w:rPr>
      <mc:AlternateContent>
        <mc:Choice Requires="wps">
          <w:drawing>
            <wp:anchor distT="0" distB="0" distL="0" distR="0" simplePos="0" relativeHeight="251658240" behindDoc="0" locked="0" layoutInCell="1" allowOverlap="1" wp14:anchorId="1E20445A" wp14:editId="34AC5268">
              <wp:simplePos x="635" y="635"/>
              <wp:positionH relativeFrom="page">
                <wp:align>right</wp:align>
              </wp:positionH>
              <wp:positionV relativeFrom="page">
                <wp:align>top</wp:align>
              </wp:positionV>
              <wp:extent cx="1019810" cy="357505"/>
              <wp:effectExtent l="0" t="0" r="0" b="4445"/>
              <wp:wrapNone/>
              <wp:docPr id="640074851" name="Zone de texte 1"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57505"/>
                      </a:xfrm>
                      <a:prstGeom prst="rect">
                        <a:avLst/>
                      </a:prstGeom>
                      <a:noFill/>
                      <a:ln>
                        <a:noFill/>
                      </a:ln>
                    </wps:spPr>
                    <wps:txbx>
                      <w:txbxContent>
                        <w:p w14:paraId="776856E6" w14:textId="78DAB42E" w:rsidR="00A51692" w:rsidRPr="00A51692" w:rsidRDefault="00A51692" w:rsidP="00A51692">
                          <w:pPr>
                            <w:spacing w:after="0"/>
                            <w:rPr>
                              <w:rFonts w:ascii="Calibri" w:eastAsia="Calibri" w:hAnsi="Calibri" w:cs="Calibri"/>
                              <w:noProof/>
                              <w:color w:val="000000"/>
                              <w:sz w:val="20"/>
                              <w:szCs w:val="20"/>
                            </w:rPr>
                          </w:pPr>
                          <w:r w:rsidRPr="00A51692">
                            <w:rPr>
                              <w:rFonts w:ascii="Calibri" w:eastAsia="Calibri" w:hAnsi="Calibri" w:cs="Calibri"/>
                              <w:noProof/>
                              <w:color w:val="000000"/>
                              <w:sz w:val="20"/>
                              <w:szCs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20445A" id="_x0000_t202" coordsize="21600,21600" o:spt="202" path="m,l,21600r21600,l21600,xe">
              <v:stroke joinstyle="miter"/>
              <v:path gradientshapeok="t" o:connecttype="rect"/>
            </v:shapetype>
            <v:shape id="Zone de texte 1" o:spid="_x0000_s1027" type="#_x0000_t202" alt="ACPR-INTERNE" style="position:absolute;margin-left:29.1pt;margin-top:0;width:80.3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" filled="f" stroked="f">
              <v:textbox style="mso-fit-shape-to-text:t" inset="0,15pt,20pt,0">
                <w:txbxContent>
                  <w:p w14:paraId="776856E6" w14:textId="78DAB42E" w:rsidR="00A51692" w:rsidRPr="00A51692" w:rsidRDefault="00A51692" w:rsidP="00A51692">
                    <w:pPr>
                      <w:spacing w:after="0"/>
                      <w:rPr>
                        <w:rFonts w:ascii="Calibri" w:eastAsia="Calibri" w:hAnsi="Calibri" w:cs="Calibri"/>
                        <w:noProof/>
                        <w:color w:val="000000"/>
                        <w:sz w:val="20"/>
                        <w:szCs w:val="20"/>
                      </w:rPr>
                    </w:pPr>
                    <w:r w:rsidRPr="00A51692">
                      <w:rPr>
                        <w:rFonts w:ascii="Calibri" w:eastAsia="Calibri" w:hAnsi="Calibri" w:cs="Calibri"/>
                        <w:noProof/>
                        <w:color w:val="000000"/>
                        <w:sz w:val="20"/>
                        <w:szCs w:val="20"/>
                      </w:rPr>
                      <w:t>ACPR-INTERNE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0B"/>
    <w:multiLevelType w:val="hybridMultilevel"/>
    <w:tmpl w:val="C220BA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14619"/>
    <w:multiLevelType w:val="hybridMultilevel"/>
    <w:tmpl w:val="E20A2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91608"/>
    <w:multiLevelType w:val="hybridMultilevel"/>
    <w:tmpl w:val="684E15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DE7C2A"/>
    <w:multiLevelType w:val="hybridMultilevel"/>
    <w:tmpl w:val="F0E05F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C43A90"/>
    <w:multiLevelType w:val="hybridMultilevel"/>
    <w:tmpl w:val="CC461A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F266E3"/>
    <w:multiLevelType w:val="hybridMultilevel"/>
    <w:tmpl w:val="CC461A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038F7"/>
    <w:multiLevelType w:val="hybridMultilevel"/>
    <w:tmpl w:val="2CCC0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EC50A8"/>
    <w:multiLevelType w:val="hybridMultilevel"/>
    <w:tmpl w:val="6540C0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1F10AB"/>
    <w:multiLevelType w:val="hybridMultilevel"/>
    <w:tmpl w:val="D46811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153FE"/>
    <w:multiLevelType w:val="hybridMultilevel"/>
    <w:tmpl w:val="D1FC35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BB0D4C"/>
    <w:multiLevelType w:val="hybridMultilevel"/>
    <w:tmpl w:val="0C22B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70917"/>
    <w:multiLevelType w:val="hybridMultilevel"/>
    <w:tmpl w:val="F468EA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9E4AEE"/>
    <w:multiLevelType w:val="hybridMultilevel"/>
    <w:tmpl w:val="C1E87DF2"/>
    <w:lvl w:ilvl="0" w:tplc="965267E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92EF7"/>
    <w:multiLevelType w:val="hybridMultilevel"/>
    <w:tmpl w:val="E312E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62D1C"/>
    <w:multiLevelType w:val="hybridMultilevel"/>
    <w:tmpl w:val="4A3EB5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0747BA"/>
    <w:multiLevelType w:val="hybridMultilevel"/>
    <w:tmpl w:val="D13C79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F74597"/>
    <w:multiLevelType w:val="hybridMultilevel"/>
    <w:tmpl w:val="E6ACF0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266C87"/>
    <w:multiLevelType w:val="hybridMultilevel"/>
    <w:tmpl w:val="D80279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9B3AFF"/>
    <w:multiLevelType w:val="hybridMultilevel"/>
    <w:tmpl w:val="0A3867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8277EA"/>
    <w:multiLevelType w:val="hybridMultilevel"/>
    <w:tmpl w:val="B84E06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021F43"/>
    <w:multiLevelType w:val="hybridMultilevel"/>
    <w:tmpl w:val="11089C2E"/>
    <w:lvl w:ilvl="0" w:tplc="040C0005">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num w:numId="1" w16cid:durableId="1108814596">
    <w:abstractNumId w:val="20"/>
  </w:num>
  <w:num w:numId="2" w16cid:durableId="2098401819">
    <w:abstractNumId w:val="18"/>
  </w:num>
  <w:num w:numId="3" w16cid:durableId="2074545413">
    <w:abstractNumId w:val="0"/>
  </w:num>
  <w:num w:numId="4" w16cid:durableId="1569074376">
    <w:abstractNumId w:val="2"/>
  </w:num>
  <w:num w:numId="5" w16cid:durableId="193465377">
    <w:abstractNumId w:val="4"/>
  </w:num>
  <w:num w:numId="6" w16cid:durableId="1787045812">
    <w:abstractNumId w:val="13"/>
  </w:num>
  <w:num w:numId="7" w16cid:durableId="1158032278">
    <w:abstractNumId w:val="11"/>
  </w:num>
  <w:num w:numId="8" w16cid:durableId="1650475584">
    <w:abstractNumId w:val="21"/>
  </w:num>
  <w:num w:numId="9" w16cid:durableId="2090274090">
    <w:abstractNumId w:val="12"/>
  </w:num>
  <w:num w:numId="10" w16cid:durableId="212892077">
    <w:abstractNumId w:val="7"/>
  </w:num>
  <w:num w:numId="11" w16cid:durableId="1543051343">
    <w:abstractNumId w:val="5"/>
  </w:num>
  <w:num w:numId="12" w16cid:durableId="1604607086">
    <w:abstractNumId w:val="9"/>
  </w:num>
  <w:num w:numId="13" w16cid:durableId="1034691239">
    <w:abstractNumId w:val="15"/>
  </w:num>
  <w:num w:numId="14" w16cid:durableId="1745571027">
    <w:abstractNumId w:val="3"/>
  </w:num>
  <w:num w:numId="15" w16cid:durableId="1030690331">
    <w:abstractNumId w:val="16"/>
  </w:num>
  <w:num w:numId="16" w16cid:durableId="704910728">
    <w:abstractNumId w:val="10"/>
  </w:num>
  <w:num w:numId="17" w16cid:durableId="1047141255">
    <w:abstractNumId w:val="1"/>
  </w:num>
  <w:num w:numId="18" w16cid:durableId="2039502210">
    <w:abstractNumId w:val="14"/>
  </w:num>
  <w:num w:numId="19" w16cid:durableId="809131065">
    <w:abstractNumId w:val="19"/>
  </w:num>
  <w:num w:numId="20" w16cid:durableId="6180467">
    <w:abstractNumId w:val="6"/>
  </w:num>
  <w:num w:numId="21" w16cid:durableId="464467235">
    <w:abstractNumId w:val="17"/>
  </w:num>
  <w:num w:numId="22" w16cid:durableId="48380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1D"/>
    <w:rsid w:val="0001617B"/>
    <w:rsid w:val="000B6F94"/>
    <w:rsid w:val="000D01F7"/>
    <w:rsid w:val="000F474B"/>
    <w:rsid w:val="00196625"/>
    <w:rsid w:val="001971CB"/>
    <w:rsid w:val="00212EC1"/>
    <w:rsid w:val="002505B3"/>
    <w:rsid w:val="00250CCC"/>
    <w:rsid w:val="00267380"/>
    <w:rsid w:val="0027771F"/>
    <w:rsid w:val="00354F8C"/>
    <w:rsid w:val="00415D83"/>
    <w:rsid w:val="00423A88"/>
    <w:rsid w:val="0045258A"/>
    <w:rsid w:val="004900AB"/>
    <w:rsid w:val="004C0E5B"/>
    <w:rsid w:val="004C291F"/>
    <w:rsid w:val="00543988"/>
    <w:rsid w:val="00556F2E"/>
    <w:rsid w:val="00564815"/>
    <w:rsid w:val="005E4D0C"/>
    <w:rsid w:val="00620F33"/>
    <w:rsid w:val="006211EE"/>
    <w:rsid w:val="00622F67"/>
    <w:rsid w:val="00631CC1"/>
    <w:rsid w:val="00697972"/>
    <w:rsid w:val="006C3AD4"/>
    <w:rsid w:val="00703F0D"/>
    <w:rsid w:val="00735574"/>
    <w:rsid w:val="00853B94"/>
    <w:rsid w:val="00853F48"/>
    <w:rsid w:val="00882D35"/>
    <w:rsid w:val="008D31AB"/>
    <w:rsid w:val="008F1F24"/>
    <w:rsid w:val="00951649"/>
    <w:rsid w:val="009D5FDA"/>
    <w:rsid w:val="009F7A5F"/>
    <w:rsid w:val="00A32EC9"/>
    <w:rsid w:val="00A407C4"/>
    <w:rsid w:val="00A51692"/>
    <w:rsid w:val="00A577F2"/>
    <w:rsid w:val="00AD0459"/>
    <w:rsid w:val="00B335FE"/>
    <w:rsid w:val="00B4201E"/>
    <w:rsid w:val="00B6699D"/>
    <w:rsid w:val="00CF7770"/>
    <w:rsid w:val="00D03C04"/>
    <w:rsid w:val="00D041FF"/>
    <w:rsid w:val="00D57A1D"/>
    <w:rsid w:val="00D93F5A"/>
    <w:rsid w:val="00DB5351"/>
    <w:rsid w:val="00E87D39"/>
    <w:rsid w:val="00EB1D86"/>
    <w:rsid w:val="00EC0057"/>
    <w:rsid w:val="00F1767C"/>
    <w:rsid w:val="00F86484"/>
    <w:rsid w:val="00FA4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6C2A"/>
  <w15:chartTrackingRefBased/>
  <w15:docId w15:val="{F6754F88-A461-4948-B267-604FA7D3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7A1D"/>
    <w:pPr>
      <w:ind w:left="720"/>
      <w:contextualSpacing/>
    </w:pPr>
  </w:style>
  <w:style w:type="character" w:styleId="Marquedecommentaire">
    <w:name w:val="annotation reference"/>
    <w:basedOn w:val="Policepardfaut"/>
    <w:uiPriority w:val="99"/>
    <w:semiHidden/>
    <w:unhideWhenUsed/>
    <w:rsid w:val="00D57A1D"/>
    <w:rPr>
      <w:sz w:val="16"/>
      <w:szCs w:val="16"/>
    </w:rPr>
  </w:style>
  <w:style w:type="paragraph" w:styleId="Commentaire">
    <w:name w:val="annotation text"/>
    <w:basedOn w:val="Normal"/>
    <w:link w:val="CommentaireCar"/>
    <w:uiPriority w:val="99"/>
    <w:unhideWhenUsed/>
    <w:rsid w:val="00D57A1D"/>
    <w:pPr>
      <w:spacing w:line="240" w:lineRule="auto"/>
    </w:pPr>
    <w:rPr>
      <w:sz w:val="20"/>
      <w:szCs w:val="20"/>
    </w:rPr>
  </w:style>
  <w:style w:type="character" w:customStyle="1" w:styleId="CommentaireCar">
    <w:name w:val="Commentaire Car"/>
    <w:basedOn w:val="Policepardfaut"/>
    <w:link w:val="Commentaire"/>
    <w:uiPriority w:val="99"/>
    <w:rsid w:val="00D57A1D"/>
    <w:rPr>
      <w:sz w:val="20"/>
      <w:szCs w:val="20"/>
    </w:rPr>
  </w:style>
  <w:style w:type="paragraph" w:styleId="Objetducommentaire">
    <w:name w:val="annotation subject"/>
    <w:basedOn w:val="Commentaire"/>
    <w:next w:val="Commentaire"/>
    <w:link w:val="ObjetducommentaireCar"/>
    <w:uiPriority w:val="99"/>
    <w:semiHidden/>
    <w:unhideWhenUsed/>
    <w:rsid w:val="00D57A1D"/>
    <w:rPr>
      <w:b/>
      <w:bCs/>
    </w:rPr>
  </w:style>
  <w:style w:type="character" w:customStyle="1" w:styleId="ObjetducommentaireCar">
    <w:name w:val="Objet du commentaire Car"/>
    <w:basedOn w:val="CommentaireCar"/>
    <w:link w:val="Objetducommentaire"/>
    <w:uiPriority w:val="99"/>
    <w:semiHidden/>
    <w:rsid w:val="00D57A1D"/>
    <w:rPr>
      <w:b/>
      <w:bCs/>
      <w:sz w:val="20"/>
      <w:szCs w:val="20"/>
    </w:rPr>
  </w:style>
  <w:style w:type="paragraph" w:styleId="Textedebulles">
    <w:name w:val="Balloon Text"/>
    <w:basedOn w:val="Normal"/>
    <w:link w:val="TextedebullesCar"/>
    <w:uiPriority w:val="99"/>
    <w:semiHidden/>
    <w:unhideWhenUsed/>
    <w:rsid w:val="00D57A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A1D"/>
    <w:rPr>
      <w:rFonts w:ascii="Segoe UI" w:hAnsi="Segoe UI" w:cs="Segoe UI"/>
      <w:sz w:val="18"/>
      <w:szCs w:val="18"/>
    </w:rPr>
  </w:style>
  <w:style w:type="paragraph" w:styleId="Notedebasdepage">
    <w:name w:val="footnote text"/>
    <w:basedOn w:val="Normal"/>
    <w:link w:val="NotedebasdepageCar"/>
    <w:uiPriority w:val="99"/>
    <w:semiHidden/>
    <w:unhideWhenUsed/>
    <w:rsid w:val="008D31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31AB"/>
    <w:rPr>
      <w:sz w:val="20"/>
      <w:szCs w:val="20"/>
    </w:rPr>
  </w:style>
  <w:style w:type="character" w:styleId="Appelnotedebasdep">
    <w:name w:val="footnote reference"/>
    <w:basedOn w:val="Policepardfaut"/>
    <w:uiPriority w:val="99"/>
    <w:semiHidden/>
    <w:unhideWhenUsed/>
    <w:rsid w:val="008D31AB"/>
    <w:rPr>
      <w:vertAlign w:val="superscript"/>
    </w:rPr>
  </w:style>
  <w:style w:type="paragraph" w:customStyle="1" w:styleId="Default">
    <w:name w:val="Default"/>
    <w:rsid w:val="00423A8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20F33"/>
    <w:rPr>
      <w:color w:val="0563C1" w:themeColor="hyperlink"/>
      <w:u w:val="single"/>
    </w:rPr>
  </w:style>
  <w:style w:type="paragraph" w:styleId="En-tte">
    <w:name w:val="header"/>
    <w:basedOn w:val="Normal"/>
    <w:link w:val="En-tteCar"/>
    <w:uiPriority w:val="99"/>
    <w:unhideWhenUsed/>
    <w:rsid w:val="00A51692"/>
    <w:pPr>
      <w:tabs>
        <w:tab w:val="center" w:pos="4536"/>
        <w:tab w:val="right" w:pos="9072"/>
      </w:tabs>
      <w:spacing w:after="0" w:line="240" w:lineRule="auto"/>
    </w:pPr>
  </w:style>
  <w:style w:type="character" w:customStyle="1" w:styleId="En-tteCar">
    <w:name w:val="En-tête Car"/>
    <w:basedOn w:val="Policepardfaut"/>
    <w:link w:val="En-tte"/>
    <w:uiPriority w:val="99"/>
    <w:rsid w:val="00A51692"/>
  </w:style>
  <w:style w:type="paragraph" w:styleId="Rvision">
    <w:name w:val="Revision"/>
    <w:hidden/>
    <w:uiPriority w:val="99"/>
    <w:semiHidden/>
    <w:rsid w:val="00703F0D"/>
    <w:pPr>
      <w:spacing w:after="0" w:line="240" w:lineRule="auto"/>
    </w:pPr>
  </w:style>
  <w:style w:type="paragraph" w:styleId="Pieddepage">
    <w:name w:val="footer"/>
    <w:basedOn w:val="Normal"/>
    <w:link w:val="PieddepageCar"/>
    <w:uiPriority w:val="99"/>
    <w:unhideWhenUsed/>
    <w:rsid w:val="00CF77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541C-D3D1-4E90-AA32-7E5CF050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816</Words>
  <Characters>4488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Jules (SGACPR DA)</dc:creator>
  <cp:keywords/>
  <dc:description/>
  <cp:lastModifiedBy>PALLUAULT Marie-Odile (SGACPR DAJ)</cp:lastModifiedBy>
  <cp:revision>5</cp:revision>
  <dcterms:created xsi:type="dcterms:W3CDTF">2025-09-03T19:00:00Z</dcterms:created>
  <dcterms:modified xsi:type="dcterms:W3CDTF">2025-10-15T12:26:00Z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2626c463,7cb50a94,71095f73</vt:lpwstr>
  </property>
  <property fmtid="{D5CDD505-2E9C-101B-9397-08002B2CF9AE}" pid="3" name="ClassificationContentMarkingHeaderFontProps">
    <vt:lpwstr>#000000,10,Calibri</vt:lpwstr>
  </property>
  <property fmtid="{D5CDD505-2E9C-101B-9397-08002B2CF9AE}" pid="4" name="ClassificationContentMarkingHeaderText">
    <vt:lpwstr>ACPR-INTERNE</vt:lpwstr>
  </property>
  <property fmtid="{D5CDD505-2E9C-101B-9397-08002B2CF9AE}" pid="5" name="MSIP_Label_92ca6c65-af8f-4f76-b012-8192e87959fa_Enabled">
    <vt:lpwstr>true</vt:lpwstr>
  </property>
  <property fmtid="{D5CDD505-2E9C-101B-9397-08002B2CF9AE}" pid="6" name="MSIP_Label_92ca6c65-af8f-4f76-b012-8192e87959fa_SetDate">
    <vt:lpwstr>2025-07-29T14:57:20Z</vt:lpwstr>
  </property>
  <property fmtid="{D5CDD505-2E9C-101B-9397-08002B2CF9AE}" pid="7" name="MSIP_Label_92ca6c65-af8f-4f76-b012-8192e87959fa_Method">
    <vt:lpwstr>Privileged</vt:lpwstr>
  </property>
  <property fmtid="{D5CDD505-2E9C-101B-9397-08002B2CF9AE}" pid="8" name="MSIP_Label_92ca6c65-af8f-4f76-b012-8192e87959fa_Name">
    <vt:lpwstr>ACPR-Interne</vt:lpwstr>
  </property>
  <property fmtid="{D5CDD505-2E9C-101B-9397-08002B2CF9AE}" pid="9" name="MSIP_Label_92ca6c65-af8f-4f76-b012-8192e87959fa_SiteId">
    <vt:lpwstr>e6599448-62a0-418e-8930-d00d8d5682c2</vt:lpwstr>
  </property>
  <property fmtid="{D5CDD505-2E9C-101B-9397-08002B2CF9AE}" pid="10" name="MSIP_Label_92ca6c65-af8f-4f76-b012-8192e87959fa_ActionId">
    <vt:lpwstr>332c4761-7d14-46fa-9647-84ab30ee79b7</vt:lpwstr>
  </property>
  <property fmtid="{D5CDD505-2E9C-101B-9397-08002B2CF9AE}" pid="11" name="MSIP_Label_92ca6c65-af8f-4f76-b012-8192e87959fa_ContentBits">
    <vt:lpwstr>1</vt:lpwstr>
  </property>
</Properties>
</file>