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744F" w14:textId="1402F73D" w:rsidR="00766D3A" w:rsidRPr="00AA0378" w:rsidRDefault="00766D3A" w:rsidP="00766D3A">
      <w:pPr>
        <w:pStyle w:val="En-tte"/>
        <w:jc w:val="right"/>
        <w:rPr>
          <w:rFonts w:cstheme="minorHAnsi"/>
          <w:b/>
          <w:bCs/>
          <w:sz w:val="24"/>
          <w:szCs w:val="24"/>
        </w:rPr>
      </w:pPr>
      <w:r w:rsidRPr="00AA0378">
        <w:rPr>
          <w:rFonts w:cstheme="minorHAnsi"/>
          <w:b/>
          <w:bCs/>
          <w:sz w:val="24"/>
          <w:szCs w:val="24"/>
        </w:rPr>
        <w:t>Annexe à l’instruction n°</w:t>
      </w:r>
      <w:r w:rsidR="004A7377">
        <w:rPr>
          <w:rFonts w:cstheme="minorHAnsi"/>
          <w:b/>
          <w:bCs/>
          <w:sz w:val="24"/>
          <w:szCs w:val="24"/>
        </w:rPr>
        <w:t xml:space="preserve"> </w:t>
      </w:r>
      <w:r w:rsidRPr="00AA0378">
        <w:rPr>
          <w:rFonts w:cstheme="minorHAnsi"/>
          <w:b/>
          <w:bCs/>
          <w:sz w:val="24"/>
          <w:szCs w:val="24"/>
        </w:rPr>
        <w:t>2025-I-</w:t>
      </w:r>
      <w:r w:rsidR="00123F74" w:rsidRPr="00AA0378">
        <w:rPr>
          <w:rFonts w:cstheme="minorHAnsi"/>
          <w:b/>
          <w:bCs/>
          <w:sz w:val="24"/>
          <w:szCs w:val="24"/>
        </w:rPr>
        <w:t>20</w:t>
      </w:r>
    </w:p>
    <w:p w14:paraId="78D6CCBD" w14:textId="77777777" w:rsidR="00766D3A" w:rsidRDefault="00766D3A" w:rsidP="00766D3A">
      <w:pPr>
        <w:spacing w:after="0" w:line="240" w:lineRule="auto"/>
        <w:jc w:val="center"/>
        <w:rPr>
          <w:b/>
          <w:caps/>
          <w:sz w:val="24"/>
          <w:szCs w:val="24"/>
          <w:u w:val="single"/>
        </w:rPr>
      </w:pPr>
    </w:p>
    <w:p w14:paraId="3F1B1A74" w14:textId="63797647" w:rsidR="00D57A1D" w:rsidRPr="00371FC5" w:rsidRDefault="00185097" w:rsidP="00766D3A">
      <w:pPr>
        <w:spacing w:after="0" w:line="240" w:lineRule="auto"/>
        <w:jc w:val="center"/>
        <w:rPr>
          <w:b/>
          <w:caps/>
          <w:sz w:val="24"/>
          <w:szCs w:val="24"/>
          <w:u w:val="single"/>
        </w:rPr>
      </w:pPr>
      <w:r w:rsidRPr="00371FC5">
        <w:rPr>
          <w:b/>
          <w:caps/>
          <w:sz w:val="24"/>
          <w:szCs w:val="24"/>
          <w:u w:val="single"/>
        </w:rPr>
        <w:t>Déclaration préalable à l’affiliation, au retrait ou à l’exclusion d’une société de groupe d’assurance mutuelle (SGAM), d’une union mutualiste de groupe (UMG) ou d’une société de groupe assurantiel de protection sociale (SGAPS)</w:t>
      </w:r>
      <w:r w:rsidR="00D57A1D" w:rsidRPr="00371FC5">
        <w:rPr>
          <w:b/>
          <w:caps/>
          <w:sz w:val="24"/>
          <w:szCs w:val="24"/>
          <w:u w:val="single"/>
        </w:rPr>
        <w:t xml:space="preserve"> </w:t>
      </w:r>
    </w:p>
    <w:p w14:paraId="5FF5F174" w14:textId="77777777" w:rsidR="00185097" w:rsidRDefault="00185097" w:rsidP="00766D3A">
      <w:pPr>
        <w:spacing w:after="0" w:line="240" w:lineRule="auto"/>
        <w:rPr>
          <w:b/>
        </w:rPr>
      </w:pPr>
    </w:p>
    <w:p w14:paraId="18CF23C0" w14:textId="38AB4B92" w:rsidR="008B12FC" w:rsidRPr="00734889" w:rsidRDefault="00D57A1D" w:rsidP="00766D3A">
      <w:pPr>
        <w:spacing w:after="0" w:line="240" w:lineRule="auto"/>
        <w:jc w:val="both"/>
        <w:rPr>
          <w:b/>
        </w:rPr>
      </w:pPr>
      <w:r w:rsidRPr="00D57A1D">
        <w:rPr>
          <w:b/>
        </w:rPr>
        <w:t>DOCUMENTS OU INFORMATIONS A PRODUIRE POUR L’EXAMEN DES DOSSIERS</w:t>
      </w:r>
    </w:p>
    <w:p w14:paraId="284D96F8" w14:textId="4DA5419D" w:rsidR="00FA5E7C" w:rsidRDefault="00FA5E7C" w:rsidP="00766D3A">
      <w:pPr>
        <w:spacing w:after="0" w:line="240" w:lineRule="auto"/>
        <w:jc w:val="both"/>
      </w:pPr>
      <w:bookmarkStart w:id="0" w:name="_Hlk205548752"/>
      <w:r w:rsidRPr="00FA5E7C">
        <w:rPr>
          <w:b/>
          <w:i/>
          <w:iCs/>
        </w:rPr>
        <w:t>Liste non limitative qui peut être complétée en fonction des particularités d</w:t>
      </w:r>
      <w:r>
        <w:rPr>
          <w:b/>
          <w:i/>
          <w:iCs/>
        </w:rPr>
        <w:t>u dossier</w:t>
      </w:r>
    </w:p>
    <w:p w14:paraId="6A3DD30C" w14:textId="57E932C5" w:rsidR="008B12FC" w:rsidRDefault="008B12FC" w:rsidP="00766D3A">
      <w:pPr>
        <w:spacing w:after="0" w:line="240" w:lineRule="auto"/>
        <w:jc w:val="both"/>
      </w:pPr>
      <w:r>
        <w:t>En l’absence de mention explicite, les documents listés ci-après sont attendus de la part de l’ensemble des entités concernées.</w:t>
      </w:r>
    </w:p>
    <w:p w14:paraId="09087685" w14:textId="2A9E8278" w:rsidR="00A407C4" w:rsidRDefault="008B12FC" w:rsidP="00766D3A">
      <w:pPr>
        <w:spacing w:after="0" w:line="240" w:lineRule="auto"/>
        <w:jc w:val="both"/>
      </w:pPr>
      <w:r w:rsidRPr="006E4C34">
        <w:t>Les fichiers transmis doivent être au format PDF et permettre l’utilisation de la fonctionnalité «</w:t>
      </w:r>
      <w:r w:rsidR="00766D3A">
        <w:t> </w:t>
      </w:r>
      <w:r w:rsidRPr="006E4C34">
        <w:t>Ctrl+F</w:t>
      </w:r>
      <w:r w:rsidR="00766D3A">
        <w:t> </w:t>
      </w:r>
      <w:r w:rsidRPr="006E4C34">
        <w:t>». Les fichiers de données doivent, quant à eux, être transmis au format XLSX</w:t>
      </w:r>
      <w:r>
        <w:t>.</w:t>
      </w:r>
    </w:p>
    <w:p w14:paraId="00380B36" w14:textId="77777777" w:rsidR="00766D3A" w:rsidRDefault="00766D3A" w:rsidP="00766D3A">
      <w:pPr>
        <w:spacing w:after="0" w:line="240" w:lineRule="auto"/>
        <w:jc w:val="both"/>
      </w:pPr>
    </w:p>
    <w:tbl>
      <w:tblPr>
        <w:tblStyle w:val="Grilledutableau"/>
        <w:tblW w:w="0" w:type="auto"/>
        <w:tblLook w:val="04A0" w:firstRow="1" w:lastRow="0" w:firstColumn="1" w:lastColumn="0" w:noHBand="0" w:noVBand="1"/>
      </w:tblPr>
      <w:tblGrid>
        <w:gridCol w:w="1626"/>
        <w:gridCol w:w="7436"/>
      </w:tblGrid>
      <w:tr w:rsidR="00D57A1D" w14:paraId="47E2BB10" w14:textId="77777777" w:rsidTr="00A3044D">
        <w:tc>
          <w:tcPr>
            <w:tcW w:w="1626" w:type="dxa"/>
          </w:tcPr>
          <w:bookmarkEnd w:id="0"/>
          <w:p w14:paraId="24B77D06" w14:textId="77777777" w:rsidR="00D57A1D" w:rsidRDefault="00D57A1D" w:rsidP="00D57A1D">
            <w:r>
              <w:t>A – Identité</w:t>
            </w:r>
          </w:p>
        </w:tc>
        <w:tc>
          <w:tcPr>
            <w:tcW w:w="7436" w:type="dxa"/>
          </w:tcPr>
          <w:p w14:paraId="2E440534" w14:textId="30651610" w:rsidR="00D57A1D" w:rsidRDefault="00D57A1D" w:rsidP="00FC21C7">
            <w:pPr>
              <w:pStyle w:val="Paragraphedeliste"/>
              <w:numPr>
                <w:ilvl w:val="0"/>
                <w:numId w:val="1"/>
              </w:numPr>
              <w:jc w:val="both"/>
            </w:pPr>
            <w:r>
              <w:t xml:space="preserve">Dénomination sociale ; SIREN et LEI </w:t>
            </w:r>
            <w:r w:rsidR="00185097">
              <w:t>si existant</w:t>
            </w:r>
            <w:r w:rsidR="00227B65">
              <w:t>.</w:t>
            </w:r>
          </w:p>
          <w:p w14:paraId="0288744F" w14:textId="67AE03A3" w:rsidR="00D57A1D" w:rsidRDefault="00D57A1D" w:rsidP="00FC21C7">
            <w:pPr>
              <w:pStyle w:val="Paragraphedeliste"/>
              <w:numPr>
                <w:ilvl w:val="0"/>
                <w:numId w:val="1"/>
              </w:numPr>
              <w:jc w:val="both"/>
            </w:pPr>
            <w:r>
              <w:t xml:space="preserve">Branches d’agrément </w:t>
            </w:r>
            <w:r w:rsidR="00185097">
              <w:t>pour les organismes d’assurance concernés</w:t>
            </w:r>
            <w:r w:rsidR="00227B65">
              <w:t>.</w:t>
            </w:r>
          </w:p>
        </w:tc>
      </w:tr>
      <w:tr w:rsidR="00D57A1D" w14:paraId="4B1A4C56" w14:textId="77777777" w:rsidTr="00A3044D">
        <w:tc>
          <w:tcPr>
            <w:tcW w:w="1626" w:type="dxa"/>
          </w:tcPr>
          <w:p w14:paraId="602F2FC7" w14:textId="77777777" w:rsidR="00D57A1D" w:rsidRDefault="00D57A1D" w:rsidP="00D57A1D">
            <w:r>
              <w:t>B – Motivations</w:t>
            </w:r>
          </w:p>
        </w:tc>
        <w:tc>
          <w:tcPr>
            <w:tcW w:w="7436" w:type="dxa"/>
          </w:tcPr>
          <w:p w14:paraId="0D48C368" w14:textId="51FDD126" w:rsidR="00D57A1D" w:rsidRDefault="00D57A1D" w:rsidP="00FC21C7">
            <w:pPr>
              <w:pStyle w:val="Paragraphedeliste"/>
              <w:numPr>
                <w:ilvl w:val="0"/>
                <w:numId w:val="2"/>
              </w:numPr>
              <w:jc w:val="both"/>
            </w:pPr>
            <w:r>
              <w:t>Présentation des entités concernées en précisant notamment, leur date de création, leurs particularités et leurs événements récents</w:t>
            </w:r>
            <w:r w:rsidR="004F5F00">
              <w:t>,</w:t>
            </w:r>
            <w:r w:rsidR="005A142B">
              <w:t xml:space="preserve"> le détail de </w:t>
            </w:r>
            <w:r w:rsidR="0035418D">
              <w:t>leurs participations</w:t>
            </w:r>
            <w:r w:rsidR="005A142B">
              <w:t xml:space="preserve"> dans des entreprises d’assurance françaises ou étrangères</w:t>
            </w:r>
            <w:r w:rsidR="004F5F00">
              <w:t xml:space="preserve"> leur nombre d’adhérents ou d’assurés et de personnes bénéficiaires pour les organismes d’assurance.</w:t>
            </w:r>
          </w:p>
          <w:p w14:paraId="575D864C" w14:textId="47510591" w:rsidR="0035418D" w:rsidRDefault="0035418D" w:rsidP="00FC21C7">
            <w:pPr>
              <w:pStyle w:val="Paragraphedeliste"/>
              <w:numPr>
                <w:ilvl w:val="0"/>
                <w:numId w:val="2"/>
              </w:numPr>
              <w:jc w:val="both"/>
            </w:pPr>
            <w:r w:rsidRPr="0035418D">
              <w:t>Le cas échéant, pour chacune des entités concernées par l'opération, la liste des entités faisant partie d’un groupe au sens de l’article L. 356-1 du Code des assurances dont elles font également partie, complétée par un organigramme détaillé</w:t>
            </w:r>
            <w:r w:rsidR="00227B65">
              <w:t>.</w:t>
            </w:r>
          </w:p>
          <w:p w14:paraId="3B7D25A7" w14:textId="310C2779" w:rsidR="00D57A1D" w:rsidRDefault="00D57A1D" w:rsidP="00FC21C7">
            <w:pPr>
              <w:pStyle w:val="Paragraphedeliste"/>
              <w:numPr>
                <w:ilvl w:val="0"/>
                <w:numId w:val="2"/>
              </w:numPr>
              <w:jc w:val="both"/>
            </w:pPr>
            <w:r>
              <w:t>Présentation des motivations de l’opération</w:t>
            </w:r>
            <w:r w:rsidR="00227B65">
              <w:t>.</w:t>
            </w:r>
          </w:p>
        </w:tc>
      </w:tr>
      <w:tr w:rsidR="00D57A1D" w14:paraId="682BE179" w14:textId="77777777" w:rsidTr="00A3044D">
        <w:tc>
          <w:tcPr>
            <w:tcW w:w="1626" w:type="dxa"/>
          </w:tcPr>
          <w:p w14:paraId="4AEF62D2" w14:textId="0F472ED8" w:rsidR="00D57A1D" w:rsidRDefault="00D57A1D" w:rsidP="00D57A1D">
            <w:r>
              <w:t>C – Éléments juridiques</w:t>
            </w:r>
          </w:p>
        </w:tc>
        <w:tc>
          <w:tcPr>
            <w:tcW w:w="7436" w:type="dxa"/>
          </w:tcPr>
          <w:p w14:paraId="5CAEFB7D" w14:textId="498991DE" w:rsidR="00D57A1D" w:rsidRDefault="00185097" w:rsidP="00FC21C7">
            <w:pPr>
              <w:pStyle w:val="Paragraphedeliste"/>
              <w:numPr>
                <w:ilvl w:val="0"/>
                <w:numId w:val="3"/>
              </w:numPr>
              <w:jc w:val="both"/>
            </w:pPr>
            <w:r>
              <w:t>Les statuts ou les projets de statuts, de la SGAM, UMG ou SGAPS.</w:t>
            </w:r>
          </w:p>
          <w:p w14:paraId="77CC731C" w14:textId="2885F92B" w:rsidR="00185097" w:rsidRDefault="005A142B" w:rsidP="00FC21C7">
            <w:pPr>
              <w:pStyle w:val="Paragraphedeliste"/>
              <w:numPr>
                <w:ilvl w:val="0"/>
                <w:numId w:val="3"/>
              </w:numPr>
              <w:jc w:val="both"/>
            </w:pPr>
            <w:r w:rsidRPr="005A142B">
              <w:t>Pour les organismes d’assurance à forme mutuelle ou coopérative ou à gestion paritaire</w:t>
            </w:r>
            <w:r>
              <w:t>,</w:t>
            </w:r>
            <w:r w:rsidRPr="005A142B">
              <w:t xml:space="preserve"> dont le siège est situé dans un État membre </w:t>
            </w:r>
            <w:r>
              <w:t xml:space="preserve">de </w:t>
            </w:r>
            <w:r w:rsidRPr="005A142B">
              <w:t>l’Espace Économique Européen, un document faisant preuve de la constitution régulière de chacune d'elles selon les lois et règlements de l'État de leur siège social, et sa traduction certifiée conforme en français</w:t>
            </w:r>
            <w:r>
              <w:t>.</w:t>
            </w:r>
          </w:p>
          <w:p w14:paraId="06F94081" w14:textId="596A41AA" w:rsidR="0035418D" w:rsidRDefault="0035418D" w:rsidP="00FC21C7">
            <w:pPr>
              <w:pStyle w:val="Paragraphedeliste"/>
              <w:numPr>
                <w:ilvl w:val="0"/>
                <w:numId w:val="3"/>
              </w:numPr>
              <w:jc w:val="both"/>
            </w:pPr>
            <w:r>
              <w:t xml:space="preserve">Si l'une </w:t>
            </w:r>
            <w:r w:rsidRPr="00D853E6">
              <w:t>des entités concernées par l'opération</w:t>
            </w:r>
            <w:r>
              <w:t xml:space="preserve"> a fait ou est susceptible de faire l'objet d'une enquête ou d'une procédure professionnelle, administrative ou judiciaire, les sanctions ou les conséquences financières qui en ont résulté ou sont </w:t>
            </w:r>
            <w:r w:rsidRPr="00761DEB">
              <w:t>susceptibles d'en résulter</w:t>
            </w:r>
            <w:r>
              <w:t>.</w:t>
            </w:r>
          </w:p>
          <w:p w14:paraId="53AF2053" w14:textId="6A4304A5" w:rsidR="007A175B" w:rsidRDefault="007A175B" w:rsidP="00FC21C7">
            <w:pPr>
              <w:pStyle w:val="Paragraphedeliste"/>
              <w:numPr>
                <w:ilvl w:val="0"/>
                <w:numId w:val="3"/>
              </w:numPr>
              <w:jc w:val="both"/>
            </w:pPr>
            <w:r w:rsidRPr="007A175B">
              <w:t>La convention d'affiliation</w:t>
            </w:r>
            <w:r>
              <w:rPr>
                <w:rStyle w:val="Appelnotedebasdep"/>
              </w:rPr>
              <w:footnoteReference w:id="1"/>
            </w:r>
            <w:r w:rsidR="00227B65">
              <w:t>.</w:t>
            </w:r>
          </w:p>
          <w:p w14:paraId="29FD9203" w14:textId="0B626E31" w:rsidR="007A175B" w:rsidRDefault="007A175B" w:rsidP="00FC21C7">
            <w:pPr>
              <w:pStyle w:val="Paragraphedeliste"/>
              <w:numPr>
                <w:ilvl w:val="0"/>
                <w:numId w:val="3"/>
              </w:numPr>
              <w:jc w:val="both"/>
            </w:pPr>
            <w:r w:rsidRPr="007A175B">
              <w:t>La décision de l'assemblée générale approuvant la conclusion de la convention d'affiliation ou se prononçant pour sa résiliation</w:t>
            </w:r>
            <w:r>
              <w:t xml:space="preserve"> ou prononçant l’exclusion</w:t>
            </w:r>
            <w:r w:rsidR="00227B65">
              <w:t>.</w:t>
            </w:r>
          </w:p>
          <w:p w14:paraId="188321E2" w14:textId="5A29F789" w:rsidR="00354F8C" w:rsidRDefault="007A175B" w:rsidP="00C03E11">
            <w:pPr>
              <w:pStyle w:val="Paragraphedeliste"/>
              <w:numPr>
                <w:ilvl w:val="0"/>
                <w:numId w:val="3"/>
              </w:numPr>
              <w:jc w:val="both"/>
            </w:pPr>
            <w:r>
              <w:t>E</w:t>
            </w:r>
            <w:r w:rsidRPr="007A175B">
              <w:t>n cas de création d’une nouvelle SGAM, UMG ou SGAPS, la décision de l’assemblée générale de chacune des entités s’engageant dans cette création</w:t>
            </w:r>
            <w:r w:rsidR="00227B65">
              <w:t>. </w:t>
            </w:r>
          </w:p>
          <w:p w14:paraId="72C1140C" w14:textId="170A2348" w:rsidR="00294A2D" w:rsidRDefault="00294A2D" w:rsidP="00C03E11">
            <w:pPr>
              <w:pStyle w:val="Paragraphedeliste"/>
              <w:numPr>
                <w:ilvl w:val="0"/>
                <w:numId w:val="3"/>
              </w:numPr>
              <w:jc w:val="both"/>
            </w:pPr>
            <w:r>
              <w:t xml:space="preserve">Toutes informations </w:t>
            </w:r>
            <w:r w:rsidRPr="00761DEB">
              <w:t>relatives aux modalités</w:t>
            </w:r>
            <w:r>
              <w:t xml:space="preserve"> d’exercice de l’influence dominante de la SGAM, de l’UMG ou de la SGAPS sur l’entité qui projette de s’affilier, notamment</w:t>
            </w:r>
            <w:r w:rsidRPr="00761DEB">
              <w:t xml:space="preserve"> de suivi et de contrôle des activités et des résultats de</w:t>
            </w:r>
            <w:r>
              <w:t xml:space="preserve"> cette dernière</w:t>
            </w:r>
            <w:r w:rsidR="00227B65">
              <w:t>.</w:t>
            </w:r>
          </w:p>
          <w:p w14:paraId="6435347F" w14:textId="22FAD9F1" w:rsidR="00A3044D" w:rsidRDefault="00A3044D" w:rsidP="00C03E11">
            <w:pPr>
              <w:pStyle w:val="Paragraphedeliste"/>
              <w:numPr>
                <w:ilvl w:val="0"/>
                <w:numId w:val="3"/>
              </w:numPr>
              <w:jc w:val="both"/>
            </w:pPr>
            <w:r>
              <w:t xml:space="preserve">En cas de création </w:t>
            </w:r>
            <w:r w:rsidRPr="007A175B">
              <w:t>d’une nouvelle SGAM, UMG ou SGAPS</w:t>
            </w:r>
            <w:r>
              <w:t>, toutes informations relatives au fonctionnement de la solidarité financière.</w:t>
            </w:r>
          </w:p>
        </w:tc>
      </w:tr>
      <w:tr w:rsidR="00D57A1D" w14:paraId="6E95F66B" w14:textId="77777777" w:rsidTr="00A3044D">
        <w:tc>
          <w:tcPr>
            <w:tcW w:w="1626" w:type="dxa"/>
          </w:tcPr>
          <w:p w14:paraId="7675CA07" w14:textId="77777777" w:rsidR="00D57A1D" w:rsidRDefault="00354F8C" w:rsidP="00D57A1D">
            <w:r>
              <w:lastRenderedPageBreak/>
              <w:t>D - Éléments comptables</w:t>
            </w:r>
          </w:p>
        </w:tc>
        <w:tc>
          <w:tcPr>
            <w:tcW w:w="7436" w:type="dxa"/>
          </w:tcPr>
          <w:p w14:paraId="47CBC01D" w14:textId="50890DA3" w:rsidR="000B6F94" w:rsidRDefault="000B6F94" w:rsidP="00C03E11">
            <w:pPr>
              <w:pStyle w:val="Paragraphedeliste"/>
              <w:numPr>
                <w:ilvl w:val="0"/>
                <w:numId w:val="4"/>
              </w:numPr>
              <w:jc w:val="both"/>
            </w:pPr>
            <w:r w:rsidRPr="000B6F94">
              <w:t xml:space="preserve">Bilans, comptes de résultat </w:t>
            </w:r>
            <w:r w:rsidR="00227B65">
              <w:t>du</w:t>
            </w:r>
            <w:r w:rsidRPr="000B6F94">
              <w:t xml:space="preserve"> dernier exercice clos </w:t>
            </w:r>
            <w:r w:rsidR="00C03E11">
              <w:t>et prévisionnels pour les trois prochains exercices.</w:t>
            </w:r>
          </w:p>
        </w:tc>
      </w:tr>
      <w:tr w:rsidR="00D57A1D" w14:paraId="4624670D" w14:textId="77777777" w:rsidTr="00A3044D">
        <w:tc>
          <w:tcPr>
            <w:tcW w:w="1626" w:type="dxa"/>
          </w:tcPr>
          <w:p w14:paraId="0A1B5791" w14:textId="77777777" w:rsidR="00D57A1D" w:rsidRDefault="000B6F94" w:rsidP="00D57A1D">
            <w:r>
              <w:t>E – Éléments prudentiels</w:t>
            </w:r>
          </w:p>
        </w:tc>
        <w:tc>
          <w:tcPr>
            <w:tcW w:w="7436" w:type="dxa"/>
          </w:tcPr>
          <w:p w14:paraId="2F307D8F" w14:textId="63DF5BAF" w:rsidR="00B7523C" w:rsidRDefault="00B7523C" w:rsidP="00B3115B">
            <w:pPr>
              <w:pStyle w:val="Paragraphedeliste"/>
              <w:numPr>
                <w:ilvl w:val="0"/>
                <w:numId w:val="5"/>
              </w:numPr>
              <w:jc w:val="both"/>
            </w:pPr>
            <w:r w:rsidRPr="00294A2D">
              <w:t>L’identification des transactions intragroupe</w:t>
            </w:r>
            <w:r w:rsidR="00B921C0">
              <w:t xml:space="preserve"> </w:t>
            </w:r>
            <w:r w:rsidR="00B921C0" w:rsidRPr="00B921C0">
              <w:t>prévisionnelles en cas d’affiliation ou du dernier exercice clos en cas de retrait ou d’exclusion</w:t>
            </w:r>
            <w:r w:rsidR="00227B65">
              <w:t>.</w:t>
            </w:r>
          </w:p>
          <w:p w14:paraId="23FF7A91" w14:textId="444D0283" w:rsidR="007A175B" w:rsidRDefault="007A175B" w:rsidP="00B3115B">
            <w:pPr>
              <w:pStyle w:val="Paragraphedeliste"/>
              <w:numPr>
                <w:ilvl w:val="0"/>
                <w:numId w:val="5"/>
              </w:numPr>
              <w:jc w:val="both"/>
            </w:pPr>
            <w:r>
              <w:t xml:space="preserve">Le bilan prudentiel individuel et, le cas échéant, combiné </w:t>
            </w:r>
            <w:r w:rsidR="00227B65">
              <w:t xml:space="preserve">du </w:t>
            </w:r>
            <w:r>
              <w:t>d</w:t>
            </w:r>
            <w:r w:rsidR="00227B65">
              <w:t>ernier</w:t>
            </w:r>
            <w:r>
              <w:t xml:space="preserve"> exercice clos (QRT S.02.01.01) </w:t>
            </w:r>
            <w:r w:rsidR="00C03E11">
              <w:t>et prévisionnels pour les trois prochains exercices.</w:t>
            </w:r>
          </w:p>
          <w:p w14:paraId="1220A380" w14:textId="411812F3" w:rsidR="00411326" w:rsidRDefault="00411326" w:rsidP="00B3115B">
            <w:pPr>
              <w:pStyle w:val="Paragraphedeliste"/>
              <w:numPr>
                <w:ilvl w:val="0"/>
                <w:numId w:val="5"/>
              </w:numPr>
              <w:jc w:val="both"/>
            </w:pPr>
            <w:r>
              <w:t>Les fonds propres de base éligibles permettant la couverture du minimum de capital requis</w:t>
            </w:r>
            <w:r>
              <w:rPr>
                <w:rStyle w:val="Appelnotedebasdep"/>
              </w:rPr>
              <w:footnoteReference w:id="2"/>
            </w:r>
            <w:r>
              <w:t xml:space="preserve">, et </w:t>
            </w:r>
            <w:r w:rsidR="007A175B">
              <w:t>l</w:t>
            </w:r>
            <w:r>
              <w:t>es fonds propres éligibles permettant la couverture du capital de solvabilité requis</w:t>
            </w:r>
            <w:r>
              <w:rPr>
                <w:rStyle w:val="Appelnotedebasdep"/>
              </w:rPr>
              <w:footnoteReference w:id="3"/>
            </w:r>
            <w:r>
              <w:t>, du dernier exercice clos (QRT S.02.01.01</w:t>
            </w:r>
            <w:r w:rsidR="000137BE">
              <w:t>,</w:t>
            </w:r>
            <w:r>
              <w:t xml:space="preserve"> QRT S.03.01.01</w:t>
            </w:r>
            <w:r w:rsidR="000137BE">
              <w:t>,</w:t>
            </w:r>
            <w:r>
              <w:t xml:space="preserve"> QRT S.23.01.01) </w:t>
            </w:r>
            <w:r w:rsidR="00C03E11">
              <w:t>et prévisionnels pour les trois prochains exercices</w:t>
            </w:r>
            <w:r w:rsidR="00227B65">
              <w:t>.</w:t>
            </w:r>
          </w:p>
          <w:p w14:paraId="06C61160" w14:textId="78A6B90F" w:rsidR="00C03E11" w:rsidRDefault="00411326" w:rsidP="00B3115B">
            <w:pPr>
              <w:pStyle w:val="Paragraphedeliste"/>
              <w:numPr>
                <w:ilvl w:val="0"/>
                <w:numId w:val="5"/>
              </w:numPr>
              <w:jc w:val="both"/>
            </w:pPr>
            <w:r>
              <w:t>Le capital de solvabilité requis du dernier exercice clos (QRT S.25.01, ainsi que QRT S.25.02 ou QRT S.25.03 le cas échéant) </w:t>
            </w:r>
            <w:r w:rsidR="00C03E11">
              <w:t>et prévisionnels pour les trois prochains exercices</w:t>
            </w:r>
            <w:r w:rsidR="00227B65">
              <w:t>.</w:t>
            </w:r>
          </w:p>
          <w:p w14:paraId="22C4F941" w14:textId="6678474E" w:rsidR="00411326" w:rsidRPr="00947392" w:rsidRDefault="00411326" w:rsidP="00B3115B">
            <w:pPr>
              <w:pStyle w:val="Paragraphedeliste"/>
              <w:numPr>
                <w:ilvl w:val="0"/>
                <w:numId w:val="5"/>
              </w:numPr>
              <w:jc w:val="both"/>
            </w:pPr>
            <w:r>
              <w:t xml:space="preserve">Le minimum de capital requis du dernier exercice clos, ainsi que la méthode de calcul utilisée ; (QRT S.28.01.01) </w:t>
            </w:r>
            <w:r w:rsidR="00294A2D">
              <w:t xml:space="preserve">et prévisionnels pour les </w:t>
            </w:r>
            <w:r w:rsidR="00294A2D" w:rsidRPr="00947392">
              <w:t>trois prochains exercices.</w:t>
            </w:r>
          </w:p>
          <w:p w14:paraId="6053B7D8" w14:textId="77777777" w:rsidR="00DB419C" w:rsidRPr="00947392" w:rsidRDefault="00B06215" w:rsidP="00B3115B">
            <w:pPr>
              <w:pStyle w:val="Paragraphedeliste"/>
              <w:numPr>
                <w:ilvl w:val="0"/>
                <w:numId w:val="5"/>
              </w:numPr>
              <w:jc w:val="both"/>
            </w:pPr>
            <w:r w:rsidRPr="00947392">
              <w:t xml:space="preserve">En cas d’affiliation : les éléments principaux des cadres d’appétence au risque du groupe et des organismes affiliés s’il s’agit d’un groupe qui se constitue, les évolutions du cadre d’appétence au risque du groupe s’il s’agit d’un groupe déjà existant ; </w:t>
            </w:r>
          </w:p>
          <w:p w14:paraId="6018A9C3" w14:textId="4E240F09" w:rsidR="00B3115B" w:rsidRPr="00947392" w:rsidRDefault="00DB419C" w:rsidP="00B3115B">
            <w:pPr>
              <w:pStyle w:val="Paragraphedeliste"/>
              <w:numPr>
                <w:ilvl w:val="0"/>
                <w:numId w:val="5"/>
              </w:numPr>
              <w:jc w:val="both"/>
            </w:pPr>
            <w:r w:rsidRPr="00947392">
              <w:t>E</w:t>
            </w:r>
            <w:r w:rsidR="00B06215" w:rsidRPr="00947392">
              <w:t>n cas de retrait ou d’exclusion</w:t>
            </w:r>
            <w:r w:rsidRPr="00947392">
              <w:t> :</w:t>
            </w:r>
            <w:r w:rsidR="00B06215" w:rsidRPr="00947392">
              <w:t xml:space="preserve"> une version simplifiée de l’ORSA individuel de l’entité se désaffiliant</w:t>
            </w:r>
            <w:r w:rsidR="00227B65" w:rsidRPr="00947392">
              <w:t>.</w:t>
            </w:r>
          </w:p>
          <w:p w14:paraId="1191DE2B" w14:textId="77777777" w:rsidR="00411326" w:rsidRDefault="00411326" w:rsidP="00411326">
            <w:pPr>
              <w:jc w:val="both"/>
            </w:pPr>
          </w:p>
          <w:p w14:paraId="766BA6C1" w14:textId="00563171" w:rsidR="00F32651" w:rsidRDefault="00F32651" w:rsidP="00947392">
            <w:pPr>
              <w:jc w:val="both"/>
            </w:pPr>
            <w:r>
              <w:t>S</w:t>
            </w:r>
            <w:r w:rsidR="005913F4" w:rsidRPr="005913F4">
              <w:t>i l’organisme concerné ne relève</w:t>
            </w:r>
            <w:r w:rsidR="005913F4">
              <w:t xml:space="preserve"> </w:t>
            </w:r>
            <w:r w:rsidR="005913F4" w:rsidRPr="005913F4">
              <w:t xml:space="preserve">plus </w:t>
            </w:r>
            <w:r w:rsidR="00411326">
              <w:t>de « Solvabilité II »</w:t>
            </w:r>
            <w:r w:rsidR="00411326">
              <w:rPr>
                <w:rStyle w:val="Appelnotedebasdep"/>
              </w:rPr>
              <w:footnoteReference w:id="4"/>
            </w:r>
            <w:r w:rsidR="0066358E">
              <w:t xml:space="preserve"> à l’issue de l’opération</w:t>
            </w:r>
            <w:r w:rsidR="00411326">
              <w:t> :</w:t>
            </w:r>
            <w:r w:rsidR="00947392">
              <w:t xml:space="preserve"> </w:t>
            </w:r>
            <w:r w:rsidR="00411326">
              <w:t>L</w:t>
            </w:r>
            <w:r w:rsidR="00411326" w:rsidRPr="00B94B59">
              <w:t xml:space="preserve">es états C5 et C6 </w:t>
            </w:r>
            <w:r w:rsidR="00294A2D">
              <w:t>prévisionnels pour les trois prochains exercices</w:t>
            </w:r>
            <w:r w:rsidR="00BD4210">
              <w:t xml:space="preserve"> </w:t>
            </w:r>
            <w:r w:rsidR="00BD4210" w:rsidRPr="00BD4210">
              <w:t>en lieu et place des éléments</w:t>
            </w:r>
            <w:r w:rsidR="00DB419C">
              <w:t xml:space="preserve"> prévisionnels</w:t>
            </w:r>
            <w:r w:rsidR="00BD4210" w:rsidRPr="00BD4210">
              <w:t xml:space="preserve"> demandés au</w:t>
            </w:r>
            <w:r w:rsidR="000F33E3">
              <w:t>x</w:t>
            </w:r>
            <w:r w:rsidR="00BD4210" w:rsidRPr="00BD4210">
              <w:t xml:space="preserve"> point</w:t>
            </w:r>
            <w:r w:rsidR="00DB419C">
              <w:t>s</w:t>
            </w:r>
            <w:r w:rsidR="00BD4210" w:rsidRPr="00BD4210">
              <w:t xml:space="preserve"> 2</w:t>
            </w:r>
            <w:r w:rsidR="00DB419C">
              <w:t>)</w:t>
            </w:r>
            <w:r w:rsidR="00BD4210" w:rsidRPr="00BD4210">
              <w:t xml:space="preserve"> à </w:t>
            </w:r>
            <w:r w:rsidR="00DB419C">
              <w:t>5)</w:t>
            </w:r>
            <w:r w:rsidR="00EA15C4">
              <w:t xml:space="preserve">. </w:t>
            </w:r>
            <w:r w:rsidR="00DB419C">
              <w:t>Cet organisme n’est pas concerné par le point 7.</w:t>
            </w:r>
          </w:p>
          <w:p w14:paraId="46E70882" w14:textId="77777777" w:rsidR="00947392" w:rsidRDefault="00947392" w:rsidP="00947392">
            <w:pPr>
              <w:jc w:val="both"/>
            </w:pPr>
          </w:p>
          <w:p w14:paraId="39211B63" w14:textId="25309976" w:rsidR="00A21A04" w:rsidRPr="00A3044D" w:rsidRDefault="00947392" w:rsidP="00947392">
            <w:pPr>
              <w:jc w:val="both"/>
            </w:pPr>
            <w:r>
              <w:t>Si</w:t>
            </w:r>
            <w:r w:rsidR="00A21A04">
              <w:t xml:space="preserve"> l’organisme </w:t>
            </w:r>
            <w:r>
              <w:t xml:space="preserve">concerné </w:t>
            </w:r>
            <w:r w:rsidR="00A21A04">
              <w:t>ne relève pas de « </w:t>
            </w:r>
            <w:r w:rsidR="00B60BC7">
              <w:t>S</w:t>
            </w:r>
            <w:r w:rsidR="00A21A04">
              <w:t>olvabilité I</w:t>
            </w:r>
            <w:r w:rsidR="0001730D">
              <w:t>I</w:t>
            </w:r>
            <w:r w:rsidR="00A21A04">
              <w:t xml:space="preserve"> » avant l’opération, les éléments prudentiels attendus au titre des exercices clos sont les états C5 et C6. </w:t>
            </w:r>
          </w:p>
        </w:tc>
      </w:tr>
      <w:tr w:rsidR="00D57A1D" w14:paraId="1A3B3E39" w14:textId="77777777" w:rsidTr="00A3044D">
        <w:tc>
          <w:tcPr>
            <w:tcW w:w="1626" w:type="dxa"/>
          </w:tcPr>
          <w:p w14:paraId="7D923F80" w14:textId="05D25B53" w:rsidR="00D57A1D" w:rsidRDefault="00423A88" w:rsidP="00D57A1D">
            <w:r>
              <w:t xml:space="preserve">F </w:t>
            </w:r>
            <w:r w:rsidR="00766D3A">
              <w:t>-</w:t>
            </w:r>
            <w:r>
              <w:t xml:space="preserve"> Conséquences opérationnelles</w:t>
            </w:r>
          </w:p>
        </w:tc>
        <w:tc>
          <w:tcPr>
            <w:tcW w:w="7436" w:type="dxa"/>
          </w:tcPr>
          <w:p w14:paraId="1C6CE42C" w14:textId="7E3BB02E" w:rsidR="00227B65" w:rsidRDefault="00227B65" w:rsidP="00371FC5">
            <w:pPr>
              <w:pStyle w:val="Paragraphedeliste"/>
              <w:numPr>
                <w:ilvl w:val="0"/>
                <w:numId w:val="24"/>
              </w:numPr>
              <w:ind w:left="670" w:hanging="283"/>
              <w:jc w:val="both"/>
            </w:pPr>
            <w:r w:rsidRPr="009D046A">
              <w:rPr>
                <w:rFonts w:cstheme="minorHAnsi"/>
              </w:rPr>
              <w:t>Description des évolutions de la gouvernance à l’issue de l’opérations (assemblée générale</w:t>
            </w:r>
            <w:r w:rsidR="000137BE">
              <w:rPr>
                <w:rFonts w:cstheme="minorHAnsi"/>
              </w:rPr>
              <w:t xml:space="preserve">, </w:t>
            </w:r>
            <w:r w:rsidRPr="009D046A">
              <w:rPr>
                <w:rFonts w:cstheme="minorHAnsi"/>
              </w:rPr>
              <w:t>conseil d’administration ou de surveillance</w:t>
            </w:r>
            <w:r w:rsidR="000137BE">
              <w:rPr>
                <w:rFonts w:cstheme="minorHAnsi"/>
              </w:rPr>
              <w:t xml:space="preserve">, </w:t>
            </w:r>
            <w:r w:rsidRPr="009D046A">
              <w:rPr>
                <w:rFonts w:cstheme="minorHAnsi"/>
              </w:rPr>
              <w:t>dirigeants effectifs</w:t>
            </w:r>
            <w:r>
              <w:rPr>
                <w:rStyle w:val="Appelnotedebasdep"/>
                <w:rFonts w:cstheme="minorHAnsi"/>
              </w:rPr>
              <w:footnoteReference w:id="5"/>
            </w:r>
            <w:r w:rsidRPr="009D046A">
              <w:rPr>
                <w:rFonts w:cstheme="minorHAnsi"/>
              </w:rPr>
              <w:t> </w:t>
            </w:r>
            <w:r w:rsidR="000137BE">
              <w:rPr>
                <w:rFonts w:cstheme="minorHAnsi"/>
              </w:rPr>
              <w:t>,</w:t>
            </w:r>
            <w:r w:rsidRPr="009D046A">
              <w:rPr>
                <w:rFonts w:cstheme="minorHAnsi"/>
              </w:rPr>
              <w:t>responsables de fonctions clés</w:t>
            </w:r>
            <w:r>
              <w:rPr>
                <w:rStyle w:val="Appelnotedebasdep"/>
                <w:rFonts w:cstheme="minorHAnsi"/>
              </w:rPr>
              <w:footnoteReference w:id="6"/>
            </w:r>
            <w:r w:rsidRPr="009D046A">
              <w:rPr>
                <w:rFonts w:cstheme="minorHAnsi"/>
              </w:rPr>
              <w:t>)</w:t>
            </w:r>
            <w:r>
              <w:rPr>
                <w:rFonts w:cstheme="minorHAnsi"/>
              </w:rPr>
              <w:t>.</w:t>
            </w:r>
          </w:p>
          <w:p w14:paraId="6CFA8127" w14:textId="77777777" w:rsidR="00371FC5" w:rsidRDefault="00631CC1" w:rsidP="00371FC5">
            <w:pPr>
              <w:pStyle w:val="Paragraphedeliste"/>
              <w:numPr>
                <w:ilvl w:val="0"/>
                <w:numId w:val="24"/>
              </w:numPr>
              <w:ind w:left="670" w:hanging="283"/>
              <w:jc w:val="both"/>
            </w:pPr>
            <w:r>
              <w:t>Description des i</w:t>
            </w:r>
            <w:r w:rsidR="00423A88">
              <w:t xml:space="preserve">mpacts de l’opération </w:t>
            </w:r>
            <w:r w:rsidR="007E5884">
              <w:t xml:space="preserve">sur </w:t>
            </w:r>
            <w:r w:rsidR="00423A88">
              <w:t>les ressources humaines, les systèmes d’information</w:t>
            </w:r>
            <w:r w:rsidR="00A279B6">
              <w:t>.</w:t>
            </w:r>
          </w:p>
          <w:p w14:paraId="7AE6226B" w14:textId="77777777" w:rsidR="00371FC5" w:rsidRDefault="004C5FA4" w:rsidP="00371FC5">
            <w:pPr>
              <w:pStyle w:val="Paragraphedeliste"/>
              <w:numPr>
                <w:ilvl w:val="0"/>
                <w:numId w:val="24"/>
              </w:numPr>
              <w:ind w:left="670" w:hanging="283"/>
              <w:jc w:val="both"/>
            </w:pPr>
            <w:r>
              <w:t>Le changement éventuel de</w:t>
            </w:r>
            <w:r w:rsidR="007E5884">
              <w:t xml:space="preserve"> siège social</w:t>
            </w:r>
            <w:r w:rsidR="00631CC1">
              <w:t>.</w:t>
            </w:r>
          </w:p>
          <w:p w14:paraId="081BE501" w14:textId="77777777" w:rsidR="00371FC5" w:rsidRDefault="00631CC1" w:rsidP="00371FC5">
            <w:pPr>
              <w:pStyle w:val="Paragraphedeliste"/>
              <w:numPr>
                <w:ilvl w:val="0"/>
                <w:numId w:val="24"/>
              </w:numPr>
              <w:ind w:left="670" w:hanging="283"/>
              <w:jc w:val="both"/>
            </w:pPr>
            <w:r>
              <w:t xml:space="preserve">Description de l’évolution de la </w:t>
            </w:r>
            <w:r w:rsidRPr="00631CC1">
              <w:t>stratégie, conception des produits, gestion, distrib</w:t>
            </w:r>
            <w:r>
              <w:t>ution, pilotage technique.</w:t>
            </w:r>
          </w:p>
          <w:p w14:paraId="2C5DCB44" w14:textId="77777777" w:rsidR="00371FC5" w:rsidRDefault="00631CC1" w:rsidP="00371FC5">
            <w:pPr>
              <w:pStyle w:val="Paragraphedeliste"/>
              <w:numPr>
                <w:ilvl w:val="0"/>
                <w:numId w:val="24"/>
              </w:numPr>
              <w:ind w:left="670" w:hanging="283"/>
              <w:jc w:val="both"/>
            </w:pPr>
            <w:r>
              <w:t>Description de l’impact de l’opération sur le dispositif de lutte contre le blanchiment et le financement du terrorisme.</w:t>
            </w:r>
          </w:p>
          <w:p w14:paraId="1D0D1715" w14:textId="5ED855BB" w:rsidR="00620F33" w:rsidRDefault="00631CC1" w:rsidP="00371FC5">
            <w:pPr>
              <w:pStyle w:val="Paragraphedeliste"/>
              <w:numPr>
                <w:ilvl w:val="0"/>
                <w:numId w:val="24"/>
              </w:numPr>
              <w:ind w:left="670" w:hanging="283"/>
              <w:jc w:val="both"/>
            </w:pPr>
            <w:r>
              <w:t>Description de l’impact de l’opération sur les politiques écrites</w:t>
            </w:r>
            <w:r w:rsidR="00620F33">
              <w:t>.</w:t>
            </w:r>
          </w:p>
        </w:tc>
      </w:tr>
    </w:tbl>
    <w:p w14:paraId="2232D44C" w14:textId="77777777" w:rsidR="00766D3A" w:rsidRDefault="00766D3A" w:rsidP="00647B01">
      <w:pPr>
        <w:spacing w:after="0" w:line="240" w:lineRule="auto"/>
        <w:jc w:val="both"/>
      </w:pPr>
      <w:bookmarkStart w:id="1" w:name="_Hlk205548937"/>
    </w:p>
    <w:p w14:paraId="154EA460" w14:textId="2D7FFDA8" w:rsidR="00620F33" w:rsidRDefault="00620F33" w:rsidP="00D040A2">
      <w:pPr>
        <w:jc w:val="both"/>
      </w:pPr>
      <w:r>
        <w:lastRenderedPageBreak/>
        <w:t xml:space="preserve">LE DOSSIER EST À ADRESSER SOUS FORMAT ÉLECTRONIQUE À L’AUTORITÉ DE CONTRÔLE PRUDENTIEL ET DE RÉSOLUTION EN LE DÉPOSANT SUR LE PORTAIL EN LIGNE </w:t>
      </w:r>
      <w:r w:rsidR="008B12FC">
        <w:t>DE L</w:t>
      </w:r>
      <w:r w:rsidR="00D040A2">
        <w:t>’ACPR</w:t>
      </w:r>
      <w:r>
        <w:t xml:space="preserve"> À L’ADRESSE SUIVANTE : </w:t>
      </w:r>
      <w:hyperlink r:id="rId8" w:history="1">
        <w:r w:rsidRPr="009B45AF">
          <w:rPr>
            <w:rStyle w:val="Lienhypertexte"/>
          </w:rPr>
          <w:t>HTTPS://ACPR-AUTORISATIONS.BANQUE-FRANCE.FR/</w:t>
        </w:r>
      </w:hyperlink>
      <w:r>
        <w:t xml:space="preserve"> </w:t>
      </w:r>
    </w:p>
    <w:bookmarkEnd w:id="1"/>
    <w:p w14:paraId="75A281C1" w14:textId="77777777" w:rsidR="008B12FC" w:rsidRPr="008B12FC" w:rsidRDefault="008B12FC" w:rsidP="00734889">
      <w:pPr>
        <w:jc w:val="right"/>
      </w:pPr>
    </w:p>
    <w:sectPr w:rsidR="008B12FC" w:rsidRPr="008B12FC" w:rsidSect="0047584A">
      <w:headerReference w:type="even" r:id="rId9"/>
      <w:headerReference w:type="default" r:id="rId10"/>
      <w:headerReference w:type="first" r:id="rId11"/>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E527" w14:textId="77777777" w:rsidR="00B943C0" w:rsidRDefault="00B943C0" w:rsidP="008D31AB">
      <w:pPr>
        <w:spacing w:after="0" w:line="240" w:lineRule="auto"/>
      </w:pPr>
      <w:r>
        <w:separator/>
      </w:r>
    </w:p>
  </w:endnote>
  <w:endnote w:type="continuationSeparator" w:id="0">
    <w:p w14:paraId="38571E40" w14:textId="77777777" w:rsidR="00B943C0" w:rsidRDefault="00B943C0" w:rsidP="008D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EAFD" w14:textId="77777777" w:rsidR="00B943C0" w:rsidRDefault="00B943C0" w:rsidP="008D31AB">
      <w:pPr>
        <w:spacing w:after="0" w:line="240" w:lineRule="auto"/>
      </w:pPr>
      <w:r>
        <w:separator/>
      </w:r>
    </w:p>
  </w:footnote>
  <w:footnote w:type="continuationSeparator" w:id="0">
    <w:p w14:paraId="3EFBBDD2" w14:textId="77777777" w:rsidR="00B943C0" w:rsidRDefault="00B943C0" w:rsidP="008D31AB">
      <w:pPr>
        <w:spacing w:after="0" w:line="240" w:lineRule="auto"/>
      </w:pPr>
      <w:r>
        <w:continuationSeparator/>
      </w:r>
    </w:p>
  </w:footnote>
  <w:footnote w:id="1">
    <w:p w14:paraId="0C02DE0C" w14:textId="1B9B33EC" w:rsidR="007A175B" w:rsidRDefault="007A175B" w:rsidP="00371FC5">
      <w:pPr>
        <w:pStyle w:val="Notedebasdepage"/>
        <w:jc w:val="both"/>
      </w:pPr>
      <w:r>
        <w:rPr>
          <w:rStyle w:val="Appelnotedebasdep"/>
        </w:rPr>
        <w:footnoteRef/>
      </w:r>
      <w:r>
        <w:t xml:space="preserve"> M</w:t>
      </w:r>
      <w:r w:rsidRPr="007A175B">
        <w:t>entionnée aux articles R. 322-166 du Code des assurances, R. 115-6 du Code de la mutualité et R. 931-1-31 du Code de la Sécurité sociale</w:t>
      </w:r>
      <w:r>
        <w:t>.</w:t>
      </w:r>
    </w:p>
  </w:footnote>
  <w:footnote w:id="2">
    <w:p w14:paraId="465193D6" w14:textId="77777777" w:rsidR="00411326" w:rsidRDefault="00411326" w:rsidP="00371FC5">
      <w:pPr>
        <w:pStyle w:val="Notedebasdepage"/>
        <w:jc w:val="both"/>
      </w:pPr>
      <w:r>
        <w:rPr>
          <w:rStyle w:val="Appelnotedebasdep"/>
        </w:rPr>
        <w:footnoteRef/>
      </w:r>
      <w:r>
        <w:t xml:space="preserve"> P</w:t>
      </w:r>
      <w:r w:rsidRPr="0007380E">
        <w:t xml:space="preserve">révu à l’article L. 352-5 du </w:t>
      </w:r>
      <w:r>
        <w:t>C</w:t>
      </w:r>
      <w:r w:rsidRPr="0007380E">
        <w:t>ode des assurances</w:t>
      </w:r>
      <w:r>
        <w:t>.</w:t>
      </w:r>
    </w:p>
  </w:footnote>
  <w:footnote w:id="3">
    <w:p w14:paraId="42A16577" w14:textId="77777777" w:rsidR="00411326" w:rsidRDefault="00411326" w:rsidP="00371FC5">
      <w:pPr>
        <w:pStyle w:val="Notedebasdepage"/>
        <w:jc w:val="both"/>
      </w:pPr>
      <w:r>
        <w:rPr>
          <w:rStyle w:val="Appelnotedebasdep"/>
        </w:rPr>
        <w:footnoteRef/>
      </w:r>
      <w:r>
        <w:t xml:space="preserve"> P</w:t>
      </w:r>
      <w:r w:rsidRPr="0007380E">
        <w:t xml:space="preserve">révu à l’article L. 352-1 du </w:t>
      </w:r>
      <w:r>
        <w:t>C</w:t>
      </w:r>
      <w:r w:rsidRPr="0007380E">
        <w:t>ode des assurances</w:t>
      </w:r>
      <w:r>
        <w:t>.</w:t>
      </w:r>
    </w:p>
  </w:footnote>
  <w:footnote w:id="4">
    <w:p w14:paraId="3F547478" w14:textId="7C5C1D94" w:rsidR="00411326" w:rsidRDefault="00411326" w:rsidP="00371FC5">
      <w:pPr>
        <w:pStyle w:val="Notedebasdepage"/>
        <w:jc w:val="both"/>
      </w:pPr>
      <w:r>
        <w:rPr>
          <w:rStyle w:val="Appelnotedebasdep"/>
        </w:rPr>
        <w:footnoteRef/>
      </w:r>
      <w:r>
        <w:t xml:space="preserve"> M</w:t>
      </w:r>
      <w:r w:rsidRPr="0007380E">
        <w:t xml:space="preserve">entionnés aux articles L. 310-3-2 du </w:t>
      </w:r>
      <w:r w:rsidR="000A3A89">
        <w:t>C</w:t>
      </w:r>
      <w:r w:rsidRPr="0007380E">
        <w:t xml:space="preserve">ode des assurances, L. 211-11 du </w:t>
      </w:r>
      <w:r>
        <w:t>C</w:t>
      </w:r>
      <w:r w:rsidRPr="0007380E">
        <w:t xml:space="preserve">ode de la mutualité et L. 931-6-1 du </w:t>
      </w:r>
      <w:r>
        <w:t>C</w:t>
      </w:r>
      <w:r w:rsidRPr="0007380E">
        <w:t>ode de la Sécurité sociale</w:t>
      </w:r>
      <w:r>
        <w:t>.</w:t>
      </w:r>
    </w:p>
  </w:footnote>
  <w:footnote w:id="5">
    <w:p w14:paraId="2DF4C12A" w14:textId="77777777" w:rsidR="00227B65" w:rsidRPr="009D046A" w:rsidRDefault="00227B65" w:rsidP="00371FC5">
      <w:pPr>
        <w:pStyle w:val="Notedebasdepage"/>
        <w:jc w:val="both"/>
        <w:rPr>
          <w:rFonts w:cstheme="minorHAnsi"/>
        </w:rPr>
      </w:pPr>
      <w:r w:rsidRPr="009D046A">
        <w:rPr>
          <w:rStyle w:val="Appelnotedebasdep"/>
          <w:rFonts w:cstheme="minorHAnsi"/>
        </w:rPr>
        <w:footnoteRef/>
      </w:r>
      <w:r w:rsidRPr="009D046A">
        <w:rPr>
          <w:rFonts w:cstheme="minorHAnsi"/>
        </w:rPr>
        <w:t xml:space="preserve"> En cas de nouvelles nominations induites par l’opération, transmettre l’annexe 1 à l’instruction 2022-I-25, via le canal dédié.</w:t>
      </w:r>
    </w:p>
  </w:footnote>
  <w:footnote w:id="6">
    <w:p w14:paraId="21A32973" w14:textId="77777777" w:rsidR="00227B65" w:rsidRDefault="00227B65" w:rsidP="00371FC5">
      <w:pPr>
        <w:pStyle w:val="Notedebasdepage"/>
        <w:jc w:val="both"/>
      </w:pPr>
      <w:r w:rsidRPr="009D046A">
        <w:rPr>
          <w:rStyle w:val="Appelnotedebasdep"/>
          <w:rFonts w:cstheme="minorHAnsi"/>
        </w:rPr>
        <w:footnoteRef/>
      </w:r>
      <w:r w:rsidRPr="009D046A">
        <w:rPr>
          <w:rFonts w:cstheme="minorHAnsi"/>
        </w:rPr>
        <w:t xml:space="preserve"> En cas de nouvelles nominations induites par l’opération, transmettre l’annexe 2 à l’instruction 2022-I-25, via le canal dédié.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0ADF" w14:textId="7DA24015" w:rsidR="00FC21C7" w:rsidRDefault="00FC21C7">
    <w:pPr>
      <w:pStyle w:val="En-tte"/>
    </w:pPr>
    <w:r>
      <w:rPr>
        <w:noProof/>
      </w:rPr>
      <mc:AlternateContent>
        <mc:Choice Requires="wps">
          <w:drawing>
            <wp:anchor distT="0" distB="0" distL="0" distR="0" simplePos="0" relativeHeight="251659264" behindDoc="0" locked="0" layoutInCell="1" allowOverlap="1" wp14:anchorId="54816F1F" wp14:editId="33922770">
              <wp:simplePos x="635" y="635"/>
              <wp:positionH relativeFrom="page">
                <wp:align>right</wp:align>
              </wp:positionH>
              <wp:positionV relativeFrom="page">
                <wp:align>top</wp:align>
              </wp:positionV>
              <wp:extent cx="1019810" cy="357505"/>
              <wp:effectExtent l="0" t="0" r="0" b="4445"/>
              <wp:wrapNone/>
              <wp:docPr id="1588570210" name="Zone de texte 2"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57505"/>
                      </a:xfrm>
                      <a:prstGeom prst="rect">
                        <a:avLst/>
                      </a:prstGeom>
                      <a:noFill/>
                      <a:ln>
                        <a:noFill/>
                      </a:ln>
                    </wps:spPr>
                    <wps:txbx>
                      <w:txbxContent>
                        <w:p w14:paraId="060EE3CC" w14:textId="0445C68E" w:rsidR="00FC21C7" w:rsidRPr="00FC21C7" w:rsidRDefault="00FC21C7" w:rsidP="00FC21C7">
                          <w:pPr>
                            <w:spacing w:after="0"/>
                            <w:rPr>
                              <w:rFonts w:ascii="Calibri" w:eastAsia="Calibri" w:hAnsi="Calibri" w:cs="Calibri"/>
                              <w:noProof/>
                              <w:color w:val="000000"/>
                              <w:sz w:val="20"/>
                              <w:szCs w:val="20"/>
                            </w:rPr>
                          </w:pPr>
                          <w:r w:rsidRPr="00FC21C7">
                            <w:rPr>
                              <w:rFonts w:ascii="Calibri" w:eastAsia="Calibri" w:hAnsi="Calibri" w:cs="Calibri"/>
                              <w:noProof/>
                              <w:color w:val="000000"/>
                              <w:sz w:val="20"/>
                              <w:szCs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816F1F" id="_x0000_t202" coordsize="21600,21600" o:spt="202" path="m,l,21600r21600,l21600,xe">
              <v:stroke joinstyle="miter"/>
              <v:path gradientshapeok="t" o:connecttype="rect"/>
            </v:shapetype>
            <v:shape id="Zone de texte 2" o:spid="_x0000_s1026" type="#_x0000_t202" alt="ACPR-INTERNE" style="position:absolute;margin-left:29.1pt;margin-top:0;width:80.3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" filled="f" stroked="f">
              <v:textbox style="mso-fit-shape-to-text:t" inset="0,15pt,20pt,0">
                <w:txbxContent>
                  <w:p w14:paraId="060EE3CC" w14:textId="0445C68E" w:rsidR="00FC21C7" w:rsidRPr="00FC21C7" w:rsidRDefault="00FC21C7" w:rsidP="00FC21C7">
                    <w:pPr>
                      <w:spacing w:after="0"/>
                      <w:rPr>
                        <w:rFonts w:ascii="Calibri" w:eastAsia="Calibri" w:hAnsi="Calibri" w:cs="Calibri"/>
                        <w:noProof/>
                        <w:color w:val="000000"/>
                        <w:sz w:val="20"/>
                        <w:szCs w:val="20"/>
                      </w:rPr>
                    </w:pPr>
                    <w:r w:rsidRPr="00FC21C7">
                      <w:rPr>
                        <w:rFonts w:ascii="Calibri" w:eastAsia="Calibri" w:hAnsi="Calibri" w:cs="Calibri"/>
                        <w:noProof/>
                        <w:color w:val="000000"/>
                        <w:sz w:val="20"/>
                        <w:szCs w:val="20"/>
                      </w:rPr>
                      <w:t>ACPR-INTERNE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657927"/>
      <w:docPartObj>
        <w:docPartGallery w:val="Page Numbers (Top of Page)"/>
        <w:docPartUnique/>
      </w:docPartObj>
    </w:sdtPr>
    <w:sdtEndPr/>
    <w:sdtContent>
      <w:p w14:paraId="698F1756" w14:textId="260F3B6B" w:rsidR="00D037CF" w:rsidRDefault="00D037CF">
        <w:pPr>
          <w:pStyle w:val="En-tte"/>
          <w:jc w:val="right"/>
        </w:pPr>
        <w:r>
          <w:fldChar w:fldCharType="begin"/>
        </w:r>
        <w:r>
          <w:instrText>PAGE   \* MERGEFORMAT</w:instrText>
        </w:r>
        <w:r>
          <w:fldChar w:fldCharType="separate"/>
        </w:r>
        <w:r>
          <w:t>2</w:t>
        </w:r>
        <w:r>
          <w:fldChar w:fldCharType="end"/>
        </w:r>
      </w:p>
    </w:sdtContent>
  </w:sdt>
  <w:p w14:paraId="4A88B6AF" w14:textId="77777777" w:rsidR="00D037CF" w:rsidRDefault="00D037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4E0F" w14:textId="446DDA79" w:rsidR="00FC21C7" w:rsidRDefault="00FC21C7">
    <w:pPr>
      <w:pStyle w:val="En-tte"/>
    </w:pPr>
    <w:r>
      <w:rPr>
        <w:noProof/>
      </w:rPr>
      <mc:AlternateContent>
        <mc:Choice Requires="wps">
          <w:drawing>
            <wp:anchor distT="0" distB="0" distL="0" distR="0" simplePos="0" relativeHeight="251658240" behindDoc="0" locked="0" layoutInCell="1" allowOverlap="1" wp14:anchorId="4563276D" wp14:editId="77DD29FC">
              <wp:simplePos x="635" y="635"/>
              <wp:positionH relativeFrom="page">
                <wp:align>right</wp:align>
              </wp:positionH>
              <wp:positionV relativeFrom="page">
                <wp:align>top</wp:align>
              </wp:positionV>
              <wp:extent cx="1019810" cy="357505"/>
              <wp:effectExtent l="0" t="0" r="0" b="4445"/>
              <wp:wrapNone/>
              <wp:docPr id="1933986816" name="Zone de texte 1"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57505"/>
                      </a:xfrm>
                      <a:prstGeom prst="rect">
                        <a:avLst/>
                      </a:prstGeom>
                      <a:noFill/>
                      <a:ln>
                        <a:noFill/>
                      </a:ln>
                    </wps:spPr>
                    <wps:txbx>
                      <w:txbxContent>
                        <w:p w14:paraId="63B1DF59" w14:textId="39D243E1" w:rsidR="00FC21C7" w:rsidRPr="00FC21C7" w:rsidRDefault="00FC21C7" w:rsidP="00FC21C7">
                          <w:pPr>
                            <w:spacing w:after="0"/>
                            <w:rPr>
                              <w:rFonts w:ascii="Calibri" w:eastAsia="Calibri" w:hAnsi="Calibri" w:cs="Calibri"/>
                              <w:noProof/>
                              <w:color w:val="000000"/>
                              <w:sz w:val="20"/>
                              <w:szCs w:val="20"/>
                            </w:rPr>
                          </w:pPr>
                          <w:r w:rsidRPr="00FC21C7">
                            <w:rPr>
                              <w:rFonts w:ascii="Calibri" w:eastAsia="Calibri" w:hAnsi="Calibri" w:cs="Calibri"/>
                              <w:noProof/>
                              <w:color w:val="000000"/>
                              <w:sz w:val="20"/>
                              <w:szCs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63276D" id="_x0000_t202" coordsize="21600,21600" o:spt="202" path="m,l,21600r21600,l21600,xe">
              <v:stroke joinstyle="miter"/>
              <v:path gradientshapeok="t" o:connecttype="rect"/>
            </v:shapetype>
            <v:shape id="Zone de texte 1" o:spid="_x0000_s1027" type="#_x0000_t202" alt="ACPR-INTERNE" style="position:absolute;margin-left:29.1pt;margin-top:0;width:80.3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" filled="f" stroked="f">
              <v:textbox style="mso-fit-shape-to-text:t" inset="0,15pt,20pt,0">
                <w:txbxContent>
                  <w:p w14:paraId="63B1DF59" w14:textId="39D243E1" w:rsidR="00FC21C7" w:rsidRPr="00FC21C7" w:rsidRDefault="00FC21C7" w:rsidP="00FC21C7">
                    <w:pPr>
                      <w:spacing w:after="0"/>
                      <w:rPr>
                        <w:rFonts w:ascii="Calibri" w:eastAsia="Calibri" w:hAnsi="Calibri" w:cs="Calibri"/>
                        <w:noProof/>
                        <w:color w:val="000000"/>
                        <w:sz w:val="20"/>
                        <w:szCs w:val="20"/>
                      </w:rPr>
                    </w:pPr>
                    <w:r w:rsidRPr="00FC21C7">
                      <w:rPr>
                        <w:rFonts w:ascii="Calibri" w:eastAsia="Calibri" w:hAnsi="Calibri" w:cs="Calibri"/>
                        <w:noProof/>
                        <w:color w:val="000000"/>
                        <w:sz w:val="20"/>
                        <w:szCs w:val="20"/>
                      </w:rPr>
                      <w:t>ACPR-INTERNE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0B"/>
    <w:multiLevelType w:val="hybridMultilevel"/>
    <w:tmpl w:val="C220BA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14619"/>
    <w:multiLevelType w:val="hybridMultilevel"/>
    <w:tmpl w:val="E20A2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91608"/>
    <w:multiLevelType w:val="hybridMultilevel"/>
    <w:tmpl w:val="684E15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DE7C2A"/>
    <w:multiLevelType w:val="hybridMultilevel"/>
    <w:tmpl w:val="F0E05F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C43A90"/>
    <w:multiLevelType w:val="hybridMultilevel"/>
    <w:tmpl w:val="CC461A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F266E3"/>
    <w:multiLevelType w:val="hybridMultilevel"/>
    <w:tmpl w:val="CC461A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FE506A"/>
    <w:multiLevelType w:val="hybridMultilevel"/>
    <w:tmpl w:val="60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038F7"/>
    <w:multiLevelType w:val="hybridMultilevel"/>
    <w:tmpl w:val="2CCC0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F10AB"/>
    <w:multiLevelType w:val="hybridMultilevel"/>
    <w:tmpl w:val="D46811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7153FE"/>
    <w:multiLevelType w:val="hybridMultilevel"/>
    <w:tmpl w:val="D1FC35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BB0D4C"/>
    <w:multiLevelType w:val="hybridMultilevel"/>
    <w:tmpl w:val="0C22B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970917"/>
    <w:multiLevelType w:val="hybridMultilevel"/>
    <w:tmpl w:val="F468EA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9E4AEE"/>
    <w:multiLevelType w:val="hybridMultilevel"/>
    <w:tmpl w:val="C1E87DF2"/>
    <w:lvl w:ilvl="0" w:tplc="965267E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6119C1"/>
    <w:multiLevelType w:val="hybridMultilevel"/>
    <w:tmpl w:val="CC461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92EF7"/>
    <w:multiLevelType w:val="hybridMultilevel"/>
    <w:tmpl w:val="E312E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862D1C"/>
    <w:multiLevelType w:val="hybridMultilevel"/>
    <w:tmpl w:val="4A3EB5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0747BA"/>
    <w:multiLevelType w:val="hybridMultilevel"/>
    <w:tmpl w:val="D13C79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F74597"/>
    <w:multiLevelType w:val="hybridMultilevel"/>
    <w:tmpl w:val="E6ACF0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266C87"/>
    <w:multiLevelType w:val="hybridMultilevel"/>
    <w:tmpl w:val="D80279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9B3AFF"/>
    <w:multiLevelType w:val="hybridMultilevel"/>
    <w:tmpl w:val="0A3867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DF2FAE"/>
    <w:multiLevelType w:val="hybridMultilevel"/>
    <w:tmpl w:val="9B3CB972"/>
    <w:lvl w:ilvl="0" w:tplc="5E14C32A">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708277EA"/>
    <w:multiLevelType w:val="hybridMultilevel"/>
    <w:tmpl w:val="B84E06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5021F43"/>
    <w:multiLevelType w:val="hybridMultilevel"/>
    <w:tmpl w:val="11089C2E"/>
    <w:lvl w:ilvl="0" w:tplc="040C0005">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3" w15:restartNumberingAfterBreak="0">
    <w:nsid w:val="75E05650"/>
    <w:multiLevelType w:val="hybridMultilevel"/>
    <w:tmpl w:val="CC461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840681">
    <w:abstractNumId w:val="21"/>
  </w:num>
  <w:num w:numId="2" w16cid:durableId="1452437506">
    <w:abstractNumId w:val="18"/>
  </w:num>
  <w:num w:numId="3" w16cid:durableId="271786868">
    <w:abstractNumId w:val="0"/>
  </w:num>
  <w:num w:numId="4" w16cid:durableId="1950120987">
    <w:abstractNumId w:val="2"/>
  </w:num>
  <w:num w:numId="5" w16cid:durableId="1655530687">
    <w:abstractNumId w:val="4"/>
  </w:num>
  <w:num w:numId="6" w16cid:durableId="900288105">
    <w:abstractNumId w:val="12"/>
  </w:num>
  <w:num w:numId="7" w16cid:durableId="850026878">
    <w:abstractNumId w:val="10"/>
  </w:num>
  <w:num w:numId="8" w16cid:durableId="1717270026">
    <w:abstractNumId w:val="22"/>
  </w:num>
  <w:num w:numId="9" w16cid:durableId="459609498">
    <w:abstractNumId w:val="11"/>
  </w:num>
  <w:num w:numId="10" w16cid:durableId="1206482232">
    <w:abstractNumId w:val="7"/>
  </w:num>
  <w:num w:numId="11" w16cid:durableId="1729572339">
    <w:abstractNumId w:val="5"/>
  </w:num>
  <w:num w:numId="12" w16cid:durableId="1250582961">
    <w:abstractNumId w:val="8"/>
  </w:num>
  <w:num w:numId="13" w16cid:durableId="425268282">
    <w:abstractNumId w:val="15"/>
  </w:num>
  <w:num w:numId="14" w16cid:durableId="1427918473">
    <w:abstractNumId w:val="3"/>
  </w:num>
  <w:num w:numId="15" w16cid:durableId="2061441558">
    <w:abstractNumId w:val="16"/>
  </w:num>
  <w:num w:numId="16" w16cid:durableId="137113180">
    <w:abstractNumId w:val="9"/>
  </w:num>
  <w:num w:numId="17" w16cid:durableId="1584338663">
    <w:abstractNumId w:val="1"/>
  </w:num>
  <w:num w:numId="18" w16cid:durableId="1446540206">
    <w:abstractNumId w:val="14"/>
  </w:num>
  <w:num w:numId="19" w16cid:durableId="385839599">
    <w:abstractNumId w:val="19"/>
  </w:num>
  <w:num w:numId="20" w16cid:durableId="2104763610">
    <w:abstractNumId w:val="6"/>
  </w:num>
  <w:num w:numId="21" w16cid:durableId="765617583">
    <w:abstractNumId w:val="17"/>
  </w:num>
  <w:num w:numId="22" w16cid:durableId="614336899">
    <w:abstractNumId w:val="13"/>
  </w:num>
  <w:num w:numId="23" w16cid:durableId="127208990">
    <w:abstractNumId w:val="23"/>
  </w:num>
  <w:num w:numId="24" w16cid:durableId="6255527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1D"/>
    <w:rsid w:val="0000219F"/>
    <w:rsid w:val="00011DF4"/>
    <w:rsid w:val="000137BE"/>
    <w:rsid w:val="0001730D"/>
    <w:rsid w:val="000815B8"/>
    <w:rsid w:val="000A3A89"/>
    <w:rsid w:val="000B6F94"/>
    <w:rsid w:val="000C43D1"/>
    <w:rsid w:val="000F33E3"/>
    <w:rsid w:val="000F474B"/>
    <w:rsid w:val="0011023F"/>
    <w:rsid w:val="00123F74"/>
    <w:rsid w:val="00185097"/>
    <w:rsid w:val="00196625"/>
    <w:rsid w:val="001F164A"/>
    <w:rsid w:val="001F6D4B"/>
    <w:rsid w:val="00212EC1"/>
    <w:rsid w:val="00214A9D"/>
    <w:rsid w:val="00227B65"/>
    <w:rsid w:val="00240A22"/>
    <w:rsid w:val="002505B3"/>
    <w:rsid w:val="0026451B"/>
    <w:rsid w:val="00294A2D"/>
    <w:rsid w:val="00322F1D"/>
    <w:rsid w:val="0035418D"/>
    <w:rsid w:val="00354F8C"/>
    <w:rsid w:val="00371FC5"/>
    <w:rsid w:val="00383427"/>
    <w:rsid w:val="003E128D"/>
    <w:rsid w:val="0040481D"/>
    <w:rsid w:val="00407A53"/>
    <w:rsid w:val="00411326"/>
    <w:rsid w:val="00417F6D"/>
    <w:rsid w:val="00423A88"/>
    <w:rsid w:val="0047584A"/>
    <w:rsid w:val="00480D86"/>
    <w:rsid w:val="004853B0"/>
    <w:rsid w:val="004A7377"/>
    <w:rsid w:val="004C291F"/>
    <w:rsid w:val="004C5FA4"/>
    <w:rsid w:val="004F5F00"/>
    <w:rsid w:val="00506BAD"/>
    <w:rsid w:val="00564815"/>
    <w:rsid w:val="005913F4"/>
    <w:rsid w:val="005A142B"/>
    <w:rsid w:val="005A6159"/>
    <w:rsid w:val="005B697B"/>
    <w:rsid w:val="00615F02"/>
    <w:rsid w:val="00620F33"/>
    <w:rsid w:val="006211EE"/>
    <w:rsid w:val="00631CC1"/>
    <w:rsid w:val="00634D70"/>
    <w:rsid w:val="006409B4"/>
    <w:rsid w:val="00647B01"/>
    <w:rsid w:val="0066358E"/>
    <w:rsid w:val="006A6896"/>
    <w:rsid w:val="006C60BF"/>
    <w:rsid w:val="006F43B8"/>
    <w:rsid w:val="007266BE"/>
    <w:rsid w:val="00734889"/>
    <w:rsid w:val="00766D3A"/>
    <w:rsid w:val="007A175B"/>
    <w:rsid w:val="007B21F9"/>
    <w:rsid w:val="007E5884"/>
    <w:rsid w:val="008719A3"/>
    <w:rsid w:val="0088477B"/>
    <w:rsid w:val="008B12FC"/>
    <w:rsid w:val="008D31AB"/>
    <w:rsid w:val="008F1F24"/>
    <w:rsid w:val="00922DB8"/>
    <w:rsid w:val="009413C9"/>
    <w:rsid w:val="00947392"/>
    <w:rsid w:val="00967FC0"/>
    <w:rsid w:val="009859FD"/>
    <w:rsid w:val="009B080F"/>
    <w:rsid w:val="009C1205"/>
    <w:rsid w:val="009E4889"/>
    <w:rsid w:val="009E6DC9"/>
    <w:rsid w:val="009F799F"/>
    <w:rsid w:val="009F7A5F"/>
    <w:rsid w:val="00A15954"/>
    <w:rsid w:val="00A21A04"/>
    <w:rsid w:val="00A24621"/>
    <w:rsid w:val="00A279B6"/>
    <w:rsid w:val="00A3044D"/>
    <w:rsid w:val="00A407C4"/>
    <w:rsid w:val="00A440FA"/>
    <w:rsid w:val="00AA0378"/>
    <w:rsid w:val="00AE6296"/>
    <w:rsid w:val="00B06215"/>
    <w:rsid w:val="00B23075"/>
    <w:rsid w:val="00B3115B"/>
    <w:rsid w:val="00B60BC7"/>
    <w:rsid w:val="00B71FE0"/>
    <w:rsid w:val="00B7523C"/>
    <w:rsid w:val="00B85B3E"/>
    <w:rsid w:val="00B87EBE"/>
    <w:rsid w:val="00B921C0"/>
    <w:rsid w:val="00B943C0"/>
    <w:rsid w:val="00BD4210"/>
    <w:rsid w:val="00BE6766"/>
    <w:rsid w:val="00BF226F"/>
    <w:rsid w:val="00C03E11"/>
    <w:rsid w:val="00C30B47"/>
    <w:rsid w:val="00C3317A"/>
    <w:rsid w:val="00C52DF3"/>
    <w:rsid w:val="00C96874"/>
    <w:rsid w:val="00CA1BA6"/>
    <w:rsid w:val="00CB0C23"/>
    <w:rsid w:val="00CF463A"/>
    <w:rsid w:val="00D037CF"/>
    <w:rsid w:val="00D040A2"/>
    <w:rsid w:val="00D041FF"/>
    <w:rsid w:val="00D24AC5"/>
    <w:rsid w:val="00D57A1D"/>
    <w:rsid w:val="00D84951"/>
    <w:rsid w:val="00DB28BA"/>
    <w:rsid w:val="00DB419C"/>
    <w:rsid w:val="00DE6A74"/>
    <w:rsid w:val="00DF2AC4"/>
    <w:rsid w:val="00E707EA"/>
    <w:rsid w:val="00E81FD1"/>
    <w:rsid w:val="00E84F80"/>
    <w:rsid w:val="00E8547D"/>
    <w:rsid w:val="00EA0DC4"/>
    <w:rsid w:val="00EA15C4"/>
    <w:rsid w:val="00EC0057"/>
    <w:rsid w:val="00EE2CD9"/>
    <w:rsid w:val="00F1684A"/>
    <w:rsid w:val="00F1767C"/>
    <w:rsid w:val="00F32651"/>
    <w:rsid w:val="00F86484"/>
    <w:rsid w:val="00FA489A"/>
    <w:rsid w:val="00FA5E7C"/>
    <w:rsid w:val="00FC2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C6C2A"/>
  <w15:chartTrackingRefBased/>
  <w15:docId w15:val="{F6754F88-A461-4948-B267-604FA7D3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5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7A1D"/>
    <w:pPr>
      <w:ind w:left="720"/>
      <w:contextualSpacing/>
    </w:pPr>
  </w:style>
  <w:style w:type="character" w:styleId="Marquedecommentaire">
    <w:name w:val="annotation reference"/>
    <w:basedOn w:val="Policepardfaut"/>
    <w:uiPriority w:val="99"/>
    <w:semiHidden/>
    <w:unhideWhenUsed/>
    <w:rsid w:val="00D57A1D"/>
    <w:rPr>
      <w:sz w:val="16"/>
      <w:szCs w:val="16"/>
    </w:rPr>
  </w:style>
  <w:style w:type="paragraph" w:styleId="Commentaire">
    <w:name w:val="annotation text"/>
    <w:basedOn w:val="Normal"/>
    <w:link w:val="CommentaireCar"/>
    <w:uiPriority w:val="99"/>
    <w:unhideWhenUsed/>
    <w:rsid w:val="00D57A1D"/>
    <w:pPr>
      <w:spacing w:line="240" w:lineRule="auto"/>
    </w:pPr>
    <w:rPr>
      <w:sz w:val="20"/>
      <w:szCs w:val="20"/>
    </w:rPr>
  </w:style>
  <w:style w:type="character" w:customStyle="1" w:styleId="CommentaireCar">
    <w:name w:val="Commentaire Car"/>
    <w:basedOn w:val="Policepardfaut"/>
    <w:link w:val="Commentaire"/>
    <w:uiPriority w:val="99"/>
    <w:rsid w:val="00D57A1D"/>
    <w:rPr>
      <w:sz w:val="20"/>
      <w:szCs w:val="20"/>
    </w:rPr>
  </w:style>
  <w:style w:type="paragraph" w:styleId="Objetducommentaire">
    <w:name w:val="annotation subject"/>
    <w:basedOn w:val="Commentaire"/>
    <w:next w:val="Commentaire"/>
    <w:link w:val="ObjetducommentaireCar"/>
    <w:uiPriority w:val="99"/>
    <w:semiHidden/>
    <w:unhideWhenUsed/>
    <w:rsid w:val="00D57A1D"/>
    <w:rPr>
      <w:b/>
      <w:bCs/>
    </w:rPr>
  </w:style>
  <w:style w:type="character" w:customStyle="1" w:styleId="ObjetducommentaireCar">
    <w:name w:val="Objet du commentaire Car"/>
    <w:basedOn w:val="CommentaireCar"/>
    <w:link w:val="Objetducommentaire"/>
    <w:uiPriority w:val="99"/>
    <w:semiHidden/>
    <w:rsid w:val="00D57A1D"/>
    <w:rPr>
      <w:b/>
      <w:bCs/>
      <w:sz w:val="20"/>
      <w:szCs w:val="20"/>
    </w:rPr>
  </w:style>
  <w:style w:type="paragraph" w:styleId="Textedebulles">
    <w:name w:val="Balloon Text"/>
    <w:basedOn w:val="Normal"/>
    <w:link w:val="TextedebullesCar"/>
    <w:uiPriority w:val="99"/>
    <w:semiHidden/>
    <w:unhideWhenUsed/>
    <w:rsid w:val="00D57A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A1D"/>
    <w:rPr>
      <w:rFonts w:ascii="Segoe UI" w:hAnsi="Segoe UI" w:cs="Segoe UI"/>
      <w:sz w:val="18"/>
      <w:szCs w:val="18"/>
    </w:rPr>
  </w:style>
  <w:style w:type="paragraph" w:styleId="Notedebasdepage">
    <w:name w:val="footnote text"/>
    <w:basedOn w:val="Normal"/>
    <w:link w:val="NotedebasdepageCar"/>
    <w:uiPriority w:val="99"/>
    <w:semiHidden/>
    <w:unhideWhenUsed/>
    <w:rsid w:val="008D31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31AB"/>
    <w:rPr>
      <w:sz w:val="20"/>
      <w:szCs w:val="20"/>
    </w:rPr>
  </w:style>
  <w:style w:type="character" w:styleId="Appelnotedebasdep">
    <w:name w:val="footnote reference"/>
    <w:basedOn w:val="Policepardfaut"/>
    <w:uiPriority w:val="99"/>
    <w:semiHidden/>
    <w:unhideWhenUsed/>
    <w:rsid w:val="008D31AB"/>
    <w:rPr>
      <w:vertAlign w:val="superscript"/>
    </w:rPr>
  </w:style>
  <w:style w:type="paragraph" w:customStyle="1" w:styleId="Default">
    <w:name w:val="Default"/>
    <w:rsid w:val="00423A8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20F33"/>
    <w:rPr>
      <w:color w:val="0563C1" w:themeColor="hyperlink"/>
      <w:u w:val="single"/>
    </w:rPr>
  </w:style>
  <w:style w:type="paragraph" w:styleId="Rvision">
    <w:name w:val="Revision"/>
    <w:hidden/>
    <w:uiPriority w:val="99"/>
    <w:semiHidden/>
    <w:rsid w:val="00B85B3E"/>
    <w:pPr>
      <w:spacing w:after="0" w:line="240" w:lineRule="auto"/>
    </w:pPr>
  </w:style>
  <w:style w:type="paragraph" w:styleId="En-tte">
    <w:name w:val="header"/>
    <w:basedOn w:val="Normal"/>
    <w:link w:val="En-tteCar"/>
    <w:uiPriority w:val="99"/>
    <w:unhideWhenUsed/>
    <w:rsid w:val="00FC21C7"/>
    <w:pPr>
      <w:tabs>
        <w:tab w:val="center" w:pos="4536"/>
        <w:tab w:val="right" w:pos="9072"/>
      </w:tabs>
      <w:spacing w:after="0" w:line="240" w:lineRule="auto"/>
    </w:pPr>
  </w:style>
  <w:style w:type="character" w:customStyle="1" w:styleId="En-tteCar">
    <w:name w:val="En-tête Car"/>
    <w:basedOn w:val="Policepardfaut"/>
    <w:link w:val="En-tte"/>
    <w:uiPriority w:val="99"/>
    <w:rsid w:val="00FC21C7"/>
  </w:style>
  <w:style w:type="paragraph" w:styleId="Pieddepage">
    <w:name w:val="footer"/>
    <w:basedOn w:val="Normal"/>
    <w:link w:val="PieddepageCar"/>
    <w:uiPriority w:val="99"/>
    <w:unhideWhenUsed/>
    <w:rsid w:val="00766D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AUTORISATIONS.BANQUE-FRAN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BF705-7F15-4243-A211-A70B416B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888</Words>
  <Characters>4889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Jules (SGACPR DA)</dc:creator>
  <cp:keywords/>
  <dc:description/>
  <cp:lastModifiedBy>PALLUAULT Marie-Odile (SGACPR DAJ)</cp:lastModifiedBy>
  <cp:revision>9</cp:revision>
  <dcterms:created xsi:type="dcterms:W3CDTF">2025-09-03T18:55:00Z</dcterms:created>
  <dcterms:modified xsi:type="dcterms:W3CDTF">2025-10-24T10:43:00Z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73464c00,5eafa862,7950e17</vt:lpwstr>
  </property>
  <property fmtid="{D5CDD505-2E9C-101B-9397-08002B2CF9AE}" pid="3" name="ClassificationContentMarkingHeaderFontProps">
    <vt:lpwstr>#000000,10,Calibri</vt:lpwstr>
  </property>
  <property fmtid="{D5CDD505-2E9C-101B-9397-08002B2CF9AE}" pid="4" name="ClassificationContentMarkingHeaderText">
    <vt:lpwstr>ACPR-INTERNE</vt:lpwstr>
  </property>
  <property fmtid="{D5CDD505-2E9C-101B-9397-08002B2CF9AE}" pid="5" name="MSIP_Label_92ca6c65-af8f-4f76-b012-8192e87959fa_Enabled">
    <vt:lpwstr>true</vt:lpwstr>
  </property>
  <property fmtid="{D5CDD505-2E9C-101B-9397-08002B2CF9AE}" pid="6" name="MSIP_Label_92ca6c65-af8f-4f76-b012-8192e87959fa_SetDate">
    <vt:lpwstr>2025-07-15T15:00:28Z</vt:lpwstr>
  </property>
  <property fmtid="{D5CDD505-2E9C-101B-9397-08002B2CF9AE}" pid="7" name="MSIP_Label_92ca6c65-af8f-4f76-b012-8192e87959fa_Method">
    <vt:lpwstr>Privileged</vt:lpwstr>
  </property>
  <property fmtid="{D5CDD505-2E9C-101B-9397-08002B2CF9AE}" pid="8" name="MSIP_Label_92ca6c65-af8f-4f76-b012-8192e87959fa_Name">
    <vt:lpwstr>ACPR-Interne</vt:lpwstr>
  </property>
  <property fmtid="{D5CDD505-2E9C-101B-9397-08002B2CF9AE}" pid="9" name="MSIP_Label_92ca6c65-af8f-4f76-b012-8192e87959fa_SiteId">
    <vt:lpwstr>e6599448-62a0-418e-8930-d00d8d5682c2</vt:lpwstr>
  </property>
  <property fmtid="{D5CDD505-2E9C-101B-9397-08002B2CF9AE}" pid="10" name="MSIP_Label_92ca6c65-af8f-4f76-b012-8192e87959fa_ActionId">
    <vt:lpwstr>185725fa-5ae0-44fa-93e2-e432833dbb9f</vt:lpwstr>
  </property>
  <property fmtid="{D5CDD505-2E9C-101B-9397-08002B2CF9AE}" pid="11" name="MSIP_Label_92ca6c65-af8f-4f76-b012-8192e87959fa_ContentBits">
    <vt:lpwstr>1</vt:lpwstr>
  </property>
</Properties>
</file>