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3343" w14:textId="5995B26D" w:rsidR="009B0C82" w:rsidRDefault="009B0C82" w:rsidP="00A03333">
      <w:pPr>
        <w:spacing w:after="0" w:line="240" w:lineRule="auto"/>
        <w:jc w:val="right"/>
        <w:rPr>
          <w:b/>
          <w:sz w:val="24"/>
          <w:szCs w:val="24"/>
        </w:rPr>
      </w:pPr>
      <w:r w:rsidRPr="00E12420">
        <w:rPr>
          <w:b/>
          <w:sz w:val="24"/>
          <w:szCs w:val="24"/>
        </w:rPr>
        <w:t xml:space="preserve">Annexe </w:t>
      </w:r>
      <w:r w:rsidR="00A03333">
        <w:rPr>
          <w:b/>
          <w:sz w:val="24"/>
          <w:szCs w:val="24"/>
        </w:rPr>
        <w:t>à l’i</w:t>
      </w:r>
      <w:r w:rsidRPr="00E12420">
        <w:rPr>
          <w:b/>
          <w:sz w:val="24"/>
          <w:szCs w:val="24"/>
        </w:rPr>
        <w:t>nstruction n°</w:t>
      </w:r>
      <w:r w:rsidR="00996052" w:rsidRPr="00E12420">
        <w:rPr>
          <w:b/>
          <w:sz w:val="24"/>
          <w:szCs w:val="24"/>
        </w:rPr>
        <w:t xml:space="preserve"> </w:t>
      </w:r>
      <w:r w:rsidRPr="00E12420">
        <w:rPr>
          <w:b/>
          <w:sz w:val="24"/>
          <w:szCs w:val="24"/>
        </w:rPr>
        <w:t>2025-I-17</w:t>
      </w:r>
    </w:p>
    <w:p w14:paraId="1551FE75" w14:textId="77777777" w:rsidR="00A03333" w:rsidRPr="009B0C82" w:rsidRDefault="00A03333" w:rsidP="00A03333">
      <w:pPr>
        <w:spacing w:after="0" w:line="240" w:lineRule="auto"/>
        <w:jc w:val="right"/>
        <w:rPr>
          <w:b/>
          <w:sz w:val="24"/>
          <w:szCs w:val="24"/>
        </w:rPr>
      </w:pPr>
    </w:p>
    <w:p w14:paraId="3F1B1A74" w14:textId="4A57B3EC" w:rsidR="00D57A1D" w:rsidRDefault="00D57A1D" w:rsidP="00A0333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157D2">
        <w:rPr>
          <w:b/>
          <w:sz w:val="24"/>
          <w:szCs w:val="24"/>
          <w:u w:val="single"/>
        </w:rPr>
        <w:t>DEMANDE D’APPROBATION DE TRANSFERT DE PORTEFEUILLES</w:t>
      </w:r>
    </w:p>
    <w:p w14:paraId="751C16AE" w14:textId="77777777" w:rsidR="00A03333" w:rsidRPr="007157D2" w:rsidRDefault="00A03333" w:rsidP="00A03333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6131B34B" w14:textId="46C6E347" w:rsidR="00490768" w:rsidRDefault="00D57A1D" w:rsidP="00D57A1D">
      <w:pPr>
        <w:rPr>
          <w:b/>
        </w:rPr>
      </w:pPr>
      <w:bookmarkStart w:id="0" w:name="_Hlk205548876"/>
      <w:r w:rsidRPr="00D57A1D">
        <w:rPr>
          <w:b/>
        </w:rPr>
        <w:t>DOCUMENTS OU INFORMATIONS A PRODUIRE POUR L’EXAMEN DES DOSSIERS</w:t>
      </w:r>
      <w:bookmarkEnd w:id="0"/>
    </w:p>
    <w:p w14:paraId="7E3FD8CA" w14:textId="77777777" w:rsidR="00A9519E" w:rsidRDefault="00A9519E" w:rsidP="00B85B3E">
      <w:pPr>
        <w:jc w:val="both"/>
        <w:rPr>
          <w:b/>
          <w:i/>
          <w:iCs/>
        </w:rPr>
      </w:pPr>
      <w:bookmarkStart w:id="1" w:name="_Hlk207793483"/>
      <w:bookmarkStart w:id="2" w:name="_Hlk205547328"/>
      <w:r w:rsidRPr="00A9519E">
        <w:rPr>
          <w:b/>
          <w:i/>
          <w:iCs/>
        </w:rPr>
        <w:t>Liste non limitative qui peut être complétée en fonction des particularités de l’opération</w:t>
      </w:r>
      <w:bookmarkEnd w:id="1"/>
    </w:p>
    <w:p w14:paraId="09087685" w14:textId="0301FC7C" w:rsidR="00A407C4" w:rsidRDefault="00A407C4" w:rsidP="00B85B3E">
      <w:pPr>
        <w:jc w:val="both"/>
      </w:pPr>
      <w:r>
        <w:t xml:space="preserve">En l’absence de mention </w:t>
      </w:r>
      <w:r w:rsidR="00B85B3E">
        <w:t>explicite</w:t>
      </w:r>
      <w:r>
        <w:t xml:space="preserve">, les documents listés </w:t>
      </w:r>
      <w:r w:rsidR="00B85B3E">
        <w:t xml:space="preserve">ci-après </w:t>
      </w:r>
      <w:r>
        <w:t>sont attendus de la part de l’</w:t>
      </w:r>
      <w:r w:rsidR="00423A88">
        <w:t>ensemble des entités concernées.</w:t>
      </w:r>
    </w:p>
    <w:p w14:paraId="5C6DBB26" w14:textId="26B50EDA" w:rsidR="006E4C34" w:rsidRDefault="006E4C34" w:rsidP="00B85B3E">
      <w:pPr>
        <w:jc w:val="both"/>
      </w:pPr>
      <w:r w:rsidRPr="006E4C34">
        <w:t xml:space="preserve">Les fichiers transmis doivent être au format PDF et permettre l’utilisation de la fonctionnalité « </w:t>
      </w:r>
      <w:proofErr w:type="spellStart"/>
      <w:r w:rsidRPr="006E4C34">
        <w:t>Ctrl+F</w:t>
      </w:r>
      <w:proofErr w:type="spellEnd"/>
      <w:r w:rsidRPr="006E4C34">
        <w:t xml:space="preserve"> ». Les fichiers de données doivent, quant à eux, être transmis au format XLSX</w:t>
      </w:r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6"/>
        <w:gridCol w:w="7436"/>
      </w:tblGrid>
      <w:tr w:rsidR="00D57A1D" w14:paraId="47E2BB10" w14:textId="77777777" w:rsidTr="00A03333">
        <w:tc>
          <w:tcPr>
            <w:tcW w:w="1626" w:type="dxa"/>
          </w:tcPr>
          <w:bookmarkEnd w:id="2"/>
          <w:p w14:paraId="24B77D06" w14:textId="77777777" w:rsidR="00D57A1D" w:rsidRDefault="00D57A1D" w:rsidP="00D57A1D">
            <w:r>
              <w:t>A – Identité</w:t>
            </w:r>
          </w:p>
        </w:tc>
        <w:tc>
          <w:tcPr>
            <w:tcW w:w="7436" w:type="dxa"/>
          </w:tcPr>
          <w:p w14:paraId="2E440534" w14:textId="4EE11D0F" w:rsidR="00D57A1D" w:rsidRDefault="00D57A1D" w:rsidP="00FC21C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Dénomination sociale ; SIREN et LEI</w:t>
            </w:r>
            <w:r w:rsidR="003C48BA">
              <w:t>.</w:t>
            </w:r>
          </w:p>
          <w:p w14:paraId="0288744F" w14:textId="2D24B9F8" w:rsidR="00D57A1D" w:rsidRDefault="00D57A1D" w:rsidP="00FC21C7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Branches d’agrément</w:t>
            </w:r>
            <w:r w:rsidR="003C48BA">
              <w:t>.</w:t>
            </w:r>
          </w:p>
        </w:tc>
      </w:tr>
      <w:tr w:rsidR="00D57A1D" w14:paraId="4B1A4C56" w14:textId="77777777" w:rsidTr="00A03333">
        <w:tc>
          <w:tcPr>
            <w:tcW w:w="1626" w:type="dxa"/>
          </w:tcPr>
          <w:p w14:paraId="602F2FC7" w14:textId="77777777" w:rsidR="00D57A1D" w:rsidRDefault="00D57A1D" w:rsidP="00D57A1D">
            <w:r>
              <w:t>B – Motivations</w:t>
            </w:r>
          </w:p>
        </w:tc>
        <w:tc>
          <w:tcPr>
            <w:tcW w:w="7436" w:type="dxa"/>
          </w:tcPr>
          <w:p w14:paraId="0D48C368" w14:textId="67EBC961" w:rsidR="00D57A1D" w:rsidRDefault="00D57A1D" w:rsidP="00FC21C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Présentation des entités concernées en précisant notamment, leur date de création, leur nombre d’adhérents ou d’assurés et de personnes bénéficiaires, leurs particularités et leurs événements récents</w:t>
            </w:r>
            <w:r w:rsidR="003C48BA">
              <w:t>.</w:t>
            </w:r>
          </w:p>
          <w:p w14:paraId="3B7D25A7" w14:textId="74FF19AF" w:rsidR="00D57A1D" w:rsidRDefault="00D57A1D" w:rsidP="00FC21C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Présentation des motivations de l’opération</w:t>
            </w:r>
            <w:r w:rsidR="003C48BA">
              <w:t>.</w:t>
            </w:r>
          </w:p>
        </w:tc>
      </w:tr>
      <w:tr w:rsidR="00D57A1D" w14:paraId="682BE179" w14:textId="77777777" w:rsidTr="00A03333">
        <w:tc>
          <w:tcPr>
            <w:tcW w:w="1626" w:type="dxa"/>
          </w:tcPr>
          <w:p w14:paraId="4AEF62D2" w14:textId="5C510714" w:rsidR="00D57A1D" w:rsidRDefault="00D57A1D" w:rsidP="00D57A1D">
            <w:r>
              <w:t>C – Éléments juridiques</w:t>
            </w:r>
          </w:p>
        </w:tc>
        <w:tc>
          <w:tcPr>
            <w:tcW w:w="7436" w:type="dxa"/>
          </w:tcPr>
          <w:p w14:paraId="5CAEFB7D" w14:textId="06E90F14" w:rsidR="00D57A1D" w:rsidRDefault="00D57A1D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La demande d’approbation du transfert </w:t>
            </w:r>
            <w:r w:rsidR="00EC0057">
              <w:t>signé</w:t>
            </w:r>
            <w:r w:rsidR="00FC21C7">
              <w:t>e</w:t>
            </w:r>
            <w:r w:rsidR="00EC0057">
              <w:t xml:space="preserve"> par l’organ</w:t>
            </w:r>
            <w:r w:rsidR="00FC21C7">
              <w:t>e</w:t>
            </w:r>
            <w:r w:rsidR="00EC0057">
              <w:t xml:space="preserve"> habilité</w:t>
            </w:r>
            <w:r w:rsidR="003C48BA">
              <w:t>.</w:t>
            </w:r>
          </w:p>
          <w:p w14:paraId="3FF2C526" w14:textId="7989506C" w:rsidR="00EC0057" w:rsidRDefault="00EC0057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Le procès-verbal de l’organe délibérant compétent</w:t>
            </w:r>
            <w:r w:rsidR="003C48BA">
              <w:t>.</w:t>
            </w:r>
          </w:p>
          <w:p w14:paraId="5F821B5E" w14:textId="23DF3732" w:rsidR="00EC0057" w:rsidRDefault="00EC0057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La copie des derniers statuts en vigueur, datés et signés</w:t>
            </w:r>
            <w:r w:rsidR="003C48BA">
              <w:t>.</w:t>
            </w:r>
          </w:p>
          <w:p w14:paraId="1D60D9D0" w14:textId="45554BA9" w:rsidR="00EC0057" w:rsidRDefault="00EC0057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Pour les entités concernées régies par le Code de la mutualité, l</w:t>
            </w:r>
            <w:r w:rsidR="00FC21C7">
              <w:t>e</w:t>
            </w:r>
            <w:r>
              <w:t xml:space="preserve"> règlement </w:t>
            </w:r>
            <w:r w:rsidR="00FC21C7">
              <w:t xml:space="preserve">mutualiste </w:t>
            </w:r>
            <w:r>
              <w:t>en vigueur</w:t>
            </w:r>
            <w:r w:rsidR="003C48BA">
              <w:t>.</w:t>
            </w:r>
          </w:p>
          <w:p w14:paraId="2790D349" w14:textId="74446BB5" w:rsidR="00EC0057" w:rsidRDefault="00EC0057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Pour les entités concernées régies par le Code de la mutualité, la liste des mutuelles substituées et, le cas échéant, les conventions de substitution afférentes</w:t>
            </w:r>
            <w:r w:rsidR="003C48BA">
              <w:t>.</w:t>
            </w:r>
          </w:p>
          <w:p w14:paraId="7A065F5F" w14:textId="4E0F26B2" w:rsidR="00EC0057" w:rsidRDefault="00EC0057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La copie de l’avis du comité social et économique, s’il y a lieu</w:t>
            </w:r>
            <w:r w:rsidR="003C48BA">
              <w:t>.</w:t>
            </w:r>
          </w:p>
          <w:p w14:paraId="6185C721" w14:textId="744709E5" w:rsidR="00354F8C" w:rsidRDefault="00354F8C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La convention de transfert ou traité de fusion ou de scission</w:t>
            </w:r>
            <w:r w:rsidR="003C48BA">
              <w:t>.</w:t>
            </w:r>
          </w:p>
          <w:p w14:paraId="6435347F" w14:textId="36208C90" w:rsidR="00354F8C" w:rsidRDefault="00354F8C" w:rsidP="00FC21C7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Le rapport du commissaire à la fusion ou à la scission ou aux apports</w:t>
            </w:r>
            <w:r w:rsidR="003C48BA">
              <w:t>.</w:t>
            </w:r>
          </w:p>
        </w:tc>
      </w:tr>
      <w:tr w:rsidR="00D57A1D" w14:paraId="6E95F66B" w14:textId="77777777" w:rsidTr="00A03333">
        <w:tc>
          <w:tcPr>
            <w:tcW w:w="1626" w:type="dxa"/>
          </w:tcPr>
          <w:p w14:paraId="7675CA07" w14:textId="77777777" w:rsidR="00D57A1D" w:rsidRDefault="00354F8C" w:rsidP="00D57A1D">
            <w:r>
              <w:t>D - Éléments comptables</w:t>
            </w:r>
          </w:p>
        </w:tc>
        <w:tc>
          <w:tcPr>
            <w:tcW w:w="7436" w:type="dxa"/>
          </w:tcPr>
          <w:p w14:paraId="1FD45E0A" w14:textId="02EF2F87" w:rsidR="00D57A1D" w:rsidRDefault="00354F8C" w:rsidP="00AB0295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354F8C">
              <w:t>Le projet de bilan de transfert au 31 décembre de l’</w:t>
            </w:r>
            <w:r w:rsidR="0026451B">
              <w:t>année N-1</w:t>
            </w:r>
            <w:r w:rsidR="003C48BA">
              <w:t>.</w:t>
            </w:r>
          </w:p>
          <w:p w14:paraId="312863E6" w14:textId="7701C6F4" w:rsidR="00354F8C" w:rsidRDefault="00354F8C" w:rsidP="00AB0295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Pour les transferts partiels, valeur de cession et justification des éventuels écarts d’acquisition</w:t>
            </w:r>
            <w:r w:rsidR="003C48BA">
              <w:t>.</w:t>
            </w:r>
          </w:p>
          <w:p w14:paraId="758D4638" w14:textId="2D129514" w:rsidR="000B6F94" w:rsidRDefault="000B6F94" w:rsidP="00AB0295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0B6F94">
              <w:t>Bilans, comptes de résultat du dernier exercice clos sur la base duquel est</w:t>
            </w:r>
            <w:r>
              <w:t xml:space="preserve"> opéré le transfert</w:t>
            </w:r>
            <w:r w:rsidR="003C48BA">
              <w:t>.</w:t>
            </w:r>
          </w:p>
          <w:p w14:paraId="3AA07E82" w14:textId="117FE240" w:rsidR="000B6F94" w:rsidRDefault="0026451B" w:rsidP="00AB0295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B</w:t>
            </w:r>
            <w:r w:rsidR="000B6F94">
              <w:t>ilan et le compte de résultat au lendemain de la réalisation de l’opération</w:t>
            </w:r>
            <w:r w:rsidR="00B267DA">
              <w:t xml:space="preserve">, </w:t>
            </w:r>
            <w:r w:rsidR="00B267DA" w:rsidRPr="00B267DA">
              <w:t>à la fois pour la cessionnaire et pour la cédante</w:t>
            </w:r>
            <w:r w:rsidR="000B6F94">
              <w:t>.</w:t>
            </w:r>
          </w:p>
          <w:p w14:paraId="47CBC01D" w14:textId="5E436C1A" w:rsidR="00AB0295" w:rsidRDefault="00AB0295" w:rsidP="00AB0295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t>Si l’opération a un impact majeur sur l’activité de la cédante ou de la cessionnaire,</w:t>
            </w:r>
            <w:r w:rsidRPr="00620F33">
              <w:t xml:space="preserve"> </w:t>
            </w:r>
            <w:r>
              <w:t>le</w:t>
            </w:r>
            <w:r w:rsidRPr="00620F33">
              <w:t xml:space="preserve">s comptes de résultats et bilans prévisionnels ainsi que le détail des hypothèses retenues (principes de tarification, nature des produits, sinistralité, évolution des frais généraux, rendement des placements) </w:t>
            </w:r>
            <w:r>
              <w:t>pour les trois premiers exercices.</w:t>
            </w:r>
          </w:p>
        </w:tc>
      </w:tr>
    </w:tbl>
    <w:p w14:paraId="5EA10CB7" w14:textId="77777777" w:rsidR="00A03333" w:rsidRDefault="00A0333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6"/>
        <w:gridCol w:w="7436"/>
      </w:tblGrid>
      <w:tr w:rsidR="00D57A1D" w14:paraId="4624670D" w14:textId="77777777" w:rsidTr="00A03333">
        <w:tc>
          <w:tcPr>
            <w:tcW w:w="1626" w:type="dxa"/>
          </w:tcPr>
          <w:p w14:paraId="0A1B5791" w14:textId="47F6B596" w:rsidR="00D57A1D" w:rsidRDefault="000B6F94" w:rsidP="00D57A1D">
            <w:r>
              <w:lastRenderedPageBreak/>
              <w:t>E – Éléments prudentiels</w:t>
            </w:r>
          </w:p>
        </w:tc>
        <w:tc>
          <w:tcPr>
            <w:tcW w:w="7436" w:type="dxa"/>
          </w:tcPr>
          <w:p w14:paraId="55FB1058" w14:textId="7E72E74B" w:rsidR="00D57A1D" w:rsidRDefault="008D31AB" w:rsidP="00A03333">
            <w:pPr>
              <w:pStyle w:val="Paragraphedeliste"/>
              <w:numPr>
                <w:ilvl w:val="0"/>
                <w:numId w:val="5"/>
              </w:numPr>
              <w:ind w:left="529"/>
              <w:jc w:val="both"/>
            </w:pPr>
            <w:r w:rsidRPr="008D31AB">
              <w:t>Un éta</w:t>
            </w:r>
            <w:r>
              <w:t>t récapitulatif des placements</w:t>
            </w:r>
            <w:r>
              <w:rPr>
                <w:rStyle w:val="Appelnotedebasdep"/>
              </w:rPr>
              <w:footnoteReference w:id="1"/>
            </w:r>
            <w:r w:rsidR="003C48BA">
              <w:t>.</w:t>
            </w:r>
          </w:p>
          <w:p w14:paraId="1BAEE26D" w14:textId="36A954BC" w:rsidR="008D31AB" w:rsidRDefault="008D31AB" w:rsidP="00A03333">
            <w:pPr>
              <w:pStyle w:val="Paragraphedeliste"/>
              <w:numPr>
                <w:ilvl w:val="0"/>
                <w:numId w:val="5"/>
              </w:numPr>
              <w:ind w:left="529"/>
              <w:jc w:val="both"/>
            </w:pPr>
            <w:r w:rsidRPr="008D31AB">
              <w:t xml:space="preserve">Pour les </w:t>
            </w:r>
            <w:r>
              <w:t xml:space="preserve">entités concernées </w:t>
            </w:r>
            <w:r w:rsidRPr="008D31AB">
              <w:t>relevan</w:t>
            </w:r>
            <w:r w:rsidR="00A407C4">
              <w:t>t du régime « Solvabilité II »</w:t>
            </w:r>
            <w:r w:rsidR="00161F09">
              <w:rPr>
                <w:rStyle w:val="Appelnotedebasdep"/>
              </w:rPr>
              <w:footnoteReference w:id="2"/>
            </w:r>
            <w:r w:rsidR="00A407C4">
              <w:t xml:space="preserve"> : </w:t>
            </w:r>
            <w:r w:rsidR="00161F09">
              <w:t>le résumé des actifs (QRT S.06.01.01) ; la liste des actifs (QRT S.06.02.01) ; la liste des actifs en transparence des OPCVM (QRT S.06.03.01)</w:t>
            </w:r>
            <w:r>
              <w:rPr>
                <w:rStyle w:val="Appelnotedebasdep"/>
              </w:rPr>
              <w:footnoteReference w:id="3"/>
            </w:r>
            <w:r w:rsidR="00161F09">
              <w:t>.</w:t>
            </w:r>
          </w:p>
          <w:p w14:paraId="08797707" w14:textId="5E743656" w:rsidR="00AB0295" w:rsidRDefault="00A407C4" w:rsidP="00A03333">
            <w:pPr>
              <w:pStyle w:val="Paragraphedeliste"/>
              <w:numPr>
                <w:ilvl w:val="0"/>
                <w:numId w:val="5"/>
              </w:numPr>
              <w:ind w:left="529"/>
              <w:jc w:val="both"/>
            </w:pPr>
            <w:r>
              <w:t xml:space="preserve">Pour les </w:t>
            </w:r>
            <w:r w:rsidR="0026451B">
              <w:t xml:space="preserve">entités concernées </w:t>
            </w:r>
            <w:r>
              <w:t xml:space="preserve">ne relevant pas du régime dit « Solvabilité </w:t>
            </w:r>
            <w:proofErr w:type="gramStart"/>
            <w:r>
              <w:t>II»</w:t>
            </w:r>
            <w:proofErr w:type="gramEnd"/>
            <w:r w:rsidR="00161F09">
              <w:rPr>
                <w:rStyle w:val="Appelnotedebasdep"/>
              </w:rPr>
              <w:footnoteReference w:id="4"/>
            </w:r>
            <w:r w:rsidR="00161F09">
              <w:t> :</w:t>
            </w:r>
            <w:r>
              <w:t xml:space="preserve"> </w:t>
            </w:r>
          </w:p>
          <w:p w14:paraId="02BF7A06" w14:textId="5FC9A65F" w:rsidR="00A63D51" w:rsidRDefault="00AB0295" w:rsidP="00A03333">
            <w:pPr>
              <w:pStyle w:val="Paragraphedeliste"/>
              <w:numPr>
                <w:ilvl w:val="0"/>
                <w:numId w:val="23"/>
              </w:numPr>
              <w:ind w:left="813" w:hanging="283"/>
              <w:jc w:val="both"/>
            </w:pPr>
            <w:proofErr w:type="gramStart"/>
            <w:r>
              <w:t>les</w:t>
            </w:r>
            <w:proofErr w:type="gramEnd"/>
            <w:r>
              <w:t xml:space="preserve"> </w:t>
            </w:r>
            <w:r w:rsidR="00A407C4">
              <w:t>états C5 et C6 avant et après transfert</w:t>
            </w:r>
            <w:r>
              <w:t> ;</w:t>
            </w:r>
          </w:p>
          <w:p w14:paraId="485BD66E" w14:textId="5D027CF0" w:rsidR="00B267DA" w:rsidRDefault="00AB0295" w:rsidP="00A03333">
            <w:pPr>
              <w:pStyle w:val="Paragraphedeliste"/>
              <w:numPr>
                <w:ilvl w:val="0"/>
                <w:numId w:val="23"/>
              </w:numPr>
              <w:ind w:left="813" w:hanging="283"/>
              <w:jc w:val="both"/>
            </w:pPr>
            <w:proofErr w:type="gramStart"/>
            <w:r>
              <w:t>si</w:t>
            </w:r>
            <w:proofErr w:type="gramEnd"/>
            <w:r>
              <w:t xml:space="preserve"> l’opération a un impact majeur sur l’activité de la cédante ou de la cessionnaire, les états C5 et C6 prévisionnels ainsi que les prévisions de trésorerie pour les trois premiers exercices.</w:t>
            </w:r>
          </w:p>
          <w:p w14:paraId="6A2D5B9B" w14:textId="18FD18BD" w:rsidR="00B267DA" w:rsidRDefault="00A407C4" w:rsidP="00A03333">
            <w:pPr>
              <w:pStyle w:val="Paragraphedeliste"/>
              <w:numPr>
                <w:ilvl w:val="0"/>
                <w:numId w:val="5"/>
              </w:numPr>
              <w:ind w:left="557"/>
              <w:jc w:val="both"/>
            </w:pPr>
            <w:r>
              <w:t xml:space="preserve">Pour les </w:t>
            </w:r>
            <w:r w:rsidR="0026451B">
              <w:t>entités concernées</w:t>
            </w:r>
            <w:r w:rsidR="007E5884">
              <w:t xml:space="preserve"> </w:t>
            </w:r>
            <w:r>
              <w:t>relevant du régime dit « Solvabilité II »</w:t>
            </w:r>
            <w:r w:rsidR="00161F09">
              <w:t xml:space="preserve"> </w:t>
            </w:r>
            <w:r>
              <w:t>:</w:t>
            </w:r>
          </w:p>
          <w:p w14:paraId="2FA63BF6" w14:textId="177BC5D6" w:rsidR="006211EE" w:rsidRDefault="00A63D51" w:rsidP="00A03333">
            <w:pPr>
              <w:pStyle w:val="Paragraphedeliste"/>
              <w:numPr>
                <w:ilvl w:val="0"/>
                <w:numId w:val="7"/>
              </w:numPr>
              <w:ind w:left="813" w:hanging="283"/>
              <w:jc w:val="both"/>
            </w:pPr>
            <w:proofErr w:type="gramStart"/>
            <w:r>
              <w:t>l</w:t>
            </w:r>
            <w:r w:rsidR="00A407C4">
              <w:t>a</w:t>
            </w:r>
            <w:proofErr w:type="gramEnd"/>
            <w:r w:rsidR="00A407C4">
              <w:t xml:space="preserve"> déterminati</w:t>
            </w:r>
            <w:r w:rsidR="006211EE">
              <w:t>on détaillée (actifs et passifs</w:t>
            </w:r>
            <w:r w:rsidR="00A407C4">
              <w:t>) des fonds propres de base éligibles</w:t>
            </w:r>
            <w:r w:rsidR="006211EE">
              <w:t xml:space="preserve"> </w:t>
            </w:r>
            <w:r w:rsidR="00A407C4">
              <w:t>permettant la couverture du minimum de capital requis, et des fonds propres éligibles permettant la couverture du capital de</w:t>
            </w:r>
            <w:r w:rsidR="006211EE">
              <w:t xml:space="preserve"> </w:t>
            </w:r>
            <w:r w:rsidR="00A407C4">
              <w:t>solvabilité requis</w:t>
            </w:r>
            <w:r>
              <w:t xml:space="preserve"> </w:t>
            </w:r>
            <w:r w:rsidR="00A407C4">
              <w:t>;</w:t>
            </w:r>
          </w:p>
          <w:p w14:paraId="17572922" w14:textId="700C23FB" w:rsidR="006211EE" w:rsidRDefault="00A63D51" w:rsidP="00A03333">
            <w:pPr>
              <w:pStyle w:val="Paragraphedeliste"/>
              <w:numPr>
                <w:ilvl w:val="0"/>
                <w:numId w:val="7"/>
              </w:numPr>
              <w:ind w:left="813" w:hanging="283"/>
              <w:jc w:val="both"/>
            </w:pPr>
            <w:proofErr w:type="gramStart"/>
            <w:r>
              <w:t>l</w:t>
            </w:r>
            <w:r w:rsidR="00A407C4">
              <w:t>es</w:t>
            </w:r>
            <w:proofErr w:type="gramEnd"/>
            <w:r w:rsidR="00A407C4">
              <w:t xml:space="preserve"> prévisions relatives aux fonds propres de base éligibles permettant la</w:t>
            </w:r>
            <w:r w:rsidR="006211EE">
              <w:t xml:space="preserve"> </w:t>
            </w:r>
            <w:r w:rsidR="00A407C4">
              <w:t>couverture du minimum de capital requis</w:t>
            </w:r>
            <w:r w:rsidR="00161F09">
              <w:rPr>
                <w:rStyle w:val="Appelnotedebasdep"/>
              </w:rPr>
              <w:footnoteReference w:id="5"/>
            </w:r>
            <w:r w:rsidR="00A407C4">
              <w:t>, et des fonds propres éligibles permettant la couverture du capital de</w:t>
            </w:r>
            <w:r w:rsidR="006211EE">
              <w:t xml:space="preserve"> </w:t>
            </w:r>
            <w:r w:rsidR="00A407C4">
              <w:t>solvabilité requis</w:t>
            </w:r>
            <w:r w:rsidR="00AB0295">
              <w:rPr>
                <w:rStyle w:val="Appelnotedebasdep"/>
              </w:rPr>
              <w:footnoteReference w:id="6"/>
            </w:r>
            <w:r w:rsidR="00A407C4">
              <w:t xml:space="preserve">, </w:t>
            </w:r>
            <w:r w:rsidR="00B267DA">
              <w:t>avec et sans</w:t>
            </w:r>
            <w:r w:rsidR="006211EE">
              <w:t xml:space="preserve"> transf</w:t>
            </w:r>
            <w:r w:rsidR="00A407C4">
              <w:t>ert (QRT S.02.01.01 ; QRT S.03.01.01 ; QRT S.23.01.01)</w:t>
            </w:r>
            <w:r w:rsidR="00AB0295">
              <w:t>, ainsi que l’e</w:t>
            </w:r>
            <w:r w:rsidR="00A407C4">
              <w:t>stimation sur le</w:t>
            </w:r>
            <w:r w:rsidR="006211EE">
              <w:t xml:space="preserve"> </w:t>
            </w:r>
            <w:r w:rsidR="00A407C4">
              <w:t>périmètre des actifs/passifs transférés ;</w:t>
            </w:r>
          </w:p>
          <w:p w14:paraId="05D1ABE3" w14:textId="000A6301" w:rsidR="006211EE" w:rsidRDefault="00A63D51" w:rsidP="00A03333">
            <w:pPr>
              <w:pStyle w:val="Paragraphedeliste"/>
              <w:numPr>
                <w:ilvl w:val="0"/>
                <w:numId w:val="7"/>
              </w:numPr>
              <w:ind w:left="813" w:hanging="283"/>
              <w:jc w:val="both"/>
            </w:pPr>
            <w:proofErr w:type="gramStart"/>
            <w:r>
              <w:t>l</w:t>
            </w:r>
            <w:r w:rsidR="00A407C4">
              <w:t>e</w:t>
            </w:r>
            <w:proofErr w:type="gramEnd"/>
            <w:r w:rsidR="00A407C4">
              <w:t xml:space="preserve"> capital de solvabilité requis</w:t>
            </w:r>
            <w:r w:rsidR="00AB0295">
              <w:t xml:space="preserve"> </w:t>
            </w:r>
            <w:r w:rsidR="00A407C4">
              <w:t>:</w:t>
            </w:r>
            <w:r w:rsidR="006211EE">
              <w:t xml:space="preserve"> </w:t>
            </w:r>
          </w:p>
          <w:p w14:paraId="57BBCF39" w14:textId="6EA54992" w:rsidR="006211EE" w:rsidRDefault="00A63D51" w:rsidP="00A03333">
            <w:pPr>
              <w:pStyle w:val="Paragraphedeliste"/>
              <w:numPr>
                <w:ilvl w:val="0"/>
                <w:numId w:val="9"/>
              </w:numPr>
              <w:ind w:left="1096" w:hanging="284"/>
              <w:jc w:val="both"/>
            </w:pPr>
            <w:proofErr w:type="gramStart"/>
            <w:r>
              <w:t>p</w:t>
            </w:r>
            <w:r w:rsidR="00A407C4">
              <w:t>our</w:t>
            </w:r>
            <w:proofErr w:type="gramEnd"/>
            <w:r w:rsidR="00A407C4">
              <w:t xml:space="preserve"> les </w:t>
            </w:r>
            <w:r w:rsidR="0026451B">
              <w:t xml:space="preserve">entités concernées </w:t>
            </w:r>
            <w:r w:rsidR="00A407C4">
              <w:t>en formule standard, le capital de solvabilité requis av</w:t>
            </w:r>
            <w:r w:rsidR="00B267DA">
              <w:t xml:space="preserve">ec et sans </w:t>
            </w:r>
            <w:r w:rsidR="00A407C4">
              <w:t>transfert (QRT S.25.01)</w:t>
            </w:r>
            <w:r>
              <w:t> ;</w:t>
            </w:r>
          </w:p>
          <w:p w14:paraId="5B099A8B" w14:textId="298091EE" w:rsidR="006211EE" w:rsidRDefault="00A63D51" w:rsidP="00A03333">
            <w:pPr>
              <w:pStyle w:val="Paragraphedeliste"/>
              <w:numPr>
                <w:ilvl w:val="0"/>
                <w:numId w:val="9"/>
              </w:numPr>
              <w:tabs>
                <w:tab w:val="left" w:pos="1521"/>
              </w:tabs>
              <w:ind w:left="1096" w:hanging="284"/>
              <w:jc w:val="both"/>
            </w:pPr>
            <w:proofErr w:type="gramStart"/>
            <w:r>
              <w:t>p</w:t>
            </w:r>
            <w:r w:rsidR="00A407C4">
              <w:t>our</w:t>
            </w:r>
            <w:proofErr w:type="gramEnd"/>
            <w:r w:rsidR="00A407C4">
              <w:t xml:space="preserve"> les </w:t>
            </w:r>
            <w:r w:rsidR="0026451B">
              <w:t xml:space="preserve">entités concernées </w:t>
            </w:r>
            <w:r w:rsidR="00A407C4">
              <w:t>en modèle interne (QRT S.25.01, ainsi que QRT S.25.02 ou QRT</w:t>
            </w:r>
            <w:r w:rsidR="006211EE">
              <w:t xml:space="preserve"> </w:t>
            </w:r>
            <w:r w:rsidR="00A407C4">
              <w:t>S.25.03 le cas échéant) :</w:t>
            </w:r>
          </w:p>
          <w:p w14:paraId="1A7AA25C" w14:textId="77777777" w:rsidR="006211EE" w:rsidRDefault="00A407C4" w:rsidP="00A03333">
            <w:pPr>
              <w:pStyle w:val="Paragraphedeliste"/>
              <w:numPr>
                <w:ilvl w:val="0"/>
                <w:numId w:val="8"/>
              </w:numPr>
              <w:tabs>
                <w:tab w:val="left" w:pos="1036"/>
              </w:tabs>
              <w:ind w:left="1380" w:hanging="283"/>
              <w:jc w:val="both"/>
            </w:pPr>
            <w:proofErr w:type="gramStart"/>
            <w:r>
              <w:t>le</w:t>
            </w:r>
            <w:proofErr w:type="gramEnd"/>
            <w:r>
              <w:t xml:space="preserve"> capital de sol</w:t>
            </w:r>
            <w:r w:rsidR="006211EE">
              <w:t>vabilité requis avant transfert ;</w:t>
            </w:r>
          </w:p>
          <w:p w14:paraId="6DB3716B" w14:textId="5604693D" w:rsidR="006211EE" w:rsidRDefault="00A407C4" w:rsidP="00A03333">
            <w:pPr>
              <w:pStyle w:val="Paragraphedeliste"/>
              <w:numPr>
                <w:ilvl w:val="0"/>
                <w:numId w:val="8"/>
              </w:numPr>
              <w:tabs>
                <w:tab w:val="left" w:pos="1036"/>
              </w:tabs>
              <w:ind w:left="1380" w:hanging="283"/>
              <w:jc w:val="both"/>
            </w:pPr>
            <w:proofErr w:type="gramStart"/>
            <w:r>
              <w:t>une</w:t>
            </w:r>
            <w:proofErr w:type="gramEnd"/>
            <w:r>
              <w:t xml:space="preserve"> estimation du capital de solvabilité requis </w:t>
            </w:r>
            <w:r w:rsidR="00B267DA">
              <w:t xml:space="preserve">avec et sans </w:t>
            </w:r>
            <w:r>
              <w:t>transfert calculé avec</w:t>
            </w:r>
            <w:r w:rsidR="006211EE">
              <w:t xml:space="preserve"> </w:t>
            </w:r>
            <w:r>
              <w:t>la formule standard</w:t>
            </w:r>
            <w:r w:rsidR="0026451B">
              <w:t> ;</w:t>
            </w:r>
          </w:p>
          <w:p w14:paraId="18131973" w14:textId="151A75FC" w:rsidR="006211EE" w:rsidRDefault="00A407C4" w:rsidP="00A03333">
            <w:pPr>
              <w:pStyle w:val="Paragraphedeliste"/>
              <w:numPr>
                <w:ilvl w:val="0"/>
                <w:numId w:val="8"/>
              </w:numPr>
              <w:tabs>
                <w:tab w:val="left" w:pos="1036"/>
              </w:tabs>
              <w:ind w:left="1380" w:hanging="283"/>
              <w:jc w:val="both"/>
            </w:pPr>
            <w:proofErr w:type="gramStart"/>
            <w:r>
              <w:t>une</w:t>
            </w:r>
            <w:proofErr w:type="gramEnd"/>
            <w:r>
              <w:t xml:space="preserve"> estimation du capital de solvabilité requis sur le seul périmètre de</w:t>
            </w:r>
            <w:r w:rsidR="006211EE">
              <w:t xml:space="preserve"> </w:t>
            </w:r>
            <w:r>
              <w:t>l’élément transféré, calculé avec la formule standard</w:t>
            </w:r>
            <w:r w:rsidR="0026451B">
              <w:t> ;</w:t>
            </w:r>
          </w:p>
          <w:p w14:paraId="2FC402C1" w14:textId="347A817C" w:rsidR="00A407C4" w:rsidRDefault="006211EE" w:rsidP="00A03333">
            <w:pPr>
              <w:pStyle w:val="Paragraphedeliste"/>
              <w:numPr>
                <w:ilvl w:val="0"/>
                <w:numId w:val="8"/>
              </w:numPr>
              <w:tabs>
                <w:tab w:val="left" w:pos="1036"/>
              </w:tabs>
              <w:ind w:left="1380" w:hanging="283"/>
              <w:jc w:val="both"/>
            </w:pPr>
            <w:proofErr w:type="gramStart"/>
            <w:r>
              <w:t>une</w:t>
            </w:r>
            <w:proofErr w:type="gramEnd"/>
            <w:r>
              <w:t xml:space="preserve"> estimation du capi</w:t>
            </w:r>
            <w:r w:rsidR="00A407C4">
              <w:t>tal de solvabilité</w:t>
            </w:r>
            <w:r>
              <w:t xml:space="preserve"> requis</w:t>
            </w:r>
            <w:r w:rsidR="003A69C7">
              <w:t xml:space="preserve"> avec et sans</w:t>
            </w:r>
            <w:r>
              <w:t xml:space="preserve"> transfert, calcul</w:t>
            </w:r>
            <w:r w:rsidR="00A407C4">
              <w:t>é à</w:t>
            </w:r>
            <w:r>
              <w:t xml:space="preserve"> </w:t>
            </w:r>
            <w:r w:rsidR="00A407C4">
              <w:t>l’a</w:t>
            </w:r>
            <w:r>
              <w:t>ide du modèle interne de l’organis</w:t>
            </w:r>
            <w:r w:rsidR="00A407C4">
              <w:t>me. Cette estimation devra être</w:t>
            </w:r>
            <w:r>
              <w:t xml:space="preserve"> </w:t>
            </w:r>
            <w:r w:rsidR="00A407C4">
              <w:t>accompagnée d’un bref résumé des modifications qu’il est prévu</w:t>
            </w:r>
            <w:r>
              <w:t xml:space="preserve"> </w:t>
            </w:r>
            <w:r w:rsidR="00A407C4">
              <w:t xml:space="preserve">d’apporter au modèle </w:t>
            </w:r>
            <w:r w:rsidR="0026451B">
              <w:t>à la suite du</w:t>
            </w:r>
            <w:r w:rsidR="00A407C4">
              <w:t xml:space="preserve"> transfert et prises en compte dans le</w:t>
            </w:r>
            <w:r>
              <w:t xml:space="preserve"> </w:t>
            </w:r>
            <w:r w:rsidR="00A407C4">
              <w:t>calcul de l’estimation, en particulier celles nécessitant une</w:t>
            </w:r>
            <w:r>
              <w:t xml:space="preserve"> </w:t>
            </w:r>
            <w:r w:rsidR="00A407C4">
              <w:t>a</w:t>
            </w:r>
            <w:r>
              <w:t>utorisation préalable de l’ACPR</w:t>
            </w:r>
            <w:r>
              <w:rPr>
                <w:rStyle w:val="Appelnotedebasdep"/>
              </w:rPr>
              <w:footnoteReference w:id="7"/>
            </w:r>
            <w:r w:rsidR="00A407C4">
              <w:t>.</w:t>
            </w:r>
          </w:p>
          <w:p w14:paraId="0DAA85E0" w14:textId="13709CD1" w:rsidR="006211EE" w:rsidRDefault="00A63D51" w:rsidP="00B87EBE">
            <w:pPr>
              <w:pStyle w:val="Paragraphedeliste"/>
              <w:numPr>
                <w:ilvl w:val="0"/>
                <w:numId w:val="10"/>
              </w:numPr>
              <w:ind w:left="1095" w:hanging="283"/>
              <w:jc w:val="both"/>
            </w:pPr>
            <w:proofErr w:type="gramStart"/>
            <w:r>
              <w:lastRenderedPageBreak/>
              <w:t>l</w:t>
            </w:r>
            <w:r w:rsidR="00A407C4">
              <w:t>e</w:t>
            </w:r>
            <w:proofErr w:type="gramEnd"/>
            <w:r w:rsidR="00A407C4">
              <w:t xml:space="preserve"> minimum de capital requis, </w:t>
            </w:r>
            <w:r w:rsidR="00B267DA">
              <w:t xml:space="preserve">avec et sans </w:t>
            </w:r>
            <w:r w:rsidR="00A407C4">
              <w:t>transfert, ainsi que la méthode de calcul utilisée ; (QRT S.28.01.01) ;</w:t>
            </w:r>
          </w:p>
          <w:p w14:paraId="1EB79C8F" w14:textId="21A9088D" w:rsidR="00A63D51" w:rsidRDefault="00A63D51" w:rsidP="00B87EBE">
            <w:pPr>
              <w:pStyle w:val="Paragraphedeliste"/>
              <w:numPr>
                <w:ilvl w:val="0"/>
                <w:numId w:val="10"/>
              </w:numPr>
              <w:ind w:left="1095" w:hanging="283"/>
              <w:jc w:val="both"/>
            </w:pPr>
            <w:proofErr w:type="gramStart"/>
            <w:r>
              <w:t>si</w:t>
            </w:r>
            <w:proofErr w:type="gramEnd"/>
            <w:r>
              <w:t xml:space="preserve"> l’opération a un impact majeur sur l’activité de la cédante ou de la cessionnaire, les éléments précités (point E – 4) doivent également être transmis en prévisionnels, ainsi que les prévisions de trésorerie, pour les trois premiers exercices ;</w:t>
            </w:r>
          </w:p>
          <w:p w14:paraId="61DE9B18" w14:textId="757FC675" w:rsidR="00A407C4" w:rsidRDefault="00A63D51" w:rsidP="00B87EBE">
            <w:pPr>
              <w:pStyle w:val="Paragraphedeliste"/>
              <w:numPr>
                <w:ilvl w:val="0"/>
                <w:numId w:val="10"/>
              </w:numPr>
              <w:ind w:left="1095" w:hanging="283"/>
              <w:jc w:val="both"/>
            </w:pPr>
            <w:proofErr w:type="gramStart"/>
            <w:r>
              <w:t>l</w:t>
            </w:r>
            <w:r w:rsidR="0026451B">
              <w:t>es</w:t>
            </w:r>
            <w:proofErr w:type="gramEnd"/>
            <w:r w:rsidR="0026451B">
              <w:t xml:space="preserve"> entités concernées </w:t>
            </w:r>
            <w:r w:rsidR="00A407C4">
              <w:t>doi</w:t>
            </w:r>
            <w:r w:rsidR="0026451B">
              <w:t>ven</w:t>
            </w:r>
            <w:r w:rsidR="00A407C4">
              <w:t>t étudier les conséquences de l’opérat</w:t>
            </w:r>
            <w:r w:rsidR="006211EE">
              <w:t xml:space="preserve">ion sur </w:t>
            </w:r>
            <w:r w:rsidR="0026451B">
              <w:t>leur</w:t>
            </w:r>
            <w:r w:rsidR="006211EE">
              <w:t xml:space="preserve"> profil de risque (y </w:t>
            </w:r>
            <w:r w:rsidR="00A407C4">
              <w:t>compris par un nouvel ORSA en cas d'évolution notable de celui-ci) et en tirer</w:t>
            </w:r>
            <w:r w:rsidR="006211EE">
              <w:t xml:space="preserve"> également les conséquences quant aux autorisations accordées sur son portefeuille par l’ACPR (modèle interne, USP, déduction transitoire sur les provisions techniques, ….). </w:t>
            </w:r>
          </w:p>
          <w:p w14:paraId="33F0D4D1" w14:textId="2A47A272" w:rsidR="00423A88" w:rsidRPr="00423A88" w:rsidRDefault="00423A88" w:rsidP="00B87EB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Pour les </w:t>
            </w:r>
            <w:r w:rsidR="00B87EBE">
              <w:rPr>
                <w:sz w:val="22"/>
                <w:szCs w:val="22"/>
              </w:rPr>
              <w:t>entités concernées</w:t>
            </w:r>
            <w:r>
              <w:rPr>
                <w:sz w:val="22"/>
                <w:szCs w:val="22"/>
              </w:rPr>
              <w:t xml:space="preserve"> relevant du régime dit « Solvabilité II », </w:t>
            </w:r>
            <w:r w:rsidRPr="00B87EBE">
              <w:rPr>
                <w:sz w:val="22"/>
                <w:szCs w:val="22"/>
              </w:rPr>
              <w:t>les conclusions du responsable de la fonction clé conformité sur l’opération envisagée.</w:t>
            </w:r>
          </w:p>
          <w:p w14:paraId="39211B63" w14:textId="55252725" w:rsidR="00423A88" w:rsidRPr="00423A88" w:rsidRDefault="00423A88" w:rsidP="00B87EB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423A88">
              <w:rPr>
                <w:sz w:val="22"/>
                <w:szCs w:val="22"/>
              </w:rPr>
              <w:t xml:space="preserve">Pour les </w:t>
            </w:r>
            <w:r w:rsidR="00B87EBE">
              <w:rPr>
                <w:sz w:val="22"/>
                <w:szCs w:val="22"/>
              </w:rPr>
              <w:t>entités concernées</w:t>
            </w:r>
            <w:r w:rsidRPr="00423A88">
              <w:rPr>
                <w:sz w:val="22"/>
                <w:szCs w:val="22"/>
              </w:rPr>
              <w:t xml:space="preserve"> relevant du régime dit « Solvabilité II »,</w:t>
            </w:r>
            <w:r w:rsidR="00B87EBE">
              <w:rPr>
                <w:sz w:val="22"/>
                <w:szCs w:val="22"/>
              </w:rPr>
              <w:t xml:space="preserve"> </w:t>
            </w:r>
            <w:r w:rsidRPr="00423A88">
              <w:rPr>
                <w:sz w:val="22"/>
                <w:szCs w:val="22"/>
              </w:rPr>
              <w:t>les conclusions du responsable de la fonction clé actuariat sur</w:t>
            </w:r>
            <w:r>
              <w:rPr>
                <w:sz w:val="22"/>
                <w:szCs w:val="22"/>
              </w:rPr>
              <w:t xml:space="preserve"> </w:t>
            </w:r>
            <w:r w:rsidRPr="00423A88">
              <w:rPr>
                <w:sz w:val="22"/>
                <w:szCs w:val="22"/>
              </w:rPr>
              <w:t>l’opération envisagée</w:t>
            </w:r>
            <w:r>
              <w:rPr>
                <w:sz w:val="22"/>
                <w:szCs w:val="22"/>
              </w:rPr>
              <w:t>.</w:t>
            </w:r>
          </w:p>
        </w:tc>
      </w:tr>
      <w:tr w:rsidR="00D57A1D" w14:paraId="1A3B3E39" w14:textId="77777777" w:rsidTr="00A03333">
        <w:tc>
          <w:tcPr>
            <w:tcW w:w="1626" w:type="dxa"/>
          </w:tcPr>
          <w:p w14:paraId="7D923F80" w14:textId="77777777" w:rsidR="00D57A1D" w:rsidRDefault="00423A88" w:rsidP="00D57A1D">
            <w:r>
              <w:lastRenderedPageBreak/>
              <w:t>F – Conséquences opérationnelles</w:t>
            </w:r>
          </w:p>
        </w:tc>
        <w:tc>
          <w:tcPr>
            <w:tcW w:w="7436" w:type="dxa"/>
          </w:tcPr>
          <w:p w14:paraId="6E9B1346" w14:textId="77777777" w:rsidR="00620F33" w:rsidRDefault="00620F33" w:rsidP="004D7FB5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Description de l’impact sur le plan d’affaires et la solvabilité à horizon de trois ans.</w:t>
            </w:r>
          </w:p>
          <w:p w14:paraId="318A1E50" w14:textId="69973B48" w:rsidR="00423A88" w:rsidRDefault="004D7FB5" w:rsidP="00DD51F5">
            <w:pPr>
              <w:pStyle w:val="Paragraphedeliste"/>
              <w:jc w:val="both"/>
            </w:pPr>
            <w:r>
              <w:rPr>
                <w:rFonts w:cstheme="minorHAnsi"/>
              </w:rPr>
              <w:t>Description des évolutions de la gouvernance à l’issue de l’opérations (assemblée générale</w:t>
            </w:r>
            <w:r w:rsidR="00DD51F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conseil d’administration ou de surveillance</w:t>
            </w:r>
            <w:r w:rsidR="00DD51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dirigeants effectifs</w:t>
            </w:r>
            <w:r>
              <w:rPr>
                <w:rStyle w:val="Appelnotedebasdep"/>
                <w:rFonts w:cstheme="minorHAnsi"/>
              </w:rPr>
              <w:footnoteReference w:id="8"/>
            </w:r>
            <w:r>
              <w:rPr>
                <w:rFonts w:cstheme="minorHAnsi"/>
              </w:rPr>
              <w:t> </w:t>
            </w:r>
            <w:r w:rsidR="00DD51F5">
              <w:rPr>
                <w:rFonts w:cstheme="minorHAnsi"/>
              </w:rPr>
              <w:t>,</w:t>
            </w:r>
            <w:r>
              <w:rPr>
                <w:rFonts w:cstheme="minorHAnsi"/>
              </w:rPr>
              <w:t>responsables de fonctions clés</w:t>
            </w:r>
            <w:r>
              <w:rPr>
                <w:rStyle w:val="Appelnotedebasdep"/>
                <w:rFonts w:cstheme="minorHAnsi"/>
              </w:rPr>
              <w:footnoteReference w:id="9"/>
            </w:r>
            <w:r>
              <w:rPr>
                <w:rFonts w:cstheme="minorHAnsi"/>
              </w:rPr>
              <w:t>).</w:t>
            </w:r>
            <w:r w:rsidR="00490768">
              <w:t xml:space="preserve"> </w:t>
            </w:r>
          </w:p>
          <w:p w14:paraId="794AECB3" w14:textId="6C6D1F86" w:rsidR="006111C2" w:rsidRDefault="00631CC1" w:rsidP="004D7FB5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Description des i</w:t>
            </w:r>
            <w:r w:rsidR="00423A88">
              <w:t xml:space="preserve">mpacts de l’opération </w:t>
            </w:r>
            <w:r w:rsidR="007E5884">
              <w:t xml:space="preserve">sur </w:t>
            </w:r>
            <w:r w:rsidR="00423A88">
              <w:t>les ressources humaines, les systèmes d’information</w:t>
            </w:r>
            <w:r w:rsidR="006111C2">
              <w:t>.</w:t>
            </w:r>
          </w:p>
          <w:p w14:paraId="1AB9A65A" w14:textId="6C528B65" w:rsidR="00423A88" w:rsidRDefault="006111C2" w:rsidP="004D7FB5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Le changement éventuel de</w:t>
            </w:r>
            <w:r w:rsidR="007E5884">
              <w:t xml:space="preserve"> siège social</w:t>
            </w:r>
            <w:r w:rsidR="00631CC1">
              <w:t>.</w:t>
            </w:r>
          </w:p>
          <w:p w14:paraId="5F2F8284" w14:textId="359EBD46" w:rsidR="00631CC1" w:rsidRDefault="00631CC1" w:rsidP="004D7FB5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 xml:space="preserve">Description de l’évolution de la </w:t>
            </w:r>
            <w:r w:rsidRPr="00631CC1">
              <w:t>stratégie, conception des produits, gestion, distrib</w:t>
            </w:r>
            <w:r>
              <w:t>ution, pilotage technique.</w:t>
            </w:r>
          </w:p>
          <w:p w14:paraId="3CAEE828" w14:textId="1EE6F360" w:rsidR="00631CC1" w:rsidRDefault="00631CC1" w:rsidP="004D7FB5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Description de l’impact de l’opération sur le dispositif de lutte contre le blanchiment et le financement du terrorisme.</w:t>
            </w:r>
          </w:p>
          <w:p w14:paraId="1D0D1715" w14:textId="13447A58" w:rsidR="00620F33" w:rsidRDefault="00631CC1" w:rsidP="004D7FB5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Description de l’impact de l’opération sur les politiques écrites</w:t>
            </w:r>
            <w:r w:rsidR="00620F33">
              <w:t>.</w:t>
            </w:r>
          </w:p>
        </w:tc>
      </w:tr>
      <w:tr w:rsidR="00D57A1D" w14:paraId="13B64E60" w14:textId="77777777" w:rsidTr="00A03333">
        <w:tc>
          <w:tcPr>
            <w:tcW w:w="1626" w:type="dxa"/>
          </w:tcPr>
          <w:p w14:paraId="6DCED005" w14:textId="77777777" w:rsidR="00D57A1D" w:rsidRDefault="00631CC1" w:rsidP="00D57A1D">
            <w:r>
              <w:t>G – Protection des assurés et adhérents</w:t>
            </w:r>
          </w:p>
        </w:tc>
        <w:tc>
          <w:tcPr>
            <w:tcW w:w="7436" w:type="dxa"/>
          </w:tcPr>
          <w:p w14:paraId="320F3C50" w14:textId="1215013C" w:rsidR="00D57A1D" w:rsidRDefault="00631CC1" w:rsidP="007E5884">
            <w:pPr>
              <w:pStyle w:val="Paragraphedeliste"/>
              <w:numPr>
                <w:ilvl w:val="0"/>
                <w:numId w:val="13"/>
              </w:numPr>
              <w:jc w:val="both"/>
            </w:pPr>
            <w:r>
              <w:t>Description du plan de communication envisagé pour l’ensemble</w:t>
            </w:r>
            <w:r w:rsidR="004D7FB5">
              <w:t>.</w:t>
            </w:r>
          </w:p>
          <w:p w14:paraId="0D89A381" w14:textId="4F2B8232" w:rsidR="00631CC1" w:rsidRDefault="00631CC1" w:rsidP="007E5884">
            <w:pPr>
              <w:pStyle w:val="Paragraphedeliste"/>
              <w:numPr>
                <w:ilvl w:val="0"/>
                <w:numId w:val="13"/>
              </w:numPr>
              <w:jc w:val="both"/>
            </w:pPr>
            <w:r>
              <w:t>Présentation des éventuelles évolutions contractuelles ou de règlements mutualistes envisagées</w:t>
            </w:r>
            <w:r w:rsidR="004D7FB5">
              <w:t>.</w:t>
            </w:r>
          </w:p>
          <w:p w14:paraId="7452488D" w14:textId="5FB50FF2" w:rsidR="00631CC1" w:rsidRDefault="00631CC1" w:rsidP="007E5884">
            <w:pPr>
              <w:pStyle w:val="Paragraphedeliste"/>
              <w:numPr>
                <w:ilvl w:val="0"/>
                <w:numId w:val="13"/>
              </w:numPr>
              <w:jc w:val="both"/>
            </w:pPr>
            <w:r>
              <w:t xml:space="preserve">Pour les transferts </w:t>
            </w:r>
            <w:r w:rsidR="00C43037">
              <w:t>dits « </w:t>
            </w:r>
            <w:proofErr w:type="spellStart"/>
            <w:r>
              <w:t>intercode</w:t>
            </w:r>
            <w:proofErr w:type="spellEnd"/>
            <w:r w:rsidR="00C43037">
              <w:t> »</w:t>
            </w:r>
            <w:r>
              <w:t xml:space="preserve"> ou entre entités juridique</w:t>
            </w:r>
            <w:r w:rsidR="007266BE">
              <w:t>s de nature</w:t>
            </w:r>
            <w:r>
              <w:t xml:space="preserve"> différente, l’analyse des effets de l’opération sur le maintien des droits des assurés</w:t>
            </w:r>
            <w:r w:rsidR="004D7FB5">
              <w:t>.</w:t>
            </w:r>
          </w:p>
        </w:tc>
      </w:tr>
      <w:tr w:rsidR="00D57A1D" w14:paraId="39A990FE" w14:textId="77777777" w:rsidTr="00A03333">
        <w:tc>
          <w:tcPr>
            <w:tcW w:w="1626" w:type="dxa"/>
          </w:tcPr>
          <w:p w14:paraId="53E963CF" w14:textId="77777777" w:rsidR="00D57A1D" w:rsidRDefault="00631CC1" w:rsidP="00D57A1D">
            <w:r>
              <w:t>H – Éléments d’extranéité</w:t>
            </w:r>
          </w:p>
        </w:tc>
        <w:tc>
          <w:tcPr>
            <w:tcW w:w="7436" w:type="dxa"/>
          </w:tcPr>
          <w:p w14:paraId="3BA6D91C" w14:textId="50FB390D" w:rsidR="000F474B" w:rsidRDefault="00631CC1" w:rsidP="00D040A2">
            <w:pPr>
              <w:pStyle w:val="Paragraphedeliste"/>
              <w:numPr>
                <w:ilvl w:val="0"/>
                <w:numId w:val="14"/>
              </w:numPr>
              <w:jc w:val="both"/>
            </w:pPr>
            <w:r>
              <w:t xml:space="preserve">Liste des </w:t>
            </w:r>
            <w:r w:rsidR="000F474B">
              <w:t>États</w:t>
            </w:r>
            <w:r>
              <w:t xml:space="preserve"> et territoires dans le</w:t>
            </w:r>
            <w:r w:rsidR="00D040A2">
              <w:t>s</w:t>
            </w:r>
            <w:r>
              <w:t>q</w:t>
            </w:r>
            <w:r w:rsidR="000F474B">
              <w:t>uel</w:t>
            </w:r>
            <w:r w:rsidR="00D040A2">
              <w:t>s</w:t>
            </w:r>
            <w:r w:rsidR="000F474B">
              <w:t xml:space="preserve"> sont localisés les risques</w:t>
            </w:r>
            <w:r>
              <w:t xml:space="preserve"> </w:t>
            </w:r>
            <w:r w:rsidR="000F474B">
              <w:t>du portefeuille transféré</w:t>
            </w:r>
            <w:r>
              <w:t>, à la fois dans l’</w:t>
            </w:r>
            <w:r w:rsidR="000F474B">
              <w:t>E</w:t>
            </w:r>
            <w:r>
              <w:t>space économique européen</w:t>
            </w:r>
            <w:r w:rsidR="004D7FB5">
              <w:t xml:space="preserve"> (EEE)</w:t>
            </w:r>
            <w:r>
              <w:t xml:space="preserve"> </w:t>
            </w:r>
            <w:r w:rsidR="000F474B">
              <w:t xml:space="preserve">et dans les </w:t>
            </w:r>
            <w:r w:rsidR="004D7FB5">
              <w:t>États</w:t>
            </w:r>
            <w:r w:rsidR="000F474B">
              <w:t xml:space="preserve"> et territoires tiers</w:t>
            </w:r>
            <w:r w:rsidR="000F474B">
              <w:rPr>
                <w:rStyle w:val="Appelnotedebasdep"/>
              </w:rPr>
              <w:footnoteReference w:id="10"/>
            </w:r>
            <w:r w:rsidR="000F474B">
              <w:t>.</w:t>
            </w:r>
          </w:p>
          <w:p w14:paraId="0AE3EA01" w14:textId="75A915D2" w:rsidR="000F474B" w:rsidRDefault="000F474B" w:rsidP="00D040A2">
            <w:pPr>
              <w:pStyle w:val="Paragraphedeliste"/>
              <w:numPr>
                <w:ilvl w:val="0"/>
                <w:numId w:val="14"/>
              </w:numPr>
              <w:jc w:val="both"/>
            </w:pPr>
            <w:r>
              <w:t>Le cas échéant, la liste des passeports</w:t>
            </w:r>
            <w:r w:rsidR="001D5122">
              <w:t>, utilisés ou non,</w:t>
            </w:r>
            <w:r>
              <w:t xml:space="preserve"> </w:t>
            </w:r>
            <w:r w:rsidR="004D7FB5">
              <w:t>par pays, par branche et par nature (liberté d’établissement ; libre prestation de service ; libre prestation de service de liberté d’établissement).</w:t>
            </w:r>
          </w:p>
          <w:p w14:paraId="6494F23E" w14:textId="376DC5F1" w:rsidR="00D57A1D" w:rsidRDefault="000F474B" w:rsidP="00D040A2">
            <w:pPr>
              <w:pStyle w:val="Paragraphedeliste"/>
              <w:numPr>
                <w:ilvl w:val="0"/>
                <w:numId w:val="14"/>
              </w:numPr>
              <w:jc w:val="both"/>
            </w:pPr>
            <w:r>
              <w:lastRenderedPageBreak/>
              <w:t>Le cas échéant, les bilans de transferts correspondants (incluant détail du nombre de contrats, primes et provisions, ventilés par pays et par branche)</w:t>
            </w:r>
            <w:r w:rsidR="004D7FB5">
              <w:rPr>
                <w:rStyle w:val="Appelnotedebasdep"/>
              </w:rPr>
              <w:footnoteReference w:id="11"/>
            </w:r>
            <w:r w:rsidR="00C43037">
              <w:t>.</w:t>
            </w:r>
          </w:p>
          <w:p w14:paraId="411E121C" w14:textId="41C88A11" w:rsidR="000F474B" w:rsidRDefault="000F474B" w:rsidP="00D040A2">
            <w:pPr>
              <w:pStyle w:val="Paragraphedeliste"/>
              <w:numPr>
                <w:ilvl w:val="0"/>
                <w:numId w:val="14"/>
              </w:numPr>
              <w:jc w:val="both"/>
            </w:pPr>
            <w:r>
              <w:t>Le cas échéant, la transmission d’une version traduite en anglais de l’ensemble des pièces du dossier pourra être exigée</w:t>
            </w:r>
            <w:r w:rsidR="004D7FB5">
              <w:t xml:space="preserve"> pour les États dont la langue officielle n’est pas le français</w:t>
            </w:r>
            <w:r>
              <w:t>.</w:t>
            </w:r>
          </w:p>
        </w:tc>
      </w:tr>
      <w:tr w:rsidR="000F474B" w14:paraId="44D67702" w14:textId="77777777" w:rsidTr="00A03333">
        <w:tc>
          <w:tcPr>
            <w:tcW w:w="1626" w:type="dxa"/>
          </w:tcPr>
          <w:p w14:paraId="392C2B6D" w14:textId="77777777" w:rsidR="000F474B" w:rsidRDefault="000F474B" w:rsidP="00D57A1D">
            <w:r>
              <w:lastRenderedPageBreak/>
              <w:t>I – Assurance vie</w:t>
            </w:r>
          </w:p>
        </w:tc>
        <w:tc>
          <w:tcPr>
            <w:tcW w:w="7436" w:type="dxa"/>
          </w:tcPr>
          <w:p w14:paraId="6E8AD58D" w14:textId="77777777" w:rsidR="000F474B" w:rsidRDefault="000F474B" w:rsidP="00D040A2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Pour les transferts d’opérations d’assurance vie et de capitalisation : </w:t>
            </w:r>
          </w:p>
          <w:p w14:paraId="5F2F8412" w14:textId="77777777" w:rsidR="000F474B" w:rsidRDefault="000F474B" w:rsidP="00D040A2">
            <w:pPr>
              <w:pStyle w:val="Paragraphedeliste"/>
              <w:numPr>
                <w:ilvl w:val="0"/>
                <w:numId w:val="15"/>
              </w:numPr>
              <w:jc w:val="both"/>
            </w:pPr>
            <w:r>
              <w:t>L’état relatif aux plus-values latentes et à la quote-part des actifs de l’organisme cédant avant transfert et de l’organisme cessionnaire avant et après transfert</w:t>
            </w:r>
            <w:r w:rsidR="00620F33">
              <w:rPr>
                <w:rStyle w:val="Appelnotedebasdep"/>
              </w:rPr>
              <w:footnoteReference w:id="12"/>
            </w:r>
            <w:r>
              <w:t> ;</w:t>
            </w:r>
          </w:p>
          <w:p w14:paraId="3CEA9E80" w14:textId="77777777" w:rsidR="000F474B" w:rsidRDefault="000F474B" w:rsidP="00D040A2">
            <w:pPr>
              <w:pStyle w:val="Paragraphedeliste"/>
              <w:numPr>
                <w:ilvl w:val="0"/>
                <w:numId w:val="15"/>
              </w:numPr>
              <w:jc w:val="both"/>
            </w:pPr>
            <w:r>
              <w:t>La liste des contrats transférés avec les provisions mathématiques correspondantes ;</w:t>
            </w:r>
          </w:p>
          <w:p w14:paraId="0FCF66ED" w14:textId="77777777" w:rsidR="000F474B" w:rsidRDefault="000F474B" w:rsidP="00D040A2">
            <w:pPr>
              <w:pStyle w:val="Paragraphedeliste"/>
              <w:numPr>
                <w:ilvl w:val="0"/>
                <w:numId w:val="15"/>
              </w:numPr>
              <w:jc w:val="both"/>
            </w:pPr>
            <w:r>
              <w:t>Éléments démontrant le maintien des droits des assurés en termes de participation aux bénéfices (minimum réglementaire, participation contractuelle, provision pour participation aux bénéfices) ;</w:t>
            </w:r>
          </w:p>
          <w:p w14:paraId="22AC3E15" w14:textId="50C8915F" w:rsidR="000F474B" w:rsidRDefault="000F474B" w:rsidP="00D040A2">
            <w:pPr>
              <w:pStyle w:val="Paragraphedeliste"/>
              <w:numPr>
                <w:ilvl w:val="0"/>
                <w:numId w:val="15"/>
              </w:numPr>
              <w:jc w:val="both"/>
            </w:pPr>
            <w:r>
              <w:t>Descriptif du traitement concret de l’obligation de bagage des actifs transférés</w:t>
            </w:r>
            <w:r w:rsidR="00C43037">
              <w:rPr>
                <w:rStyle w:val="Appelnotedebasdep"/>
              </w:rPr>
              <w:footnoteReference w:id="13"/>
            </w:r>
            <w:r>
              <w:t>.</w:t>
            </w:r>
          </w:p>
        </w:tc>
      </w:tr>
      <w:tr w:rsidR="000F474B" w14:paraId="43A75CAF" w14:textId="77777777" w:rsidTr="00A03333">
        <w:tc>
          <w:tcPr>
            <w:tcW w:w="1626" w:type="dxa"/>
          </w:tcPr>
          <w:p w14:paraId="72A05739" w14:textId="77777777" w:rsidR="000F474B" w:rsidRDefault="000F474B" w:rsidP="00D57A1D">
            <w:r>
              <w:t xml:space="preserve">J </w:t>
            </w:r>
            <w:r w:rsidR="009F7A5F">
              <w:t>–</w:t>
            </w:r>
            <w:r>
              <w:t xml:space="preserve"> </w:t>
            </w:r>
            <w:r w:rsidR="009F7A5F">
              <w:t>Organismes de retraite professionnelle supplémentaire</w:t>
            </w:r>
          </w:p>
        </w:tc>
        <w:tc>
          <w:tcPr>
            <w:tcW w:w="7436" w:type="dxa"/>
          </w:tcPr>
          <w:p w14:paraId="0C3F1B33" w14:textId="6AEA443B" w:rsidR="009F7A5F" w:rsidRPr="009F7A5F" w:rsidRDefault="009F7A5F" w:rsidP="00D040A2">
            <w:pPr>
              <w:pStyle w:val="Default"/>
              <w:jc w:val="both"/>
              <w:rPr>
                <w:sz w:val="22"/>
                <w:szCs w:val="22"/>
              </w:rPr>
            </w:pPr>
            <w:r w:rsidRPr="009F7A5F">
              <w:rPr>
                <w:sz w:val="22"/>
                <w:szCs w:val="22"/>
              </w:rPr>
              <w:t xml:space="preserve">Pour les transferts entre organismes d’assurance et </w:t>
            </w:r>
            <w:r>
              <w:rPr>
                <w:sz w:val="22"/>
                <w:szCs w:val="22"/>
              </w:rPr>
              <w:t>o</w:t>
            </w:r>
            <w:r w:rsidRPr="00D040A2">
              <w:rPr>
                <w:sz w:val="22"/>
                <w:szCs w:val="22"/>
              </w:rPr>
              <w:t>rganismes de retraite professionnelle supplémentaire</w:t>
            </w:r>
            <w:r>
              <w:rPr>
                <w:rStyle w:val="Appelnotedebasdep"/>
                <w:sz w:val="22"/>
                <w:szCs w:val="22"/>
              </w:rPr>
              <w:footnoteReference w:id="14"/>
            </w:r>
            <w:r w:rsidR="00403D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ainsi que les transf</w:t>
            </w:r>
            <w:r w:rsidRPr="009F7A5F">
              <w:rPr>
                <w:sz w:val="22"/>
                <w:szCs w:val="22"/>
              </w:rPr>
              <w:t xml:space="preserve">erts entre </w:t>
            </w:r>
            <w:r>
              <w:rPr>
                <w:sz w:val="22"/>
                <w:szCs w:val="22"/>
              </w:rPr>
              <w:t xml:space="preserve">organismes </w:t>
            </w:r>
            <w:r w:rsidRPr="009F7A5F">
              <w:rPr>
                <w:sz w:val="22"/>
                <w:szCs w:val="22"/>
              </w:rPr>
              <w:t>de retrai</w:t>
            </w:r>
            <w:r>
              <w:rPr>
                <w:sz w:val="22"/>
                <w:szCs w:val="22"/>
              </w:rPr>
              <w:t>te professionnelle supplémentaire</w:t>
            </w:r>
            <w:r>
              <w:rPr>
                <w:rStyle w:val="Appelnotedebasdep"/>
                <w:sz w:val="22"/>
                <w:szCs w:val="22"/>
              </w:rPr>
              <w:footnoteReference w:id="15"/>
            </w:r>
            <w:r>
              <w:rPr>
                <w:sz w:val="22"/>
                <w:szCs w:val="22"/>
              </w:rPr>
              <w:t xml:space="preserve"> </w:t>
            </w:r>
            <w:r w:rsidRPr="009F7A5F">
              <w:rPr>
                <w:sz w:val="22"/>
                <w:szCs w:val="22"/>
              </w:rPr>
              <w:t>:</w:t>
            </w:r>
          </w:p>
          <w:p w14:paraId="6C031FCF" w14:textId="397DC7B3" w:rsidR="009F7A5F" w:rsidRDefault="009F7A5F" w:rsidP="00D040A2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lis</w:t>
            </w:r>
            <w:r w:rsidRPr="009F7A5F">
              <w:rPr>
                <w:sz w:val="22"/>
                <w:szCs w:val="22"/>
              </w:rPr>
              <w:t>te précise des contrats entrant dans le périmètr</w:t>
            </w:r>
            <w:r>
              <w:rPr>
                <w:sz w:val="22"/>
                <w:szCs w:val="22"/>
              </w:rPr>
              <w:t>e du transfert de portefeuill</w:t>
            </w:r>
            <w:r w:rsidRPr="009F7A5F">
              <w:rPr>
                <w:sz w:val="22"/>
                <w:szCs w:val="22"/>
              </w:rPr>
              <w:t>e, leurs</w:t>
            </w:r>
            <w:r>
              <w:rPr>
                <w:sz w:val="22"/>
                <w:szCs w:val="22"/>
              </w:rPr>
              <w:t xml:space="preserve"> </w:t>
            </w:r>
            <w:r w:rsidRPr="009F7A5F">
              <w:rPr>
                <w:sz w:val="22"/>
                <w:szCs w:val="22"/>
              </w:rPr>
              <w:t>caractéristiques et la justification de leur éligibilité aux activités afférentes au</w:t>
            </w:r>
            <w:r>
              <w:rPr>
                <w:sz w:val="22"/>
                <w:szCs w:val="22"/>
              </w:rPr>
              <w:t>x</w:t>
            </w:r>
            <w:r w:rsidRPr="009F7A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organismes </w:t>
            </w:r>
            <w:r w:rsidRPr="009F7A5F">
              <w:rPr>
                <w:sz w:val="22"/>
                <w:szCs w:val="22"/>
              </w:rPr>
              <w:t>de retraite</w:t>
            </w:r>
            <w:r>
              <w:rPr>
                <w:sz w:val="22"/>
                <w:szCs w:val="22"/>
              </w:rPr>
              <w:t xml:space="preserve"> </w:t>
            </w:r>
            <w:r w:rsidRPr="009F7A5F">
              <w:rPr>
                <w:sz w:val="22"/>
                <w:szCs w:val="22"/>
              </w:rPr>
              <w:t>professionnelle supplémentaire</w:t>
            </w:r>
            <w:r w:rsidR="00C43037">
              <w:rPr>
                <w:sz w:val="22"/>
                <w:szCs w:val="22"/>
              </w:rPr>
              <w:t>.</w:t>
            </w:r>
          </w:p>
          <w:p w14:paraId="4EE82F73" w14:textId="2962DDDE" w:rsidR="009F7A5F" w:rsidRDefault="009F7A5F" w:rsidP="00D040A2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9F7A5F">
              <w:rPr>
                <w:sz w:val="22"/>
                <w:szCs w:val="22"/>
              </w:rPr>
              <w:t>Les états avant et après transfert décrivant la couverture des engagements réglementés et la marge de solvabilité</w:t>
            </w:r>
            <w:r w:rsidR="00C43037">
              <w:rPr>
                <w:sz w:val="22"/>
                <w:szCs w:val="22"/>
              </w:rPr>
              <w:t>.</w:t>
            </w:r>
          </w:p>
          <w:p w14:paraId="3C71344E" w14:textId="1049C4FF" w:rsidR="009F7A5F" w:rsidRDefault="009F7A5F" w:rsidP="00D040A2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9F7A5F">
              <w:rPr>
                <w:sz w:val="22"/>
                <w:szCs w:val="22"/>
              </w:rPr>
              <w:t>Le cas échéant, pour les transferts dont la cédante relève du régime dit «</w:t>
            </w:r>
            <w:r>
              <w:rPr>
                <w:sz w:val="22"/>
                <w:szCs w:val="22"/>
              </w:rPr>
              <w:t xml:space="preserve"> </w:t>
            </w:r>
            <w:r w:rsidRPr="009F7A5F">
              <w:rPr>
                <w:sz w:val="22"/>
                <w:szCs w:val="22"/>
              </w:rPr>
              <w:t>Solvabilité II », les éléments mentionnés ci- dessus au point</w:t>
            </w:r>
            <w:r>
              <w:rPr>
                <w:sz w:val="22"/>
                <w:szCs w:val="22"/>
              </w:rPr>
              <w:t xml:space="preserve"> E </w:t>
            </w:r>
            <w:r w:rsidR="00C4303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6</w:t>
            </w:r>
            <w:r w:rsidR="00C43037">
              <w:rPr>
                <w:sz w:val="22"/>
                <w:szCs w:val="22"/>
              </w:rPr>
              <w:t>.</w:t>
            </w:r>
          </w:p>
          <w:p w14:paraId="5DF072E5" w14:textId="10791EC1" w:rsidR="009F7A5F" w:rsidRDefault="009F7A5F" w:rsidP="00D040A2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9F7A5F">
              <w:rPr>
                <w:sz w:val="22"/>
                <w:szCs w:val="22"/>
              </w:rPr>
              <w:t>Les hypothèses, projections et résultats du test de résistance</w:t>
            </w:r>
            <w:r w:rsidR="00C43037">
              <w:rPr>
                <w:rStyle w:val="Appelnotedebasdep"/>
                <w:sz w:val="22"/>
                <w:szCs w:val="22"/>
              </w:rPr>
              <w:footnoteReference w:id="16"/>
            </w:r>
            <w:r w:rsidRPr="009F7A5F">
              <w:rPr>
                <w:sz w:val="22"/>
                <w:szCs w:val="22"/>
              </w:rPr>
              <w:t xml:space="preserve"> avant et après opération pour les </w:t>
            </w:r>
            <w:r w:rsidR="00C43037">
              <w:rPr>
                <w:sz w:val="22"/>
                <w:szCs w:val="22"/>
              </w:rPr>
              <w:t xml:space="preserve">organismes </w:t>
            </w:r>
            <w:r w:rsidRPr="009F7A5F">
              <w:rPr>
                <w:sz w:val="22"/>
                <w:szCs w:val="22"/>
              </w:rPr>
              <w:t>de retraite professionnelle supplémentaire</w:t>
            </w:r>
            <w:r w:rsidR="00C43037">
              <w:rPr>
                <w:sz w:val="22"/>
                <w:szCs w:val="22"/>
              </w:rPr>
              <w:t xml:space="preserve">. </w:t>
            </w:r>
          </w:p>
          <w:p w14:paraId="6C749DDF" w14:textId="627CAAA3" w:rsidR="00620F33" w:rsidRDefault="009F7A5F" w:rsidP="00D040A2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9F7A5F">
              <w:rPr>
                <w:sz w:val="22"/>
                <w:szCs w:val="22"/>
              </w:rPr>
              <w:t>La liste de</w:t>
            </w:r>
            <w:r>
              <w:rPr>
                <w:sz w:val="22"/>
                <w:szCs w:val="22"/>
              </w:rPr>
              <w:t>s contrats transférés avec les provisions m</w:t>
            </w:r>
            <w:r w:rsidRPr="009F7A5F">
              <w:rPr>
                <w:sz w:val="22"/>
                <w:szCs w:val="22"/>
              </w:rPr>
              <w:t>athématiques</w:t>
            </w:r>
            <w:r>
              <w:rPr>
                <w:sz w:val="22"/>
                <w:szCs w:val="22"/>
              </w:rPr>
              <w:t xml:space="preserve"> </w:t>
            </w:r>
            <w:r w:rsidRPr="009F7A5F">
              <w:rPr>
                <w:sz w:val="22"/>
                <w:szCs w:val="22"/>
              </w:rPr>
              <w:t>correspondantes</w:t>
            </w:r>
            <w:r w:rsidR="00C43037">
              <w:rPr>
                <w:sz w:val="22"/>
                <w:szCs w:val="22"/>
              </w:rPr>
              <w:t>.</w:t>
            </w:r>
          </w:p>
          <w:p w14:paraId="50D95651" w14:textId="63AB2B72" w:rsidR="00620F33" w:rsidRDefault="009F7A5F" w:rsidP="00D040A2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9F7A5F">
              <w:rPr>
                <w:sz w:val="22"/>
                <w:szCs w:val="22"/>
              </w:rPr>
              <w:t>Éléments démontrant le maintien des droits des assurés en termes de participation aux</w:t>
            </w:r>
            <w:r w:rsidR="00620F33">
              <w:rPr>
                <w:sz w:val="22"/>
                <w:szCs w:val="22"/>
              </w:rPr>
              <w:t xml:space="preserve"> </w:t>
            </w:r>
            <w:r w:rsidRPr="00620F33">
              <w:rPr>
                <w:sz w:val="22"/>
                <w:szCs w:val="22"/>
              </w:rPr>
              <w:t>bénéfices (minimum réglementaire, participation contractuelle, provision pour</w:t>
            </w:r>
            <w:r w:rsidR="00620F33">
              <w:rPr>
                <w:sz w:val="22"/>
                <w:szCs w:val="22"/>
              </w:rPr>
              <w:t xml:space="preserve"> </w:t>
            </w:r>
            <w:r w:rsidRPr="00620F33">
              <w:rPr>
                <w:sz w:val="22"/>
                <w:szCs w:val="22"/>
              </w:rPr>
              <w:t>participation aux bénéfices)</w:t>
            </w:r>
            <w:r w:rsidR="00C43037">
              <w:rPr>
                <w:sz w:val="22"/>
                <w:szCs w:val="22"/>
              </w:rPr>
              <w:t>.</w:t>
            </w:r>
          </w:p>
          <w:p w14:paraId="3CD14741" w14:textId="1C7FDAAF" w:rsidR="000F474B" w:rsidRPr="00620F33" w:rsidRDefault="009F7A5F" w:rsidP="00D040A2">
            <w:pPr>
              <w:pStyle w:val="Default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620F33">
              <w:rPr>
                <w:sz w:val="22"/>
                <w:szCs w:val="22"/>
              </w:rPr>
              <w:t>Descriptif du traitement concret de l’obligation de bagage des actifs transférés</w:t>
            </w:r>
            <w:r w:rsidR="00C43037">
              <w:rPr>
                <w:rStyle w:val="Appelnotedebasdep"/>
                <w:sz w:val="22"/>
                <w:szCs w:val="22"/>
              </w:rPr>
              <w:footnoteReference w:id="17"/>
            </w:r>
            <w:r w:rsidRPr="00620F33">
              <w:rPr>
                <w:sz w:val="22"/>
                <w:szCs w:val="22"/>
              </w:rPr>
              <w:t>.</w:t>
            </w:r>
          </w:p>
        </w:tc>
      </w:tr>
    </w:tbl>
    <w:p w14:paraId="069B77C6" w14:textId="77777777" w:rsidR="00D57A1D" w:rsidRDefault="00D57A1D" w:rsidP="00D57A1D"/>
    <w:p w14:paraId="154EA460" w14:textId="6FF525F1" w:rsidR="00620F33" w:rsidRPr="00DD51F5" w:rsidRDefault="00620F33" w:rsidP="00D040A2">
      <w:pPr>
        <w:jc w:val="both"/>
        <w:rPr>
          <w:caps/>
        </w:rPr>
      </w:pPr>
      <w:r w:rsidRPr="00DD51F5">
        <w:rPr>
          <w:caps/>
        </w:rPr>
        <w:lastRenderedPageBreak/>
        <w:t>LE DOSSIER EST À ADRESSER SOUS FORMAT ÉLECTRONIQUE À L’AUTORITÉ DE CONTRÔLE PRUDENTIEL ET DE RÉSOLUTION EN LE DÉPOSANT SUR LE PORTAIL EN LIGNE</w:t>
      </w:r>
      <w:r w:rsidR="00D040A2" w:rsidRPr="00DD51F5">
        <w:rPr>
          <w:caps/>
        </w:rPr>
        <w:t xml:space="preserve"> de l’ACPR</w:t>
      </w:r>
      <w:r w:rsidRPr="00DD51F5">
        <w:rPr>
          <w:caps/>
        </w:rPr>
        <w:t xml:space="preserve"> À L’ADRESSE SUIVANTE : </w:t>
      </w:r>
      <w:hyperlink r:id="rId8" w:history="1">
        <w:r w:rsidRPr="00DD51F5">
          <w:rPr>
            <w:rStyle w:val="Lienhypertexte"/>
            <w:caps/>
          </w:rPr>
          <w:t>HTTPS://ACPR-AUTORISATIONS.BANQUE-FRANCE.FR/</w:t>
        </w:r>
      </w:hyperlink>
      <w:r w:rsidRPr="00DD51F5">
        <w:rPr>
          <w:caps/>
        </w:rPr>
        <w:t xml:space="preserve"> </w:t>
      </w:r>
    </w:p>
    <w:sectPr w:rsidR="00620F33" w:rsidRPr="00DD51F5" w:rsidSect="00A03333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27DA" w14:textId="77777777" w:rsidR="008D31AB" w:rsidRDefault="008D31AB" w:rsidP="008D31AB">
      <w:pPr>
        <w:spacing w:after="0" w:line="240" w:lineRule="auto"/>
      </w:pPr>
      <w:r>
        <w:separator/>
      </w:r>
    </w:p>
  </w:endnote>
  <w:endnote w:type="continuationSeparator" w:id="0">
    <w:p w14:paraId="686B6780" w14:textId="77777777" w:rsidR="008D31AB" w:rsidRDefault="008D31AB" w:rsidP="008D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42C4" w14:textId="77777777" w:rsidR="008D31AB" w:rsidRDefault="008D31AB" w:rsidP="008D31AB">
      <w:pPr>
        <w:spacing w:after="0" w:line="240" w:lineRule="auto"/>
      </w:pPr>
      <w:r>
        <w:separator/>
      </w:r>
    </w:p>
  </w:footnote>
  <w:footnote w:type="continuationSeparator" w:id="0">
    <w:p w14:paraId="50BCAFDE" w14:textId="77777777" w:rsidR="008D31AB" w:rsidRDefault="008D31AB" w:rsidP="008D31AB">
      <w:pPr>
        <w:spacing w:after="0" w:line="240" w:lineRule="auto"/>
      </w:pPr>
      <w:r>
        <w:continuationSeparator/>
      </w:r>
    </w:p>
  </w:footnote>
  <w:footnote w:id="1">
    <w:p w14:paraId="69949A99" w14:textId="2ABD7B80" w:rsidR="008D31AB" w:rsidRDefault="008D31AB" w:rsidP="002F2F8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6E4C34">
        <w:t>P</w:t>
      </w:r>
      <w:r w:rsidR="006E4C34" w:rsidRPr="006E4C34">
        <w:t>révu par l</w:t>
      </w:r>
      <w:r w:rsidR="006E4C34">
        <w:t>’a</w:t>
      </w:r>
      <w:r w:rsidRPr="008D31AB">
        <w:t>rticle 423-13 du règlement de l’Autorité des normes comptables n° 2015-11 du 26 novembre 2015 relatif aux comptes annuels des entreprises d’assurance, de l’entité dont le portefeuille fait l’objet du transfert</w:t>
      </w:r>
      <w:r>
        <w:t>.</w:t>
      </w:r>
    </w:p>
  </w:footnote>
  <w:footnote w:id="2">
    <w:p w14:paraId="532AB2DC" w14:textId="32C2E68A" w:rsidR="00161F09" w:rsidRDefault="00161F09" w:rsidP="00AA230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161F09">
        <w:t>Mentionnés aux articles L. 310-3-1 du Code des assurances, L. 211-10 du Code de la mutualité et L. 931-6 du Code de la sécurité sociale.</w:t>
      </w:r>
    </w:p>
  </w:footnote>
  <w:footnote w:id="3">
    <w:p w14:paraId="04FBD0BA" w14:textId="2B26B281" w:rsidR="008D31AB" w:rsidRDefault="008D31AB" w:rsidP="002F2F8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161F09">
        <w:t>Conformément au r</w:t>
      </w:r>
      <w:r w:rsidR="0026451B">
        <w:t>èglement d’exécution</w:t>
      </w:r>
      <w:r w:rsidRPr="008D31AB">
        <w:t xml:space="preserve"> (UE) 20</w:t>
      </w:r>
      <w:r w:rsidR="00403D50">
        <w:t>23</w:t>
      </w:r>
      <w:r w:rsidRPr="008D31AB">
        <w:t>/</w:t>
      </w:r>
      <w:r w:rsidR="00403D50">
        <w:t>894</w:t>
      </w:r>
      <w:r w:rsidR="00403D50" w:rsidRPr="008D31AB">
        <w:t xml:space="preserve"> </w:t>
      </w:r>
      <w:r w:rsidR="0026451B">
        <w:t>de la Commission</w:t>
      </w:r>
      <w:r w:rsidRPr="008D31AB">
        <w:t xml:space="preserve"> du </w:t>
      </w:r>
      <w:r w:rsidR="00403D50">
        <w:t>4 avril</w:t>
      </w:r>
      <w:r w:rsidR="00403D50" w:rsidRPr="008D31AB">
        <w:t xml:space="preserve"> </w:t>
      </w:r>
      <w:r w:rsidRPr="008D31AB">
        <w:t>20</w:t>
      </w:r>
      <w:r w:rsidR="00403D50">
        <w:t>23</w:t>
      </w:r>
      <w:r w:rsidRPr="008D31AB">
        <w:t xml:space="preserve"> définissant</w:t>
      </w:r>
      <w:r w:rsidR="00403D50">
        <w:t>, pour l’application de la directive 2009/138/CE du Parlement européen et du Conseil,</w:t>
      </w:r>
      <w:r w:rsidRPr="008D31AB">
        <w:t xml:space="preserve"> des normes techniques d'exécution concern</w:t>
      </w:r>
      <w:r w:rsidR="00403D50">
        <w:t>ant</w:t>
      </w:r>
      <w:r w:rsidRPr="008D31AB">
        <w:t xml:space="preserve"> les modèles </w:t>
      </w:r>
      <w:r w:rsidR="00403D50">
        <w:t>à utiliser pour la</w:t>
      </w:r>
      <w:r w:rsidRPr="008D31AB">
        <w:t xml:space="preserve"> communication</w:t>
      </w:r>
      <w:r w:rsidR="00403D50">
        <w:t>, par les entreprises d’assurance et de réassurance</w:t>
      </w:r>
      <w:r w:rsidRPr="008D31AB">
        <w:t xml:space="preserve"> </w:t>
      </w:r>
      <w:r w:rsidR="00403D50">
        <w:t>à leurs</w:t>
      </w:r>
      <w:r w:rsidRPr="008D31AB">
        <w:t xml:space="preserve"> autorités de contrôle</w:t>
      </w:r>
      <w:r w:rsidR="00403D50">
        <w:t>, des informations nécessaires à leur contrôle</w:t>
      </w:r>
      <w:r w:rsidRPr="008D31AB">
        <w:t xml:space="preserve"> en vertu de la directive 2009/138/CE du Parlement européen et du Conseil</w:t>
      </w:r>
    </w:p>
  </w:footnote>
  <w:footnote w:id="4">
    <w:p w14:paraId="62DF8B5B" w14:textId="2E8C54CE" w:rsidR="00161F09" w:rsidRDefault="00161F09" w:rsidP="00AA230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bookmarkStart w:id="3" w:name="_Hlk205571517"/>
      <w:r>
        <w:t>M</w:t>
      </w:r>
      <w:r w:rsidRPr="00161F09">
        <w:t xml:space="preserve">entionnées aux articles L. 310-3-2 du </w:t>
      </w:r>
      <w:r w:rsidR="00C43037">
        <w:t>C</w:t>
      </w:r>
      <w:r w:rsidR="00D208E4">
        <w:t xml:space="preserve">ode </w:t>
      </w:r>
      <w:r w:rsidRPr="00161F09">
        <w:t xml:space="preserve">des assurances, L. 211-11 du </w:t>
      </w:r>
      <w:r w:rsidR="00C43037">
        <w:t>C</w:t>
      </w:r>
      <w:r w:rsidRPr="00161F09">
        <w:t xml:space="preserve">ode de la mutualité et L. 931-6-1 du </w:t>
      </w:r>
      <w:r w:rsidR="00C43037">
        <w:t>C</w:t>
      </w:r>
      <w:r w:rsidRPr="00161F09">
        <w:t>ode de la Sécurité sociale</w:t>
      </w:r>
      <w:r>
        <w:t>.</w:t>
      </w:r>
      <w:bookmarkEnd w:id="3"/>
    </w:p>
  </w:footnote>
  <w:footnote w:id="5">
    <w:p w14:paraId="4C70D757" w14:textId="3D0DCB61" w:rsidR="00161F09" w:rsidRDefault="00161F09" w:rsidP="00AA230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bookmarkStart w:id="4" w:name="_Hlk205571559"/>
      <w:r>
        <w:t>P</w:t>
      </w:r>
      <w:r w:rsidRPr="00161F09">
        <w:t xml:space="preserve">révu à l’article L. 352-5 du </w:t>
      </w:r>
      <w:r>
        <w:t>C</w:t>
      </w:r>
      <w:r w:rsidRPr="00161F09">
        <w:t>ode des assurances</w:t>
      </w:r>
      <w:r>
        <w:t>.</w:t>
      </w:r>
      <w:bookmarkEnd w:id="4"/>
    </w:p>
  </w:footnote>
  <w:footnote w:id="6">
    <w:p w14:paraId="67EB7AFC" w14:textId="6BA46AE0" w:rsidR="00AB0295" w:rsidRDefault="00AB0295" w:rsidP="00AA230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bookmarkStart w:id="5" w:name="_Hlk205571621"/>
      <w:r>
        <w:t>P</w:t>
      </w:r>
      <w:r w:rsidRPr="00AB0295">
        <w:t xml:space="preserve">révu à l’article L. 352-1 du </w:t>
      </w:r>
      <w:r w:rsidR="00C43037">
        <w:t>C</w:t>
      </w:r>
      <w:r w:rsidRPr="00AB0295">
        <w:t>ode des assurances</w:t>
      </w:r>
      <w:r>
        <w:t>.</w:t>
      </w:r>
      <w:bookmarkEnd w:id="5"/>
    </w:p>
  </w:footnote>
  <w:footnote w:id="7">
    <w:p w14:paraId="4B832DAF" w14:textId="6962913F" w:rsidR="006211EE" w:rsidRDefault="006211EE" w:rsidP="002F2F8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Conformément à l’article R.352-15 du </w:t>
      </w:r>
      <w:r w:rsidR="00C43037">
        <w:t>C</w:t>
      </w:r>
      <w:r>
        <w:t xml:space="preserve">ode des assurances, à l’article 7 du règlement d’exécution (UE) 2015/460, aux points 3.1. </w:t>
      </w:r>
      <w:proofErr w:type="gramStart"/>
      <w:r>
        <w:t>et</w:t>
      </w:r>
      <w:proofErr w:type="gramEnd"/>
      <w:r>
        <w:t xml:space="preserve"> 3.4. </w:t>
      </w:r>
      <w:proofErr w:type="gramStart"/>
      <w:r>
        <w:t>de</w:t>
      </w:r>
      <w:proofErr w:type="gramEnd"/>
      <w:r>
        <w:t xml:space="preserve"> la Notice Solvabilité II – Modèles internes.</w:t>
      </w:r>
    </w:p>
  </w:footnote>
  <w:footnote w:id="8">
    <w:p w14:paraId="20BC10EE" w14:textId="77777777" w:rsidR="004D7FB5" w:rsidRDefault="004D7FB5" w:rsidP="007157D2">
      <w:pPr>
        <w:pStyle w:val="Notedebasdepage"/>
        <w:jc w:val="both"/>
        <w:rPr>
          <w:rFonts w:cstheme="minorHAnsi"/>
        </w:rPr>
      </w:pPr>
      <w:r>
        <w:rPr>
          <w:rStyle w:val="Appelnotedebasdep"/>
          <w:rFonts w:cstheme="minorHAnsi"/>
        </w:rPr>
        <w:footnoteRef/>
      </w:r>
      <w:r>
        <w:rPr>
          <w:rFonts w:cstheme="minorHAnsi"/>
        </w:rPr>
        <w:t xml:space="preserve"> En cas de nouvelles nominations induites par l’opération, transmettre l’annexe 1 à l’instruction 2022-I-25, via le canal dédié.</w:t>
      </w:r>
    </w:p>
  </w:footnote>
  <w:footnote w:id="9">
    <w:p w14:paraId="69E24B15" w14:textId="77777777" w:rsidR="004D7FB5" w:rsidRDefault="004D7FB5" w:rsidP="007157D2">
      <w:pPr>
        <w:pStyle w:val="Notedebasdepage"/>
        <w:jc w:val="both"/>
        <w:rPr>
          <w:rFonts w:ascii="Tms Rmn" w:hAnsi="Tms Rmn" w:cs="Times New Roman"/>
        </w:rPr>
      </w:pPr>
      <w:r>
        <w:rPr>
          <w:rStyle w:val="Appelnotedebasdep"/>
          <w:rFonts w:cstheme="minorHAnsi"/>
        </w:rPr>
        <w:footnoteRef/>
      </w:r>
      <w:r>
        <w:rPr>
          <w:rFonts w:cstheme="minorHAnsi"/>
        </w:rPr>
        <w:t xml:space="preserve"> En cas de nouvelles nominations induites par l’opération, transmettre l’annexe 2 à l’instruction 2022-I-25, via le canal dédié.</w:t>
      </w:r>
    </w:p>
  </w:footnote>
  <w:footnote w:id="10">
    <w:p w14:paraId="027C82AC" w14:textId="3AD129BB" w:rsidR="000F474B" w:rsidRDefault="000F474B" w:rsidP="007157D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9F7A5F">
        <w:t>Les États et territoires tiers incluent notamment Monaco, la Nouvelle-Calédonie et la Polynésie française. L’ACPR n’étant pas territorialement compétente pour se prononcer sur les transferts de risques localisés dans des États et territoires tiers</w:t>
      </w:r>
      <w:r w:rsidR="004D7FB5">
        <w:t xml:space="preserve"> (</w:t>
      </w:r>
      <w:proofErr w:type="gramStart"/>
      <w:r w:rsidR="004D7FB5">
        <w:t>hors</w:t>
      </w:r>
      <w:proofErr w:type="gramEnd"/>
      <w:r w:rsidR="004D7FB5">
        <w:t xml:space="preserve"> EEE)</w:t>
      </w:r>
      <w:r w:rsidR="009F7A5F">
        <w:t>, les organismes sont invités à prendre attache avec les autorités locales.</w:t>
      </w:r>
    </w:p>
  </w:footnote>
  <w:footnote w:id="11">
    <w:p w14:paraId="066FE3D5" w14:textId="11A69780" w:rsidR="004D7FB5" w:rsidRDefault="004D7FB5" w:rsidP="007157D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Pour les États de l’EEE, l’ensemble des éléments </w:t>
      </w:r>
      <w:r w:rsidR="00AA230E">
        <w:t>correspondants prévus par le</w:t>
      </w:r>
      <w:r w:rsidRPr="004D7FB5">
        <w:t xml:space="preserve"> 4.4.1.4 de </w:t>
      </w:r>
      <w:r w:rsidR="001B191D">
        <w:t xml:space="preserve">l’annexe à </w:t>
      </w:r>
      <w:r w:rsidRPr="004D7FB5">
        <w:t>la décision EIOPA</w:t>
      </w:r>
      <w:r w:rsidR="00C43037">
        <w:t>-BoS-21-234.</w:t>
      </w:r>
    </w:p>
  </w:footnote>
  <w:footnote w:id="12">
    <w:p w14:paraId="7DADA9C4" w14:textId="0A755D77" w:rsidR="00620F33" w:rsidRDefault="00620F33" w:rsidP="007157D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T</w:t>
      </w:r>
      <w:r w:rsidRPr="00620F33">
        <w:t xml:space="preserve">el qu’il résulte de l’application des dispositions des articles L. 212-6 et R. 212-10 du </w:t>
      </w:r>
      <w:r w:rsidR="00C43037">
        <w:t>C</w:t>
      </w:r>
      <w:r w:rsidRPr="00620F33">
        <w:t xml:space="preserve">ode de la mutualité, L. 344-1 et R. 344-1 du </w:t>
      </w:r>
      <w:r w:rsidR="00C43037">
        <w:t>C</w:t>
      </w:r>
      <w:r w:rsidRPr="00620F33">
        <w:t xml:space="preserve">ode des assurances, L. 931-32 et R. 931-11-9 du </w:t>
      </w:r>
      <w:r w:rsidR="00C43037">
        <w:t>C</w:t>
      </w:r>
      <w:r w:rsidRPr="00620F33">
        <w:t>ode de la Sécurité sociale</w:t>
      </w:r>
      <w:r>
        <w:t>.</w:t>
      </w:r>
    </w:p>
  </w:footnote>
  <w:footnote w:id="13">
    <w:p w14:paraId="2E7F15A4" w14:textId="411723E4" w:rsidR="00C43037" w:rsidRDefault="00C43037" w:rsidP="007157D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</w:t>
      </w:r>
      <w:r w:rsidRPr="00C43037">
        <w:t xml:space="preserve">révue à l’article L. 324-7 du </w:t>
      </w:r>
      <w:r>
        <w:t>C</w:t>
      </w:r>
      <w:r w:rsidRPr="00C43037">
        <w:t>ode des assurances</w:t>
      </w:r>
      <w:r>
        <w:t>.</w:t>
      </w:r>
    </w:p>
  </w:footnote>
  <w:footnote w:id="14">
    <w:p w14:paraId="0A56C7A2" w14:textId="6FE32170" w:rsidR="009F7A5F" w:rsidRDefault="009F7A5F" w:rsidP="007157D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F</w:t>
      </w:r>
      <w:r w:rsidRPr="009F7A5F">
        <w:t xml:space="preserve">onds de retraite professionnelle supplémentaire, institutions de retraite professionnelle supplémentaire, mutuelles ou unions de retraite professionnelle supplémentaire (articles L. 384-1 et L. 384-2 du </w:t>
      </w:r>
      <w:r w:rsidR="00C43037">
        <w:t>C</w:t>
      </w:r>
      <w:r w:rsidRPr="009F7A5F">
        <w:t>ode des assurances, L. 942-</w:t>
      </w:r>
      <w:r w:rsidR="0086079C">
        <w:t>9</w:t>
      </w:r>
      <w:r w:rsidR="0086079C" w:rsidRPr="009F7A5F">
        <w:t xml:space="preserve"> </w:t>
      </w:r>
      <w:r w:rsidRPr="009F7A5F">
        <w:t xml:space="preserve">du </w:t>
      </w:r>
      <w:r w:rsidR="00C43037">
        <w:t>C</w:t>
      </w:r>
      <w:r w:rsidRPr="009F7A5F">
        <w:t>ode de la Sécurité sociale et L. 214-</w:t>
      </w:r>
      <w:r w:rsidR="0086079C">
        <w:t>9</w:t>
      </w:r>
      <w:r w:rsidR="0086079C" w:rsidRPr="009F7A5F">
        <w:t xml:space="preserve"> </w:t>
      </w:r>
      <w:r w:rsidRPr="009F7A5F">
        <w:t xml:space="preserve">du </w:t>
      </w:r>
      <w:r w:rsidR="00C43037">
        <w:t>C</w:t>
      </w:r>
      <w:r w:rsidRPr="009F7A5F">
        <w:t>ode de la mutualité)</w:t>
      </w:r>
    </w:p>
  </w:footnote>
  <w:footnote w:id="15">
    <w:p w14:paraId="1DD6AC00" w14:textId="628F08D9" w:rsidR="009F7A5F" w:rsidRDefault="009F7A5F" w:rsidP="007157D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Articles L. 384-3 et L. 384-4 du </w:t>
      </w:r>
      <w:r w:rsidR="00C43037">
        <w:t>C</w:t>
      </w:r>
      <w:r>
        <w:t xml:space="preserve">ode des assurances, L. 942-10 du </w:t>
      </w:r>
      <w:r w:rsidR="00C43037">
        <w:t>C</w:t>
      </w:r>
      <w:r>
        <w:t>ode de la</w:t>
      </w:r>
      <w:r w:rsidR="00D040A2">
        <w:t xml:space="preserve"> </w:t>
      </w:r>
      <w:r>
        <w:t xml:space="preserve">Sécurité sociale et </w:t>
      </w:r>
      <w:r w:rsidR="000F77C1">
        <w:t xml:space="preserve">L. 214-10, </w:t>
      </w:r>
      <w:r>
        <w:t xml:space="preserve">L. 214-11 et L. 214-12 du </w:t>
      </w:r>
      <w:r w:rsidR="00C43037">
        <w:t>C</w:t>
      </w:r>
      <w:r>
        <w:t>ode de la mutualité.</w:t>
      </w:r>
    </w:p>
  </w:footnote>
  <w:footnote w:id="16">
    <w:p w14:paraId="459D07EA" w14:textId="1C107BB1" w:rsidR="00C43037" w:rsidRDefault="00C43037" w:rsidP="007157D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D</w:t>
      </w:r>
      <w:r w:rsidRPr="00C43037">
        <w:t>éfinis à l’article L. 385-</w:t>
      </w:r>
      <w:r w:rsidR="00D56718">
        <w:t>3</w:t>
      </w:r>
      <w:r>
        <w:t xml:space="preserve"> du Code des assurances.</w:t>
      </w:r>
    </w:p>
  </w:footnote>
  <w:footnote w:id="17">
    <w:p w14:paraId="315D2C53" w14:textId="2802F153" w:rsidR="00C43037" w:rsidRPr="00C43037" w:rsidRDefault="00C43037" w:rsidP="007157D2">
      <w:pPr>
        <w:pStyle w:val="Notedebasdepage"/>
        <w:jc w:val="both"/>
      </w:pPr>
      <w:r w:rsidRPr="00C43037">
        <w:rPr>
          <w:rStyle w:val="Appelnotedebasdep"/>
        </w:rPr>
        <w:footnoteRef/>
      </w:r>
      <w:r w:rsidRPr="00C43037">
        <w:t xml:space="preserve"> </w:t>
      </w:r>
      <w:r w:rsidRPr="00DD51F5">
        <w:t>Prévue à l’article L. 384-5 du Code des assurances.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0ADF" w14:textId="7DA24015" w:rsidR="00FC21C7" w:rsidRDefault="00FC21C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816F1F" wp14:editId="3392277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9810" cy="357505"/>
              <wp:effectExtent l="0" t="0" r="0" b="4445"/>
              <wp:wrapNone/>
              <wp:docPr id="1588570210" name="Zone de texte 2" descr="ACPR-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EE3CC" w14:textId="0445C68E" w:rsidR="00FC21C7" w:rsidRPr="00FC21C7" w:rsidRDefault="00FC21C7" w:rsidP="00FC21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1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ACPR-INTERNE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16F1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ACPR-INTERNE" style="position:absolute;margin-left:29.1pt;margin-top:0;width:80.3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" filled="f" stroked="f">
              <v:textbox style="mso-fit-shape-to-text:t" inset="0,15pt,20pt,0">
                <w:txbxContent>
                  <w:p w14:paraId="060EE3CC" w14:textId="0445C68E" w:rsidR="00FC21C7" w:rsidRPr="00FC21C7" w:rsidRDefault="00FC21C7" w:rsidP="00FC21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1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ACPR-INTERNE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261847"/>
      <w:docPartObj>
        <w:docPartGallery w:val="Page Numbers (Top of Page)"/>
        <w:docPartUnique/>
      </w:docPartObj>
    </w:sdtPr>
    <w:sdtContent>
      <w:p w14:paraId="402C6CA4" w14:textId="62633886" w:rsidR="00A03333" w:rsidRDefault="00A0333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31F94" w14:textId="77777777" w:rsidR="00A03333" w:rsidRDefault="00A033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4E0F" w14:textId="446DDA79" w:rsidR="00FC21C7" w:rsidRDefault="00FC21C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63276D" wp14:editId="77DD29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9810" cy="357505"/>
              <wp:effectExtent l="0" t="0" r="0" b="4445"/>
              <wp:wrapNone/>
              <wp:docPr id="1933986816" name="Zone de texte 1" descr="ACPR-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1DF59" w14:textId="39D243E1" w:rsidR="00FC21C7" w:rsidRPr="00FC21C7" w:rsidRDefault="00FC21C7" w:rsidP="00FC21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1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ACPR-INTERNE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3276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ACPR-INTERNE" style="position:absolute;margin-left:29.1pt;margin-top:0;width:80.3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" filled="f" stroked="f">
              <v:textbox style="mso-fit-shape-to-text:t" inset="0,15pt,20pt,0">
                <w:txbxContent>
                  <w:p w14:paraId="63B1DF59" w14:textId="39D243E1" w:rsidR="00FC21C7" w:rsidRPr="00FC21C7" w:rsidRDefault="00FC21C7" w:rsidP="00FC21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1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ACPR-INTERNE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50B"/>
    <w:multiLevelType w:val="hybridMultilevel"/>
    <w:tmpl w:val="C220BA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4619"/>
    <w:multiLevelType w:val="hybridMultilevel"/>
    <w:tmpl w:val="E20A2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2D6F"/>
    <w:multiLevelType w:val="hybridMultilevel"/>
    <w:tmpl w:val="94645F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1608"/>
    <w:multiLevelType w:val="hybridMultilevel"/>
    <w:tmpl w:val="684E15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7C2A"/>
    <w:multiLevelType w:val="hybridMultilevel"/>
    <w:tmpl w:val="F0E05F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7450A"/>
    <w:multiLevelType w:val="hybridMultilevel"/>
    <w:tmpl w:val="A594C4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43A90"/>
    <w:multiLevelType w:val="hybridMultilevel"/>
    <w:tmpl w:val="CC461A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266E3"/>
    <w:multiLevelType w:val="hybridMultilevel"/>
    <w:tmpl w:val="CC461A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506A"/>
    <w:multiLevelType w:val="hybridMultilevel"/>
    <w:tmpl w:val="60B2F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38F7"/>
    <w:multiLevelType w:val="hybridMultilevel"/>
    <w:tmpl w:val="2CCC0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F10AB"/>
    <w:multiLevelType w:val="hybridMultilevel"/>
    <w:tmpl w:val="D46811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153FE"/>
    <w:multiLevelType w:val="hybridMultilevel"/>
    <w:tmpl w:val="D1FC35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D4C"/>
    <w:multiLevelType w:val="hybridMultilevel"/>
    <w:tmpl w:val="0C22B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70917"/>
    <w:multiLevelType w:val="hybridMultilevel"/>
    <w:tmpl w:val="F468EA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AEE"/>
    <w:multiLevelType w:val="hybridMultilevel"/>
    <w:tmpl w:val="C1E87DF2"/>
    <w:lvl w:ilvl="0" w:tplc="965267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92EF7"/>
    <w:multiLevelType w:val="hybridMultilevel"/>
    <w:tmpl w:val="E312E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1C"/>
    <w:multiLevelType w:val="hybridMultilevel"/>
    <w:tmpl w:val="4A3EB5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47BA"/>
    <w:multiLevelType w:val="hybridMultilevel"/>
    <w:tmpl w:val="D13C79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74597"/>
    <w:multiLevelType w:val="hybridMultilevel"/>
    <w:tmpl w:val="E6ACF0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B7DFA"/>
    <w:multiLevelType w:val="hybridMultilevel"/>
    <w:tmpl w:val="83667C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266C87"/>
    <w:multiLevelType w:val="hybridMultilevel"/>
    <w:tmpl w:val="D80279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B3AFF"/>
    <w:multiLevelType w:val="hybridMultilevel"/>
    <w:tmpl w:val="0A3867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277EA"/>
    <w:multiLevelType w:val="hybridMultilevel"/>
    <w:tmpl w:val="B84E06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21F43"/>
    <w:multiLevelType w:val="hybridMultilevel"/>
    <w:tmpl w:val="11089C2E"/>
    <w:lvl w:ilvl="0" w:tplc="040C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 w16cid:durableId="191840681">
    <w:abstractNumId w:val="22"/>
  </w:num>
  <w:num w:numId="2" w16cid:durableId="1452437506">
    <w:abstractNumId w:val="20"/>
  </w:num>
  <w:num w:numId="3" w16cid:durableId="271786868">
    <w:abstractNumId w:val="0"/>
  </w:num>
  <w:num w:numId="4" w16cid:durableId="1950120987">
    <w:abstractNumId w:val="3"/>
  </w:num>
  <w:num w:numId="5" w16cid:durableId="1655530687">
    <w:abstractNumId w:val="6"/>
  </w:num>
  <w:num w:numId="6" w16cid:durableId="900288105">
    <w:abstractNumId w:val="14"/>
  </w:num>
  <w:num w:numId="7" w16cid:durableId="850026878">
    <w:abstractNumId w:val="12"/>
  </w:num>
  <w:num w:numId="8" w16cid:durableId="1717270026">
    <w:abstractNumId w:val="23"/>
  </w:num>
  <w:num w:numId="9" w16cid:durableId="459609498">
    <w:abstractNumId w:val="13"/>
  </w:num>
  <w:num w:numId="10" w16cid:durableId="1206482232">
    <w:abstractNumId w:val="9"/>
  </w:num>
  <w:num w:numId="11" w16cid:durableId="1729572339">
    <w:abstractNumId w:val="7"/>
  </w:num>
  <w:num w:numId="12" w16cid:durableId="1250582961">
    <w:abstractNumId w:val="10"/>
  </w:num>
  <w:num w:numId="13" w16cid:durableId="425268282">
    <w:abstractNumId w:val="16"/>
  </w:num>
  <w:num w:numId="14" w16cid:durableId="1427918473">
    <w:abstractNumId w:val="4"/>
  </w:num>
  <w:num w:numId="15" w16cid:durableId="2061441558">
    <w:abstractNumId w:val="17"/>
  </w:num>
  <w:num w:numId="16" w16cid:durableId="137113180">
    <w:abstractNumId w:val="11"/>
  </w:num>
  <w:num w:numId="17" w16cid:durableId="1584338663">
    <w:abstractNumId w:val="1"/>
  </w:num>
  <w:num w:numId="18" w16cid:durableId="1446540206">
    <w:abstractNumId w:val="15"/>
  </w:num>
  <w:num w:numId="19" w16cid:durableId="385839599">
    <w:abstractNumId w:val="21"/>
  </w:num>
  <w:num w:numId="20" w16cid:durableId="2104763610">
    <w:abstractNumId w:val="8"/>
  </w:num>
  <w:num w:numId="21" w16cid:durableId="765617583">
    <w:abstractNumId w:val="18"/>
  </w:num>
  <w:num w:numId="22" w16cid:durableId="831987486">
    <w:abstractNumId w:val="2"/>
  </w:num>
  <w:num w:numId="23" w16cid:durableId="1359308903">
    <w:abstractNumId w:val="5"/>
  </w:num>
  <w:num w:numId="24" w16cid:durableId="626856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261953">
    <w:abstractNumId w:val="12"/>
  </w:num>
  <w:num w:numId="26" w16cid:durableId="1575385229">
    <w:abstractNumId w:val="13"/>
  </w:num>
  <w:num w:numId="27" w16cid:durableId="698353733">
    <w:abstractNumId w:val="23"/>
  </w:num>
  <w:num w:numId="28" w16cid:durableId="1886987151">
    <w:abstractNumId w:val="9"/>
  </w:num>
  <w:num w:numId="29" w16cid:durableId="12087576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1D"/>
    <w:rsid w:val="0000219F"/>
    <w:rsid w:val="000B6F94"/>
    <w:rsid w:val="000F474B"/>
    <w:rsid w:val="000F77C1"/>
    <w:rsid w:val="00122297"/>
    <w:rsid w:val="00150F0C"/>
    <w:rsid w:val="00161F09"/>
    <w:rsid w:val="00176124"/>
    <w:rsid w:val="001B191D"/>
    <w:rsid w:val="001D5122"/>
    <w:rsid w:val="00212EC1"/>
    <w:rsid w:val="002505B3"/>
    <w:rsid w:val="0026451B"/>
    <w:rsid w:val="00265741"/>
    <w:rsid w:val="00284833"/>
    <w:rsid w:val="002870E5"/>
    <w:rsid w:val="002A1CA8"/>
    <w:rsid w:val="002C75FC"/>
    <w:rsid w:val="002F2F89"/>
    <w:rsid w:val="00354F8C"/>
    <w:rsid w:val="003A69C7"/>
    <w:rsid w:val="003C48BA"/>
    <w:rsid w:val="004010E9"/>
    <w:rsid w:val="00403D50"/>
    <w:rsid w:val="00423A88"/>
    <w:rsid w:val="00425C86"/>
    <w:rsid w:val="00465C4B"/>
    <w:rsid w:val="00480D86"/>
    <w:rsid w:val="00490768"/>
    <w:rsid w:val="00493A5A"/>
    <w:rsid w:val="0049638B"/>
    <w:rsid w:val="004C291F"/>
    <w:rsid w:val="004D7FB5"/>
    <w:rsid w:val="00564815"/>
    <w:rsid w:val="005B697B"/>
    <w:rsid w:val="006111C2"/>
    <w:rsid w:val="00620F33"/>
    <w:rsid w:val="006211EE"/>
    <w:rsid w:val="00625503"/>
    <w:rsid w:val="00631CC1"/>
    <w:rsid w:val="0067017E"/>
    <w:rsid w:val="006E4C34"/>
    <w:rsid w:val="007157D2"/>
    <w:rsid w:val="007266BE"/>
    <w:rsid w:val="007E5884"/>
    <w:rsid w:val="0086079C"/>
    <w:rsid w:val="008719A3"/>
    <w:rsid w:val="008D31AB"/>
    <w:rsid w:val="00996052"/>
    <w:rsid w:val="009B0C82"/>
    <w:rsid w:val="009F7A5F"/>
    <w:rsid w:val="00A03333"/>
    <w:rsid w:val="00A407C4"/>
    <w:rsid w:val="00A63D51"/>
    <w:rsid w:val="00A9519E"/>
    <w:rsid w:val="00AA230E"/>
    <w:rsid w:val="00AB0295"/>
    <w:rsid w:val="00AD2182"/>
    <w:rsid w:val="00B00782"/>
    <w:rsid w:val="00B15246"/>
    <w:rsid w:val="00B267DA"/>
    <w:rsid w:val="00B71FE0"/>
    <w:rsid w:val="00B85B3E"/>
    <w:rsid w:val="00B87EBE"/>
    <w:rsid w:val="00C43037"/>
    <w:rsid w:val="00C52DF3"/>
    <w:rsid w:val="00CB0C23"/>
    <w:rsid w:val="00CD4B67"/>
    <w:rsid w:val="00D040A2"/>
    <w:rsid w:val="00D041FF"/>
    <w:rsid w:val="00D208E4"/>
    <w:rsid w:val="00D358B7"/>
    <w:rsid w:val="00D56718"/>
    <w:rsid w:val="00D57A1D"/>
    <w:rsid w:val="00D62D5D"/>
    <w:rsid w:val="00DC66BE"/>
    <w:rsid w:val="00DD51F5"/>
    <w:rsid w:val="00E06D28"/>
    <w:rsid w:val="00E12420"/>
    <w:rsid w:val="00EC0057"/>
    <w:rsid w:val="00F1767C"/>
    <w:rsid w:val="00F86484"/>
    <w:rsid w:val="00F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C6C2A"/>
  <w15:chartTrackingRefBased/>
  <w15:docId w15:val="{F6754F88-A461-4948-B267-604FA7D3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7A1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57A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7A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57A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7A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7A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A1D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31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31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31AB"/>
    <w:rPr>
      <w:vertAlign w:val="superscript"/>
    </w:rPr>
  </w:style>
  <w:style w:type="paragraph" w:customStyle="1" w:styleId="Default">
    <w:name w:val="Default"/>
    <w:rsid w:val="00423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20F33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85B3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C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C7"/>
  </w:style>
  <w:style w:type="character" w:styleId="Mentionnonrsolue">
    <w:name w:val="Unresolved Mention"/>
    <w:basedOn w:val="Policepardfaut"/>
    <w:uiPriority w:val="99"/>
    <w:semiHidden/>
    <w:unhideWhenUsed/>
    <w:rsid w:val="00D567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56718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B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PR-AUTORISATIONS.BANQUE-FRANCE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F705-7F15-4243-A211-A70B416B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1474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Jules (SGACPR DA)</dc:creator>
  <cp:keywords/>
  <dc:description/>
  <cp:lastModifiedBy>PALLUAULT Marie-Odile (SGACPR DAJ)</cp:lastModifiedBy>
  <cp:revision>6</cp:revision>
  <dcterms:created xsi:type="dcterms:W3CDTF">2025-09-03T18:44:00Z</dcterms:created>
  <dcterms:modified xsi:type="dcterms:W3CDTF">2025-10-15T11:05:00Z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73464c00,5eafa862,7950e17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ACPR-INTERNE</vt:lpwstr>
  </property>
  <property fmtid="{D5CDD505-2E9C-101B-9397-08002B2CF9AE}" pid="5" name="MSIP_Label_92ca6c65-af8f-4f76-b012-8192e87959fa_Enabled">
    <vt:lpwstr>true</vt:lpwstr>
  </property>
  <property fmtid="{D5CDD505-2E9C-101B-9397-08002B2CF9AE}" pid="6" name="MSIP_Label_92ca6c65-af8f-4f76-b012-8192e87959fa_SetDate">
    <vt:lpwstr>2025-07-15T15:00:28Z</vt:lpwstr>
  </property>
  <property fmtid="{D5CDD505-2E9C-101B-9397-08002B2CF9AE}" pid="7" name="MSIP_Label_92ca6c65-af8f-4f76-b012-8192e87959fa_Method">
    <vt:lpwstr>Privileged</vt:lpwstr>
  </property>
  <property fmtid="{D5CDD505-2E9C-101B-9397-08002B2CF9AE}" pid="8" name="MSIP_Label_92ca6c65-af8f-4f76-b012-8192e87959fa_Name">
    <vt:lpwstr>ACPR-Interne</vt:lpwstr>
  </property>
  <property fmtid="{D5CDD505-2E9C-101B-9397-08002B2CF9AE}" pid="9" name="MSIP_Label_92ca6c65-af8f-4f76-b012-8192e87959fa_SiteId">
    <vt:lpwstr>e6599448-62a0-418e-8930-d00d8d5682c2</vt:lpwstr>
  </property>
  <property fmtid="{D5CDD505-2E9C-101B-9397-08002B2CF9AE}" pid="10" name="MSIP_Label_92ca6c65-af8f-4f76-b012-8192e87959fa_ActionId">
    <vt:lpwstr>185725fa-5ae0-44fa-93e2-e432833dbb9f</vt:lpwstr>
  </property>
  <property fmtid="{D5CDD505-2E9C-101B-9397-08002B2CF9AE}" pid="11" name="MSIP_Label_92ca6c65-af8f-4f76-b012-8192e87959fa_ContentBits">
    <vt:lpwstr>1</vt:lpwstr>
  </property>
</Properties>
</file>