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15388"/>
      </w:tblGrid>
      <w:tr w:rsidR="00B120AD" w:rsidTr="00B120AD">
        <w:tc>
          <w:tcPr>
            <w:tcW w:w="15388" w:type="dxa"/>
            <w:shd w:val="clear" w:color="auto" w:fill="BFBFBF" w:themeFill="background1" w:themeFillShade="BF"/>
          </w:tcPr>
          <w:p w:rsidR="00B120AD" w:rsidRDefault="00B120AD" w:rsidP="00B120AD">
            <w:pPr>
              <w:contextualSpacing/>
              <w:rPr>
                <w:rFonts w:ascii="Times New Roman" w:hAnsi="Times New Roman" w:cs="Times New Roman"/>
                <w:sz w:val="16"/>
              </w:rPr>
            </w:pPr>
            <w:bookmarkStart w:id="0" w:name="_GoBack"/>
            <w:bookmarkEnd w:id="0"/>
          </w:p>
          <w:p w:rsidR="00B120AD" w:rsidRPr="0093492F" w:rsidRDefault="00F677C8" w:rsidP="00B120AD">
            <w:pPr>
              <w:contextualSpacing/>
              <w:jc w:val="center"/>
              <w:rPr>
                <w:rFonts w:ascii="Times New Roman" w:hAnsi="Times New Roman" w:cs="Times New Roman"/>
                <w:b/>
                <w:sz w:val="16"/>
              </w:rPr>
            </w:pPr>
            <w:r>
              <w:rPr>
                <w:rFonts w:ascii="Times New Roman" w:hAnsi="Times New Roman" w:cs="Times New Roman"/>
                <w:b/>
                <w:sz w:val="16"/>
              </w:rPr>
              <w:t>Annexe II</w:t>
            </w:r>
            <w:r w:rsidR="00B120AD" w:rsidRPr="0093492F">
              <w:rPr>
                <w:rFonts w:ascii="Times New Roman" w:hAnsi="Times New Roman" w:cs="Times New Roman"/>
                <w:b/>
                <w:sz w:val="16"/>
              </w:rPr>
              <w:t> : tableaux récapitulatifs</w:t>
            </w:r>
          </w:p>
          <w:p w:rsidR="00B120AD" w:rsidRDefault="00B120AD" w:rsidP="00B120AD">
            <w:pPr>
              <w:contextualSpacing/>
              <w:jc w:val="center"/>
              <w:rPr>
                <w:rFonts w:ascii="Times New Roman" w:hAnsi="Times New Roman" w:cs="Times New Roman"/>
                <w:sz w:val="16"/>
              </w:rPr>
            </w:pPr>
          </w:p>
        </w:tc>
      </w:tr>
    </w:tbl>
    <w:p w:rsidR="00B120AD" w:rsidRDefault="00B120AD" w:rsidP="00B120AD">
      <w:pPr>
        <w:contextualSpacing/>
        <w:rPr>
          <w:rFonts w:ascii="Times New Roman" w:hAnsi="Times New Roman" w:cs="Times New Roman"/>
          <w:sz w:val="16"/>
        </w:rPr>
      </w:pPr>
    </w:p>
    <w:p w:rsidR="0093492F" w:rsidRDefault="0093492F" w:rsidP="00B120AD">
      <w:pPr>
        <w:contextualSpacing/>
        <w:rPr>
          <w:rFonts w:ascii="Times New Roman" w:hAnsi="Times New Roman" w:cs="Times New Roman"/>
          <w:sz w:val="16"/>
        </w:rPr>
      </w:pPr>
      <w:r w:rsidRPr="0093492F">
        <w:rPr>
          <w:rFonts w:ascii="Times New Roman" w:hAnsi="Times New Roman" w:cs="Times New Roman"/>
          <w:sz w:val="16"/>
        </w:rPr>
        <w:t>Les tableaux récapitulatifs ci-</w:t>
      </w:r>
      <w:r w:rsidR="00876EAB">
        <w:rPr>
          <w:rFonts w:ascii="Times New Roman" w:hAnsi="Times New Roman" w:cs="Times New Roman"/>
          <w:sz w:val="16"/>
        </w:rPr>
        <w:t>dessous</w:t>
      </w:r>
      <w:r w:rsidRPr="0093492F">
        <w:rPr>
          <w:rFonts w:ascii="Times New Roman" w:hAnsi="Times New Roman" w:cs="Times New Roman"/>
          <w:sz w:val="16"/>
        </w:rPr>
        <w:t xml:space="preserve"> visent à aider les entités financières à déterminer si elles sont soumises à l’obligation de remettre un registre d’informations à l’ACPR et sur quel périmètre de consolidation (tableau n°1). Dans le cas d’une remise sur base consolidée, le second tableau précise pour quelles entités des informations doivent être incluses dans le registre. Ces tableaux servent à illustrer l’instruction mais ne s’y substituent pas. Ils permettent d’identifier un nombre important de situations sans pour autant viser l’exhaustivité. En cas de doute, les entités peuvent toujours solliciter leurs services de contrôle. Ces tableaux seront mis en ligne sur le site internet de l’ACPR. </w:t>
      </w:r>
    </w:p>
    <w:p w:rsidR="00B120AD" w:rsidRPr="0093492F" w:rsidRDefault="00B120AD" w:rsidP="00B120AD">
      <w:pPr>
        <w:contextualSpacing/>
        <w:rPr>
          <w:rFonts w:ascii="Times New Roman" w:hAnsi="Times New Roman" w:cs="Times New Roman"/>
          <w:sz w:val="16"/>
        </w:rPr>
      </w:pPr>
    </w:p>
    <w:p w:rsidR="00C72125" w:rsidRDefault="00C72125" w:rsidP="00B120AD">
      <w:pPr>
        <w:contextualSpacing/>
        <w:rPr>
          <w:rFonts w:ascii="Times New Roman" w:hAnsi="Times New Roman" w:cs="Times New Roman"/>
          <w:b/>
          <w:sz w:val="16"/>
        </w:rPr>
      </w:pPr>
      <w:r w:rsidRPr="0093492F">
        <w:rPr>
          <w:rFonts w:ascii="Times New Roman" w:hAnsi="Times New Roman" w:cs="Times New Roman"/>
          <w:b/>
          <w:sz w:val="16"/>
        </w:rPr>
        <w:t xml:space="preserve">Tableau </w:t>
      </w:r>
      <w:r w:rsidR="0093492F" w:rsidRPr="0093492F">
        <w:rPr>
          <w:rFonts w:ascii="Times New Roman" w:hAnsi="Times New Roman" w:cs="Times New Roman"/>
          <w:b/>
          <w:sz w:val="16"/>
        </w:rPr>
        <w:t>n°1</w:t>
      </w:r>
      <w:r w:rsidRPr="0093492F">
        <w:rPr>
          <w:rFonts w:ascii="Times New Roman" w:hAnsi="Times New Roman" w:cs="Times New Roman"/>
          <w:b/>
          <w:sz w:val="16"/>
        </w:rPr>
        <w:t xml:space="preserve"> : obligation de remise et niveau de consolidation </w:t>
      </w:r>
    </w:p>
    <w:p w:rsidR="00B120AD" w:rsidRPr="0093492F" w:rsidRDefault="00B120AD" w:rsidP="00B120AD">
      <w:pPr>
        <w:contextualSpacing/>
        <w:rPr>
          <w:rFonts w:ascii="Times New Roman" w:hAnsi="Times New Roman" w:cs="Times New Roman"/>
          <w:b/>
          <w:sz w:val="16"/>
        </w:rPr>
      </w:pPr>
    </w:p>
    <w:tbl>
      <w:tblPr>
        <w:tblStyle w:val="Grilledutableau"/>
        <w:tblW w:w="0" w:type="auto"/>
        <w:tblLook w:val="04A0" w:firstRow="1" w:lastRow="0" w:firstColumn="1" w:lastColumn="0" w:noHBand="0" w:noVBand="1"/>
      </w:tblPr>
      <w:tblGrid>
        <w:gridCol w:w="1199"/>
        <w:gridCol w:w="1036"/>
        <w:gridCol w:w="1052"/>
        <w:gridCol w:w="1356"/>
        <w:gridCol w:w="1046"/>
        <w:gridCol w:w="1046"/>
        <w:gridCol w:w="1078"/>
        <w:gridCol w:w="1044"/>
        <w:gridCol w:w="1103"/>
        <w:gridCol w:w="1106"/>
        <w:gridCol w:w="1153"/>
        <w:gridCol w:w="1157"/>
        <w:gridCol w:w="1047"/>
        <w:gridCol w:w="965"/>
      </w:tblGrid>
      <w:tr w:rsidR="00BB1DE1" w:rsidRPr="0093492F" w:rsidTr="00C72125">
        <w:trPr>
          <w:cantSplit/>
          <w:trHeight w:val="1134"/>
        </w:trPr>
        <w:tc>
          <w:tcPr>
            <w:tcW w:w="0" w:type="auto"/>
            <w:vMerge w:val="restart"/>
            <w:vAlign w:val="center"/>
          </w:tcPr>
          <w:p w:rsidR="00BB1DE1" w:rsidRPr="0093492F" w:rsidRDefault="00BB1DE1" w:rsidP="00B120AD">
            <w:pPr>
              <w:contextualSpacing/>
              <w:jc w:val="center"/>
              <w:rPr>
                <w:rFonts w:ascii="Times New Roman" w:hAnsi="Times New Roman" w:cs="Times New Roman"/>
                <w:b/>
                <w:sz w:val="16"/>
                <w:szCs w:val="16"/>
              </w:rPr>
            </w:pPr>
            <w:r w:rsidRPr="0093492F">
              <w:rPr>
                <w:rFonts w:ascii="Times New Roman" w:hAnsi="Times New Roman" w:cs="Times New Roman"/>
                <w:b/>
                <w:sz w:val="16"/>
                <w:szCs w:val="16"/>
              </w:rPr>
              <w:t>L’entité financière n’appartient pas à un groupe</w:t>
            </w:r>
          </w:p>
        </w:tc>
        <w:tc>
          <w:tcPr>
            <w:tcW w:w="0" w:type="auto"/>
            <w:gridSpan w:val="2"/>
            <w:vAlign w:val="center"/>
          </w:tcPr>
          <w:p w:rsidR="00BB1DE1" w:rsidRPr="0093492F" w:rsidRDefault="00BB1DE1" w:rsidP="00B120AD">
            <w:pPr>
              <w:contextualSpacing/>
              <w:jc w:val="center"/>
              <w:rPr>
                <w:rFonts w:ascii="Times New Roman" w:hAnsi="Times New Roman" w:cs="Times New Roman"/>
                <w:b/>
                <w:sz w:val="16"/>
                <w:szCs w:val="16"/>
              </w:rPr>
            </w:pPr>
            <w:r w:rsidRPr="0093492F">
              <w:rPr>
                <w:rFonts w:ascii="Times New Roman" w:hAnsi="Times New Roman" w:cs="Times New Roman"/>
                <w:b/>
                <w:sz w:val="16"/>
                <w:szCs w:val="16"/>
              </w:rPr>
              <w:t>L’entité financière est la mère dans l’UE d’un groupe d’entités financières</w:t>
            </w:r>
          </w:p>
        </w:tc>
        <w:tc>
          <w:tcPr>
            <w:tcW w:w="0" w:type="auto"/>
            <w:vMerge w:val="restart"/>
            <w:vAlign w:val="center"/>
          </w:tcPr>
          <w:p w:rsidR="00BB1DE1" w:rsidRPr="0093492F" w:rsidRDefault="00BB1DE1" w:rsidP="00B120AD">
            <w:pPr>
              <w:contextualSpacing/>
              <w:jc w:val="center"/>
              <w:rPr>
                <w:rFonts w:ascii="Times New Roman" w:hAnsi="Times New Roman" w:cs="Times New Roman"/>
                <w:b/>
                <w:sz w:val="16"/>
                <w:szCs w:val="16"/>
              </w:rPr>
            </w:pPr>
            <w:r w:rsidRPr="0093492F">
              <w:rPr>
                <w:rFonts w:ascii="Times New Roman" w:hAnsi="Times New Roman" w:cs="Times New Roman"/>
                <w:b/>
                <w:sz w:val="16"/>
                <w:szCs w:val="16"/>
              </w:rPr>
              <w:t>L’entité financière est une filiale dans un groupe d’entités financières dont la maison-mère n’est pas établie dans l’UE ou l’EEE</w:t>
            </w:r>
          </w:p>
        </w:tc>
        <w:tc>
          <w:tcPr>
            <w:tcW w:w="0" w:type="auto"/>
            <w:gridSpan w:val="3"/>
            <w:vAlign w:val="center"/>
          </w:tcPr>
          <w:p w:rsidR="00BB1DE1" w:rsidRPr="0093492F" w:rsidRDefault="00BB1DE1" w:rsidP="00B120AD">
            <w:pPr>
              <w:contextualSpacing/>
              <w:jc w:val="center"/>
              <w:rPr>
                <w:rFonts w:ascii="Times New Roman" w:hAnsi="Times New Roman" w:cs="Times New Roman"/>
                <w:b/>
                <w:sz w:val="16"/>
                <w:szCs w:val="16"/>
              </w:rPr>
            </w:pPr>
            <w:r w:rsidRPr="0093492F">
              <w:rPr>
                <w:rFonts w:ascii="Times New Roman" w:hAnsi="Times New Roman" w:cs="Times New Roman"/>
                <w:b/>
                <w:sz w:val="16"/>
                <w:szCs w:val="16"/>
              </w:rPr>
              <w:t>L’entité financière est une filiale dans un Groupe d’entités financières dont la mère dans l’UE est établie en France</w:t>
            </w:r>
          </w:p>
        </w:tc>
        <w:tc>
          <w:tcPr>
            <w:tcW w:w="0" w:type="auto"/>
            <w:gridSpan w:val="3"/>
            <w:vAlign w:val="center"/>
          </w:tcPr>
          <w:p w:rsidR="00BB1DE1" w:rsidRPr="0093492F" w:rsidRDefault="00BB1DE1" w:rsidP="00B120AD">
            <w:pPr>
              <w:contextualSpacing/>
              <w:jc w:val="center"/>
              <w:rPr>
                <w:rFonts w:ascii="Times New Roman" w:hAnsi="Times New Roman" w:cs="Times New Roman"/>
                <w:b/>
                <w:sz w:val="16"/>
                <w:szCs w:val="16"/>
              </w:rPr>
            </w:pPr>
            <w:r w:rsidRPr="0093492F">
              <w:rPr>
                <w:rFonts w:ascii="Times New Roman" w:hAnsi="Times New Roman" w:cs="Times New Roman"/>
                <w:b/>
                <w:sz w:val="16"/>
                <w:szCs w:val="16"/>
              </w:rPr>
              <w:t>L’entité financière est une filiale dans un Groupe d’entités financières dont la mère dans l’UE est établie dans un pays de la zone euro</w:t>
            </w:r>
          </w:p>
        </w:tc>
        <w:tc>
          <w:tcPr>
            <w:tcW w:w="0" w:type="auto"/>
            <w:gridSpan w:val="2"/>
            <w:vAlign w:val="center"/>
          </w:tcPr>
          <w:p w:rsidR="00BB1DE1" w:rsidRPr="0093492F" w:rsidRDefault="00BB1DE1" w:rsidP="00B120AD">
            <w:pPr>
              <w:contextualSpacing/>
              <w:jc w:val="center"/>
              <w:rPr>
                <w:rFonts w:ascii="Times New Roman" w:hAnsi="Times New Roman" w:cs="Times New Roman"/>
                <w:b/>
                <w:sz w:val="16"/>
                <w:szCs w:val="16"/>
              </w:rPr>
            </w:pPr>
            <w:r w:rsidRPr="0093492F">
              <w:rPr>
                <w:rFonts w:ascii="Times New Roman" w:hAnsi="Times New Roman" w:cs="Times New Roman"/>
                <w:b/>
                <w:sz w:val="16"/>
                <w:szCs w:val="16"/>
              </w:rPr>
              <w:t>L’entité financière est une filiale dans un Groupe d’entités financières dont la mère dans l’UE est établie dans un pays de l’UE/EE ( hors zone €)</w:t>
            </w:r>
          </w:p>
        </w:tc>
        <w:tc>
          <w:tcPr>
            <w:tcW w:w="0" w:type="auto"/>
            <w:gridSpan w:val="2"/>
            <w:vAlign w:val="center"/>
          </w:tcPr>
          <w:p w:rsidR="00BB1DE1" w:rsidRPr="0093492F" w:rsidRDefault="00BB1DE1" w:rsidP="00B120AD">
            <w:pPr>
              <w:contextualSpacing/>
              <w:jc w:val="center"/>
              <w:rPr>
                <w:rFonts w:ascii="Times New Roman" w:hAnsi="Times New Roman" w:cs="Times New Roman"/>
                <w:b/>
                <w:sz w:val="16"/>
                <w:szCs w:val="16"/>
              </w:rPr>
            </w:pPr>
            <w:r w:rsidRPr="0093492F">
              <w:rPr>
                <w:rFonts w:ascii="Times New Roman" w:hAnsi="Times New Roman" w:cs="Times New Roman"/>
                <w:b/>
                <w:sz w:val="16"/>
                <w:szCs w:val="16"/>
              </w:rPr>
              <w:t>L’entité doit-elle procéder à une remise au niveau de l’ACPR ?</w:t>
            </w:r>
          </w:p>
        </w:tc>
      </w:tr>
      <w:tr w:rsidR="00BB1DE1" w:rsidRPr="0093492F" w:rsidTr="005A4560">
        <w:trPr>
          <w:cantSplit/>
          <w:trHeight w:val="2278"/>
        </w:trPr>
        <w:tc>
          <w:tcPr>
            <w:tcW w:w="0" w:type="auto"/>
            <w:vMerge/>
            <w:vAlign w:val="center"/>
          </w:tcPr>
          <w:p w:rsidR="00BB1DE1" w:rsidRPr="0093492F" w:rsidRDefault="00BB1DE1" w:rsidP="00B120AD">
            <w:pPr>
              <w:contextualSpacing/>
              <w:rPr>
                <w:rFonts w:ascii="Times New Roman" w:hAnsi="Times New Roman" w:cs="Times New Roman"/>
                <w:sz w:val="16"/>
                <w:szCs w:val="16"/>
              </w:rPr>
            </w:pPr>
          </w:p>
        </w:tc>
        <w:tc>
          <w:tcPr>
            <w:tcW w:w="0" w:type="auto"/>
            <w:vAlign w:val="center"/>
          </w:tcPr>
          <w:p w:rsidR="00BB1DE1" w:rsidRPr="0093492F" w:rsidRDefault="00BB1DE1" w:rsidP="00B120AD">
            <w:pPr>
              <w:contextualSpacing/>
              <w:jc w:val="center"/>
              <w:rPr>
                <w:rFonts w:ascii="Times New Roman" w:hAnsi="Times New Roman" w:cs="Times New Roman"/>
                <w:sz w:val="16"/>
                <w:szCs w:val="16"/>
              </w:rPr>
            </w:pPr>
            <w:r w:rsidRPr="0093492F">
              <w:rPr>
                <w:rFonts w:ascii="Times New Roman" w:hAnsi="Times New Roman" w:cs="Times New Roman"/>
                <w:sz w:val="16"/>
                <w:szCs w:val="16"/>
              </w:rPr>
              <w:t>Elles est sous supervision de l’ACPR</w:t>
            </w:r>
          </w:p>
        </w:tc>
        <w:tc>
          <w:tcPr>
            <w:tcW w:w="0" w:type="auto"/>
            <w:vAlign w:val="center"/>
          </w:tcPr>
          <w:p w:rsidR="00BB1DE1" w:rsidRPr="0093492F" w:rsidRDefault="00BB1DE1" w:rsidP="00B120AD">
            <w:pPr>
              <w:contextualSpacing/>
              <w:jc w:val="center"/>
              <w:rPr>
                <w:rFonts w:ascii="Times New Roman" w:hAnsi="Times New Roman" w:cs="Times New Roman"/>
                <w:sz w:val="16"/>
                <w:szCs w:val="16"/>
              </w:rPr>
            </w:pPr>
            <w:r w:rsidRPr="0093492F">
              <w:rPr>
                <w:rFonts w:ascii="Times New Roman" w:hAnsi="Times New Roman" w:cs="Times New Roman"/>
                <w:sz w:val="16"/>
                <w:szCs w:val="16"/>
              </w:rPr>
              <w:t>Elle n’est pas sous supervision de l’ACPR</w:t>
            </w:r>
          </w:p>
        </w:tc>
        <w:tc>
          <w:tcPr>
            <w:tcW w:w="0" w:type="auto"/>
            <w:vMerge/>
            <w:vAlign w:val="center"/>
          </w:tcPr>
          <w:p w:rsidR="00BB1DE1" w:rsidRPr="0093492F" w:rsidRDefault="00BB1DE1" w:rsidP="00B120AD">
            <w:pPr>
              <w:contextualSpacing/>
              <w:jc w:val="center"/>
              <w:rPr>
                <w:rFonts w:ascii="Times New Roman" w:hAnsi="Times New Roman" w:cs="Times New Roman"/>
                <w:sz w:val="16"/>
                <w:szCs w:val="16"/>
              </w:rPr>
            </w:pPr>
          </w:p>
        </w:tc>
        <w:tc>
          <w:tcPr>
            <w:tcW w:w="0" w:type="auto"/>
            <w:vAlign w:val="center"/>
          </w:tcPr>
          <w:p w:rsidR="00BB1DE1" w:rsidRPr="0093492F" w:rsidRDefault="00BB1DE1" w:rsidP="00B120AD">
            <w:pPr>
              <w:contextualSpacing/>
              <w:jc w:val="center"/>
              <w:rPr>
                <w:rFonts w:ascii="Times New Roman" w:hAnsi="Times New Roman" w:cs="Times New Roman"/>
                <w:sz w:val="16"/>
                <w:szCs w:val="16"/>
              </w:rPr>
            </w:pPr>
            <w:r w:rsidRPr="0093492F">
              <w:rPr>
                <w:rFonts w:ascii="Times New Roman" w:hAnsi="Times New Roman" w:cs="Times New Roman"/>
                <w:sz w:val="16"/>
                <w:szCs w:val="16"/>
              </w:rPr>
              <w:t>La mère est sous supervision de l’ACPR</w:t>
            </w:r>
          </w:p>
        </w:tc>
        <w:tc>
          <w:tcPr>
            <w:tcW w:w="0" w:type="auto"/>
            <w:vAlign w:val="center"/>
          </w:tcPr>
          <w:p w:rsidR="00BB1DE1" w:rsidRPr="0093492F" w:rsidRDefault="00BB1DE1" w:rsidP="00B120AD">
            <w:pPr>
              <w:contextualSpacing/>
              <w:jc w:val="center"/>
              <w:rPr>
                <w:rFonts w:ascii="Times New Roman" w:hAnsi="Times New Roman" w:cs="Times New Roman"/>
                <w:sz w:val="16"/>
                <w:szCs w:val="16"/>
              </w:rPr>
            </w:pPr>
            <w:r w:rsidRPr="0093492F">
              <w:rPr>
                <w:rFonts w:ascii="Times New Roman" w:hAnsi="Times New Roman" w:cs="Times New Roman"/>
                <w:sz w:val="16"/>
                <w:szCs w:val="16"/>
              </w:rPr>
              <w:t>La mère est sous  supervision de la BCE</w:t>
            </w:r>
          </w:p>
        </w:tc>
        <w:tc>
          <w:tcPr>
            <w:tcW w:w="0" w:type="auto"/>
            <w:vAlign w:val="center"/>
          </w:tcPr>
          <w:p w:rsidR="00BB1DE1" w:rsidRPr="0093492F" w:rsidRDefault="00BB1DE1" w:rsidP="00B120AD">
            <w:pPr>
              <w:contextualSpacing/>
              <w:jc w:val="center"/>
              <w:rPr>
                <w:rFonts w:ascii="Times New Roman" w:hAnsi="Times New Roman" w:cs="Times New Roman"/>
                <w:sz w:val="16"/>
                <w:szCs w:val="16"/>
              </w:rPr>
            </w:pPr>
            <w:r w:rsidRPr="0093492F">
              <w:rPr>
                <w:rFonts w:ascii="Times New Roman" w:hAnsi="Times New Roman" w:cs="Times New Roman"/>
                <w:sz w:val="16"/>
                <w:szCs w:val="16"/>
              </w:rPr>
              <w:t>La mère n’est pas sous supervision ACPR ou BCE</w:t>
            </w:r>
          </w:p>
        </w:tc>
        <w:tc>
          <w:tcPr>
            <w:tcW w:w="0" w:type="auto"/>
            <w:vAlign w:val="center"/>
          </w:tcPr>
          <w:p w:rsidR="00BB1DE1" w:rsidRPr="0093492F" w:rsidRDefault="00BB1DE1" w:rsidP="00B120AD">
            <w:pPr>
              <w:contextualSpacing/>
              <w:jc w:val="center"/>
              <w:rPr>
                <w:rFonts w:ascii="Times New Roman" w:hAnsi="Times New Roman" w:cs="Times New Roman"/>
                <w:sz w:val="16"/>
                <w:szCs w:val="16"/>
              </w:rPr>
            </w:pPr>
            <w:r w:rsidRPr="0093492F">
              <w:rPr>
                <w:rFonts w:ascii="Times New Roman" w:hAnsi="Times New Roman" w:cs="Times New Roman"/>
                <w:sz w:val="16"/>
                <w:szCs w:val="16"/>
              </w:rPr>
              <w:t>La mère est sous supervision de la BCE</w:t>
            </w:r>
          </w:p>
        </w:tc>
        <w:tc>
          <w:tcPr>
            <w:tcW w:w="0" w:type="auto"/>
            <w:vAlign w:val="center"/>
          </w:tcPr>
          <w:p w:rsidR="00BB1DE1" w:rsidRPr="0093492F" w:rsidRDefault="00BB1DE1" w:rsidP="00B120AD">
            <w:pPr>
              <w:contextualSpacing/>
              <w:jc w:val="center"/>
              <w:rPr>
                <w:rFonts w:ascii="Times New Roman" w:hAnsi="Times New Roman" w:cs="Times New Roman"/>
                <w:sz w:val="16"/>
                <w:szCs w:val="16"/>
              </w:rPr>
            </w:pPr>
            <w:r w:rsidRPr="0093492F">
              <w:rPr>
                <w:rFonts w:ascii="Times New Roman" w:hAnsi="Times New Roman" w:cs="Times New Roman"/>
                <w:sz w:val="16"/>
                <w:szCs w:val="16"/>
              </w:rPr>
              <w:t>La mère est sous supervision d’une ANC du même secteur</w:t>
            </w:r>
          </w:p>
        </w:tc>
        <w:tc>
          <w:tcPr>
            <w:tcW w:w="0" w:type="auto"/>
            <w:vAlign w:val="center"/>
          </w:tcPr>
          <w:p w:rsidR="00BB1DE1" w:rsidRPr="0093492F" w:rsidRDefault="00BB1DE1" w:rsidP="00B120AD">
            <w:pPr>
              <w:contextualSpacing/>
              <w:jc w:val="center"/>
              <w:rPr>
                <w:rFonts w:ascii="Times New Roman" w:hAnsi="Times New Roman" w:cs="Times New Roman"/>
                <w:sz w:val="16"/>
                <w:szCs w:val="16"/>
              </w:rPr>
            </w:pPr>
            <w:r w:rsidRPr="0093492F">
              <w:rPr>
                <w:rFonts w:ascii="Times New Roman" w:hAnsi="Times New Roman" w:cs="Times New Roman"/>
                <w:sz w:val="16"/>
                <w:szCs w:val="16"/>
              </w:rPr>
              <w:t>La mère est sous supervision d’une ANC d’un autre secteur</w:t>
            </w:r>
          </w:p>
        </w:tc>
        <w:tc>
          <w:tcPr>
            <w:tcW w:w="0" w:type="auto"/>
            <w:vAlign w:val="center"/>
          </w:tcPr>
          <w:p w:rsidR="00BB1DE1" w:rsidRPr="0093492F" w:rsidRDefault="00BB1DE1" w:rsidP="00B120AD">
            <w:pPr>
              <w:contextualSpacing/>
              <w:jc w:val="center"/>
              <w:rPr>
                <w:rFonts w:ascii="Times New Roman" w:hAnsi="Times New Roman" w:cs="Times New Roman"/>
                <w:sz w:val="16"/>
                <w:szCs w:val="16"/>
              </w:rPr>
            </w:pPr>
            <w:r w:rsidRPr="0093492F">
              <w:rPr>
                <w:rFonts w:ascii="Times New Roman" w:hAnsi="Times New Roman" w:cs="Times New Roman"/>
                <w:sz w:val="16"/>
                <w:szCs w:val="16"/>
              </w:rPr>
              <w:t>La mère est sous supervision d’une ANC du même secteur</w:t>
            </w:r>
          </w:p>
        </w:tc>
        <w:tc>
          <w:tcPr>
            <w:tcW w:w="0" w:type="auto"/>
            <w:vAlign w:val="center"/>
          </w:tcPr>
          <w:p w:rsidR="00BB1DE1" w:rsidRPr="0093492F" w:rsidRDefault="00BB1DE1" w:rsidP="00B120AD">
            <w:pPr>
              <w:contextualSpacing/>
              <w:jc w:val="center"/>
              <w:rPr>
                <w:rFonts w:ascii="Times New Roman" w:hAnsi="Times New Roman" w:cs="Times New Roman"/>
                <w:sz w:val="16"/>
                <w:szCs w:val="16"/>
              </w:rPr>
            </w:pPr>
            <w:r w:rsidRPr="0093492F">
              <w:rPr>
                <w:rFonts w:ascii="Times New Roman" w:hAnsi="Times New Roman" w:cs="Times New Roman"/>
                <w:sz w:val="16"/>
                <w:szCs w:val="16"/>
              </w:rPr>
              <w:t>La mère est sous supervision d’une ANC d’un autre secteur</w:t>
            </w:r>
          </w:p>
        </w:tc>
        <w:tc>
          <w:tcPr>
            <w:tcW w:w="0" w:type="auto"/>
            <w:vAlign w:val="center"/>
          </w:tcPr>
          <w:p w:rsidR="00BB1DE1" w:rsidRPr="0093492F" w:rsidRDefault="00BB1DE1" w:rsidP="00B120AD">
            <w:pPr>
              <w:contextualSpacing/>
              <w:jc w:val="center"/>
              <w:rPr>
                <w:rFonts w:ascii="Times New Roman" w:hAnsi="Times New Roman" w:cs="Times New Roman"/>
                <w:sz w:val="16"/>
                <w:szCs w:val="16"/>
              </w:rPr>
            </w:pPr>
            <w:r w:rsidRPr="0093492F">
              <w:rPr>
                <w:rFonts w:ascii="Times New Roman" w:hAnsi="Times New Roman" w:cs="Times New Roman"/>
                <w:sz w:val="16"/>
                <w:szCs w:val="16"/>
              </w:rPr>
              <w:t>Sur base individuelle</w:t>
            </w:r>
          </w:p>
        </w:tc>
        <w:tc>
          <w:tcPr>
            <w:tcW w:w="0" w:type="auto"/>
            <w:vAlign w:val="center"/>
          </w:tcPr>
          <w:p w:rsidR="00BB1DE1" w:rsidRPr="0093492F" w:rsidRDefault="00BB1DE1" w:rsidP="00B120AD">
            <w:pPr>
              <w:contextualSpacing/>
              <w:jc w:val="center"/>
              <w:rPr>
                <w:rFonts w:ascii="Times New Roman" w:hAnsi="Times New Roman" w:cs="Times New Roman"/>
                <w:sz w:val="16"/>
                <w:szCs w:val="16"/>
              </w:rPr>
            </w:pPr>
            <w:r w:rsidRPr="0093492F">
              <w:rPr>
                <w:rFonts w:ascii="Times New Roman" w:hAnsi="Times New Roman" w:cs="Times New Roman"/>
                <w:sz w:val="16"/>
                <w:szCs w:val="16"/>
              </w:rPr>
              <w:t>Sur base consolidée</w:t>
            </w:r>
          </w:p>
        </w:tc>
      </w:tr>
      <w:tr w:rsidR="00C72125" w:rsidRPr="0093492F" w:rsidTr="00C72125">
        <w:trPr>
          <w:cantSplit/>
          <w:trHeight w:val="62"/>
        </w:trPr>
        <w:tc>
          <w:tcPr>
            <w:tcW w:w="0" w:type="auto"/>
            <w:shd w:val="clear" w:color="auto" w:fill="538135" w:themeFill="accent6" w:themeFillShade="BF"/>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b/>
                <w:sz w:val="16"/>
                <w:szCs w:val="16"/>
              </w:rPr>
            </w:pPr>
            <w:r w:rsidRPr="0093492F">
              <w:rPr>
                <w:rFonts w:ascii="Times New Roman" w:hAnsi="Times New Roman" w:cs="Times New Roman"/>
                <w:b/>
                <w:color w:val="00B050"/>
                <w:sz w:val="16"/>
                <w:szCs w:val="16"/>
              </w:rPr>
              <w:t>OUI</w:t>
            </w: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b/>
                <w:sz w:val="16"/>
                <w:szCs w:val="16"/>
              </w:rPr>
            </w:pPr>
            <w:r w:rsidRPr="0093492F">
              <w:rPr>
                <w:rFonts w:ascii="Times New Roman" w:hAnsi="Times New Roman" w:cs="Times New Roman"/>
                <w:b/>
                <w:color w:val="FF0000"/>
                <w:sz w:val="16"/>
                <w:szCs w:val="16"/>
              </w:rPr>
              <w:t>NON</w:t>
            </w:r>
          </w:p>
        </w:tc>
      </w:tr>
      <w:tr w:rsidR="00C72125" w:rsidRPr="0093492F" w:rsidTr="00C72125">
        <w:trPr>
          <w:cantSplit/>
          <w:trHeight w:val="62"/>
        </w:trPr>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538135" w:themeFill="accent6" w:themeFillShade="BF"/>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b/>
                <w:color w:val="00B050"/>
                <w:sz w:val="16"/>
                <w:szCs w:val="16"/>
              </w:rPr>
            </w:pPr>
            <w:r w:rsidRPr="0093492F">
              <w:rPr>
                <w:rFonts w:ascii="Times New Roman" w:hAnsi="Times New Roman" w:cs="Times New Roman"/>
                <w:b/>
                <w:color w:val="FF0000"/>
                <w:sz w:val="16"/>
                <w:szCs w:val="16"/>
              </w:rPr>
              <w:t>NON</w:t>
            </w: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b/>
                <w:color w:val="FF0000"/>
                <w:sz w:val="16"/>
                <w:szCs w:val="16"/>
              </w:rPr>
            </w:pPr>
            <w:r w:rsidRPr="0093492F">
              <w:rPr>
                <w:rFonts w:ascii="Times New Roman" w:hAnsi="Times New Roman" w:cs="Times New Roman"/>
                <w:b/>
                <w:color w:val="00B050"/>
                <w:sz w:val="16"/>
                <w:szCs w:val="16"/>
              </w:rPr>
              <w:t>OUI</w:t>
            </w:r>
          </w:p>
        </w:tc>
      </w:tr>
      <w:tr w:rsidR="00C72125" w:rsidRPr="0093492F" w:rsidTr="00C72125">
        <w:trPr>
          <w:cantSplit/>
          <w:trHeight w:val="62"/>
        </w:trPr>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538135" w:themeFill="accent6" w:themeFillShade="BF"/>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rPr>
            </w:pPr>
            <w:r w:rsidRPr="0093492F">
              <w:rPr>
                <w:rFonts w:ascii="Times New Roman" w:hAnsi="Times New Roman" w:cs="Times New Roman"/>
                <w:b/>
                <w:color w:val="FF0000"/>
                <w:sz w:val="16"/>
                <w:szCs w:val="16"/>
              </w:rPr>
              <w:t>NON</w:t>
            </w: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rPr>
            </w:pPr>
            <w:r w:rsidRPr="0093492F">
              <w:rPr>
                <w:rFonts w:ascii="Times New Roman" w:hAnsi="Times New Roman" w:cs="Times New Roman"/>
                <w:b/>
                <w:color w:val="FF0000"/>
                <w:sz w:val="16"/>
                <w:szCs w:val="16"/>
              </w:rPr>
              <w:t>NON</w:t>
            </w:r>
          </w:p>
        </w:tc>
      </w:tr>
      <w:tr w:rsidR="00C72125" w:rsidRPr="0093492F" w:rsidTr="00C72125">
        <w:trPr>
          <w:cantSplit/>
          <w:trHeight w:val="62"/>
        </w:trPr>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538135" w:themeFill="accent6" w:themeFillShade="BF"/>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b/>
                <w:sz w:val="16"/>
                <w:szCs w:val="16"/>
              </w:rPr>
            </w:pPr>
            <w:r w:rsidRPr="0093492F">
              <w:rPr>
                <w:rFonts w:ascii="Times New Roman" w:hAnsi="Times New Roman" w:cs="Times New Roman"/>
                <w:b/>
                <w:color w:val="00B050"/>
                <w:sz w:val="16"/>
                <w:szCs w:val="16"/>
              </w:rPr>
              <w:t>OUI</w:t>
            </w: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b/>
                <w:sz w:val="16"/>
                <w:szCs w:val="16"/>
              </w:rPr>
            </w:pPr>
            <w:r w:rsidRPr="0093492F">
              <w:rPr>
                <w:rFonts w:ascii="Times New Roman" w:hAnsi="Times New Roman" w:cs="Times New Roman"/>
                <w:b/>
                <w:color w:val="FF0000"/>
                <w:sz w:val="16"/>
                <w:szCs w:val="16"/>
              </w:rPr>
              <w:t>NON</w:t>
            </w:r>
          </w:p>
        </w:tc>
      </w:tr>
      <w:tr w:rsidR="00C72125" w:rsidRPr="0093492F" w:rsidTr="00C72125">
        <w:trPr>
          <w:cantSplit/>
          <w:trHeight w:val="62"/>
        </w:trPr>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538135" w:themeFill="accent6" w:themeFillShade="BF"/>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rPr>
            </w:pPr>
            <w:r w:rsidRPr="0093492F">
              <w:rPr>
                <w:rFonts w:ascii="Times New Roman" w:hAnsi="Times New Roman" w:cs="Times New Roman"/>
                <w:b/>
                <w:color w:val="FF0000"/>
                <w:sz w:val="16"/>
                <w:szCs w:val="16"/>
              </w:rPr>
              <w:t>NON</w:t>
            </w: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rPr>
            </w:pPr>
            <w:r w:rsidRPr="0093492F">
              <w:rPr>
                <w:rFonts w:ascii="Times New Roman" w:hAnsi="Times New Roman" w:cs="Times New Roman"/>
                <w:b/>
                <w:color w:val="FF0000"/>
                <w:sz w:val="16"/>
                <w:szCs w:val="16"/>
              </w:rPr>
              <w:t>NON</w:t>
            </w:r>
          </w:p>
        </w:tc>
      </w:tr>
      <w:tr w:rsidR="00C72125" w:rsidRPr="0093492F" w:rsidTr="00C72125">
        <w:trPr>
          <w:cantSplit/>
          <w:trHeight w:val="62"/>
        </w:trPr>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538135" w:themeFill="accent6" w:themeFillShade="BF"/>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rPr>
            </w:pPr>
            <w:r w:rsidRPr="0093492F">
              <w:rPr>
                <w:rFonts w:ascii="Times New Roman" w:hAnsi="Times New Roman" w:cs="Times New Roman"/>
                <w:b/>
                <w:color w:val="FF0000"/>
                <w:sz w:val="16"/>
                <w:szCs w:val="16"/>
              </w:rPr>
              <w:t>NON</w:t>
            </w: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rPr>
            </w:pPr>
            <w:r w:rsidRPr="0093492F">
              <w:rPr>
                <w:rFonts w:ascii="Times New Roman" w:hAnsi="Times New Roman" w:cs="Times New Roman"/>
                <w:b/>
                <w:color w:val="FF0000"/>
                <w:sz w:val="16"/>
                <w:szCs w:val="16"/>
              </w:rPr>
              <w:t>NON</w:t>
            </w:r>
          </w:p>
        </w:tc>
      </w:tr>
      <w:tr w:rsidR="00C72125" w:rsidRPr="0093492F" w:rsidTr="00C72125">
        <w:trPr>
          <w:cantSplit/>
          <w:trHeight w:val="62"/>
        </w:trPr>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538135" w:themeFill="accent6" w:themeFillShade="BF"/>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b/>
                <w:sz w:val="16"/>
                <w:szCs w:val="16"/>
              </w:rPr>
            </w:pPr>
            <w:r w:rsidRPr="0093492F">
              <w:rPr>
                <w:rFonts w:ascii="Times New Roman" w:hAnsi="Times New Roman" w:cs="Times New Roman"/>
                <w:b/>
                <w:color w:val="00B050"/>
                <w:sz w:val="16"/>
                <w:szCs w:val="16"/>
              </w:rPr>
              <w:t>OUI</w:t>
            </w: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b/>
                <w:sz w:val="16"/>
                <w:szCs w:val="16"/>
              </w:rPr>
            </w:pPr>
            <w:r w:rsidRPr="0093492F">
              <w:rPr>
                <w:rFonts w:ascii="Times New Roman" w:hAnsi="Times New Roman" w:cs="Times New Roman"/>
                <w:b/>
                <w:color w:val="FF0000"/>
                <w:sz w:val="16"/>
                <w:szCs w:val="16"/>
              </w:rPr>
              <w:t>NON</w:t>
            </w:r>
          </w:p>
        </w:tc>
      </w:tr>
      <w:tr w:rsidR="00C72125" w:rsidRPr="0093492F" w:rsidTr="00C72125">
        <w:trPr>
          <w:cantSplit/>
          <w:trHeight w:val="62"/>
        </w:trPr>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538135" w:themeFill="accent6" w:themeFillShade="BF"/>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rPr>
            </w:pPr>
            <w:r w:rsidRPr="0093492F">
              <w:rPr>
                <w:rFonts w:ascii="Times New Roman" w:hAnsi="Times New Roman" w:cs="Times New Roman"/>
                <w:b/>
                <w:color w:val="FF0000"/>
                <w:sz w:val="16"/>
                <w:szCs w:val="16"/>
              </w:rPr>
              <w:t>NON</w:t>
            </w: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rPr>
            </w:pPr>
            <w:r w:rsidRPr="0093492F">
              <w:rPr>
                <w:rFonts w:ascii="Times New Roman" w:hAnsi="Times New Roman" w:cs="Times New Roman"/>
                <w:b/>
                <w:color w:val="FF0000"/>
                <w:sz w:val="16"/>
                <w:szCs w:val="16"/>
              </w:rPr>
              <w:t>NON</w:t>
            </w:r>
          </w:p>
        </w:tc>
      </w:tr>
      <w:tr w:rsidR="00C72125" w:rsidRPr="0093492F" w:rsidTr="00C72125">
        <w:trPr>
          <w:cantSplit/>
          <w:trHeight w:val="62"/>
        </w:trPr>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538135" w:themeFill="accent6" w:themeFillShade="BF"/>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rPr>
            </w:pPr>
            <w:r w:rsidRPr="0093492F">
              <w:rPr>
                <w:rFonts w:ascii="Times New Roman" w:hAnsi="Times New Roman" w:cs="Times New Roman"/>
                <w:b/>
                <w:color w:val="FF0000"/>
                <w:sz w:val="16"/>
                <w:szCs w:val="16"/>
              </w:rPr>
              <w:t>NON</w:t>
            </w: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rPr>
            </w:pPr>
            <w:r w:rsidRPr="0093492F">
              <w:rPr>
                <w:rFonts w:ascii="Times New Roman" w:hAnsi="Times New Roman" w:cs="Times New Roman"/>
                <w:b/>
                <w:color w:val="FF0000"/>
                <w:sz w:val="16"/>
                <w:szCs w:val="16"/>
              </w:rPr>
              <w:t>NON</w:t>
            </w:r>
          </w:p>
        </w:tc>
      </w:tr>
      <w:tr w:rsidR="00C72125" w:rsidRPr="0093492F" w:rsidTr="00C72125">
        <w:trPr>
          <w:cantSplit/>
          <w:trHeight w:val="62"/>
        </w:trPr>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538135" w:themeFill="accent6" w:themeFillShade="BF"/>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b/>
                <w:sz w:val="16"/>
                <w:szCs w:val="16"/>
              </w:rPr>
            </w:pPr>
            <w:r w:rsidRPr="0093492F">
              <w:rPr>
                <w:rFonts w:ascii="Times New Roman" w:hAnsi="Times New Roman" w:cs="Times New Roman"/>
                <w:b/>
                <w:color w:val="00B050"/>
                <w:sz w:val="16"/>
                <w:szCs w:val="16"/>
              </w:rPr>
              <w:t>OUI</w:t>
            </w: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b/>
                <w:sz w:val="16"/>
                <w:szCs w:val="16"/>
              </w:rPr>
            </w:pPr>
            <w:r w:rsidRPr="0093492F">
              <w:rPr>
                <w:rFonts w:ascii="Times New Roman" w:hAnsi="Times New Roman" w:cs="Times New Roman"/>
                <w:b/>
                <w:color w:val="FF0000"/>
                <w:sz w:val="16"/>
                <w:szCs w:val="16"/>
              </w:rPr>
              <w:t>NON</w:t>
            </w:r>
          </w:p>
        </w:tc>
      </w:tr>
      <w:tr w:rsidR="00C72125" w:rsidRPr="0093492F" w:rsidTr="00C72125">
        <w:trPr>
          <w:cantSplit/>
          <w:trHeight w:val="62"/>
        </w:trPr>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538135" w:themeFill="accent6" w:themeFillShade="BF"/>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rPr>
            </w:pPr>
            <w:r w:rsidRPr="0093492F">
              <w:rPr>
                <w:rFonts w:ascii="Times New Roman" w:hAnsi="Times New Roman" w:cs="Times New Roman"/>
                <w:b/>
                <w:color w:val="FF0000"/>
                <w:sz w:val="16"/>
                <w:szCs w:val="16"/>
              </w:rPr>
              <w:t>NON</w:t>
            </w: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rPr>
            </w:pPr>
            <w:r w:rsidRPr="0093492F">
              <w:rPr>
                <w:rFonts w:ascii="Times New Roman" w:hAnsi="Times New Roman" w:cs="Times New Roman"/>
                <w:b/>
                <w:color w:val="FF0000"/>
                <w:sz w:val="16"/>
                <w:szCs w:val="16"/>
              </w:rPr>
              <w:t>NON</w:t>
            </w:r>
          </w:p>
        </w:tc>
      </w:tr>
      <w:tr w:rsidR="00C72125" w:rsidRPr="0093492F" w:rsidTr="00C72125">
        <w:trPr>
          <w:cantSplit/>
          <w:trHeight w:val="62"/>
        </w:trPr>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808080" w:themeFill="background1" w:themeFillShade="80"/>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538135" w:themeFill="accent6" w:themeFillShade="BF"/>
            <w:vAlign w:val="center"/>
          </w:tcPr>
          <w:p w:rsidR="00C72125" w:rsidRPr="0093492F" w:rsidRDefault="00C72125" w:rsidP="00B120AD">
            <w:pPr>
              <w:contextualSpacing/>
              <w:jc w:val="center"/>
              <w:rPr>
                <w:rFonts w:ascii="Times New Roman" w:hAnsi="Times New Roman" w:cs="Times New Roman"/>
                <w:sz w:val="16"/>
                <w:szCs w:val="16"/>
              </w:rPr>
            </w:pP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b/>
                <w:sz w:val="16"/>
                <w:szCs w:val="16"/>
              </w:rPr>
            </w:pPr>
            <w:r w:rsidRPr="0093492F">
              <w:rPr>
                <w:rFonts w:ascii="Times New Roman" w:hAnsi="Times New Roman" w:cs="Times New Roman"/>
                <w:b/>
                <w:color w:val="00B050"/>
                <w:sz w:val="16"/>
                <w:szCs w:val="16"/>
              </w:rPr>
              <w:t>OUI</w:t>
            </w:r>
          </w:p>
        </w:tc>
        <w:tc>
          <w:tcPr>
            <w:tcW w:w="0" w:type="auto"/>
            <w:shd w:val="clear" w:color="auto" w:fill="FFFFFF" w:themeFill="background1"/>
            <w:vAlign w:val="center"/>
          </w:tcPr>
          <w:p w:rsidR="00C72125" w:rsidRPr="0093492F" w:rsidRDefault="00C72125" w:rsidP="00B120AD">
            <w:pPr>
              <w:contextualSpacing/>
              <w:jc w:val="center"/>
              <w:rPr>
                <w:rFonts w:ascii="Times New Roman" w:hAnsi="Times New Roman" w:cs="Times New Roman"/>
                <w:b/>
                <w:sz w:val="16"/>
                <w:szCs w:val="16"/>
              </w:rPr>
            </w:pPr>
            <w:r w:rsidRPr="0093492F">
              <w:rPr>
                <w:rFonts w:ascii="Times New Roman" w:hAnsi="Times New Roman" w:cs="Times New Roman"/>
                <w:b/>
                <w:color w:val="FF0000"/>
                <w:sz w:val="16"/>
                <w:szCs w:val="16"/>
              </w:rPr>
              <w:t>NON</w:t>
            </w:r>
          </w:p>
        </w:tc>
      </w:tr>
    </w:tbl>
    <w:p w:rsidR="00C72125" w:rsidRPr="0093492F" w:rsidRDefault="00C72125" w:rsidP="00B120AD">
      <w:pPr>
        <w:contextualSpacing/>
        <w:rPr>
          <w:rFonts w:ascii="Times New Roman" w:hAnsi="Times New Roman" w:cs="Times New Roman"/>
          <w:b/>
          <w:sz w:val="16"/>
        </w:rPr>
      </w:pPr>
    </w:p>
    <w:p w:rsidR="00C72125" w:rsidRDefault="0093492F" w:rsidP="00B120AD">
      <w:pPr>
        <w:contextualSpacing/>
        <w:rPr>
          <w:rFonts w:ascii="Times New Roman" w:hAnsi="Times New Roman" w:cs="Times New Roman"/>
          <w:b/>
          <w:sz w:val="16"/>
        </w:rPr>
      </w:pPr>
      <w:r w:rsidRPr="0093492F">
        <w:rPr>
          <w:rFonts w:ascii="Times New Roman" w:hAnsi="Times New Roman" w:cs="Times New Roman"/>
          <w:b/>
          <w:sz w:val="16"/>
        </w:rPr>
        <w:t>Tableau n°2</w:t>
      </w:r>
      <w:r w:rsidR="00C72125" w:rsidRPr="0093492F">
        <w:rPr>
          <w:rFonts w:ascii="Times New Roman" w:hAnsi="Times New Roman" w:cs="Times New Roman"/>
          <w:b/>
          <w:sz w:val="16"/>
        </w:rPr>
        <w:t> :</w:t>
      </w:r>
      <w:r w:rsidRPr="0093492F">
        <w:rPr>
          <w:rFonts w:ascii="Times New Roman" w:hAnsi="Times New Roman" w:cs="Times New Roman"/>
          <w:b/>
          <w:sz w:val="16"/>
        </w:rPr>
        <w:t xml:space="preserve"> identification des filiales dont les</w:t>
      </w:r>
      <w:r w:rsidR="00C72125" w:rsidRPr="0093492F">
        <w:rPr>
          <w:rFonts w:ascii="Times New Roman" w:hAnsi="Times New Roman" w:cs="Times New Roman"/>
          <w:b/>
          <w:sz w:val="16"/>
        </w:rPr>
        <w:t xml:space="preserve"> informations </w:t>
      </w:r>
      <w:r w:rsidRPr="0093492F">
        <w:rPr>
          <w:rFonts w:ascii="Times New Roman" w:hAnsi="Times New Roman" w:cs="Times New Roman"/>
          <w:b/>
          <w:sz w:val="16"/>
        </w:rPr>
        <w:t>doivent figurer dans la</w:t>
      </w:r>
      <w:r w:rsidR="00C72125" w:rsidRPr="0093492F">
        <w:rPr>
          <w:rFonts w:ascii="Times New Roman" w:hAnsi="Times New Roman" w:cs="Times New Roman"/>
          <w:b/>
          <w:sz w:val="16"/>
        </w:rPr>
        <w:t xml:space="preserve"> remise consolidée</w:t>
      </w:r>
      <w:r w:rsidR="00D571C5" w:rsidRPr="0093492F">
        <w:rPr>
          <w:rFonts w:ascii="Times New Roman" w:hAnsi="Times New Roman" w:cs="Times New Roman"/>
          <w:b/>
          <w:sz w:val="16"/>
        </w:rPr>
        <w:t xml:space="preserve"> </w:t>
      </w:r>
      <w:r w:rsidRPr="0093492F">
        <w:rPr>
          <w:rFonts w:ascii="Times New Roman" w:hAnsi="Times New Roman" w:cs="Times New Roman"/>
          <w:b/>
          <w:sz w:val="16"/>
        </w:rPr>
        <w:t>d’</w:t>
      </w:r>
      <w:r w:rsidR="00D571C5" w:rsidRPr="0093492F">
        <w:rPr>
          <w:rFonts w:ascii="Times New Roman" w:hAnsi="Times New Roman" w:cs="Times New Roman"/>
          <w:b/>
          <w:sz w:val="16"/>
        </w:rPr>
        <w:t xml:space="preserve">une entité mère dans l’UE établie en France </w:t>
      </w:r>
      <w:r w:rsidR="00096C81" w:rsidRPr="0093492F">
        <w:rPr>
          <w:rFonts w:ascii="Times New Roman" w:hAnsi="Times New Roman" w:cs="Times New Roman"/>
          <w:b/>
          <w:sz w:val="16"/>
        </w:rPr>
        <w:t>sous supervision de l’ACPR</w:t>
      </w:r>
    </w:p>
    <w:p w:rsidR="00B120AD" w:rsidRPr="0093492F" w:rsidRDefault="00B120AD" w:rsidP="00B120AD">
      <w:pPr>
        <w:contextualSpacing/>
        <w:rPr>
          <w:rFonts w:ascii="Times New Roman" w:hAnsi="Times New Roman" w:cs="Times New Roman"/>
          <w:b/>
          <w:sz w:val="16"/>
        </w:rPr>
      </w:pPr>
    </w:p>
    <w:tbl>
      <w:tblPr>
        <w:tblStyle w:val="Grilledutableau"/>
        <w:tblW w:w="5000" w:type="pct"/>
        <w:tblLook w:val="04A0" w:firstRow="1" w:lastRow="0" w:firstColumn="1" w:lastColumn="0" w:noHBand="0" w:noVBand="1"/>
      </w:tblPr>
      <w:tblGrid>
        <w:gridCol w:w="3633"/>
        <w:gridCol w:w="2605"/>
        <w:gridCol w:w="3958"/>
        <w:gridCol w:w="5192"/>
      </w:tblGrid>
      <w:tr w:rsidR="00096C81" w:rsidRPr="0093492F" w:rsidTr="0093430A">
        <w:trPr>
          <w:trHeight w:val="172"/>
        </w:trPr>
        <w:tc>
          <w:tcPr>
            <w:tcW w:w="1180" w:type="pct"/>
            <w:vAlign w:val="center"/>
          </w:tcPr>
          <w:p w:rsidR="00096C81" w:rsidRPr="0093492F" w:rsidRDefault="00096C81" w:rsidP="00B120AD">
            <w:pPr>
              <w:contextualSpacing/>
              <w:jc w:val="center"/>
              <w:rPr>
                <w:rFonts w:ascii="Times New Roman" w:hAnsi="Times New Roman" w:cs="Times New Roman"/>
                <w:b/>
                <w:sz w:val="16"/>
              </w:rPr>
            </w:pPr>
            <w:r w:rsidRPr="0093492F">
              <w:rPr>
                <w:rFonts w:ascii="Times New Roman" w:hAnsi="Times New Roman" w:cs="Times New Roman"/>
                <w:b/>
                <w:sz w:val="16"/>
              </w:rPr>
              <w:t>La filiale appartient-elle au même secteur ?</w:t>
            </w:r>
          </w:p>
        </w:tc>
        <w:tc>
          <w:tcPr>
            <w:tcW w:w="846" w:type="pct"/>
            <w:vAlign w:val="center"/>
          </w:tcPr>
          <w:p w:rsidR="00096C81" w:rsidRPr="0093492F" w:rsidRDefault="00096C81" w:rsidP="00B120AD">
            <w:pPr>
              <w:contextualSpacing/>
              <w:jc w:val="center"/>
              <w:rPr>
                <w:rFonts w:ascii="Times New Roman" w:hAnsi="Times New Roman" w:cs="Times New Roman"/>
                <w:b/>
                <w:sz w:val="16"/>
              </w:rPr>
            </w:pPr>
            <w:r w:rsidRPr="0093492F">
              <w:rPr>
                <w:rFonts w:ascii="Times New Roman" w:hAnsi="Times New Roman" w:cs="Times New Roman"/>
                <w:b/>
                <w:sz w:val="16"/>
              </w:rPr>
              <w:t>Où la filiale est-elle localisée ?</w:t>
            </w:r>
          </w:p>
        </w:tc>
        <w:tc>
          <w:tcPr>
            <w:tcW w:w="1286" w:type="pct"/>
            <w:vAlign w:val="center"/>
          </w:tcPr>
          <w:p w:rsidR="00096C81" w:rsidRPr="0093492F" w:rsidRDefault="00096C81" w:rsidP="0093430A">
            <w:pPr>
              <w:contextualSpacing/>
              <w:jc w:val="center"/>
              <w:rPr>
                <w:rFonts w:ascii="Times New Roman" w:hAnsi="Times New Roman" w:cs="Times New Roman"/>
                <w:b/>
                <w:sz w:val="16"/>
              </w:rPr>
            </w:pPr>
            <w:r w:rsidRPr="0093492F">
              <w:rPr>
                <w:rFonts w:ascii="Times New Roman" w:hAnsi="Times New Roman" w:cs="Times New Roman"/>
                <w:b/>
                <w:sz w:val="16"/>
              </w:rPr>
              <w:t>La filiale est-elle sous la supervision de l’ACPR</w:t>
            </w:r>
            <w:r w:rsidR="00BB1DE1" w:rsidRPr="0093492F">
              <w:rPr>
                <w:rFonts w:ascii="Times New Roman" w:hAnsi="Times New Roman" w:cs="Times New Roman"/>
                <w:b/>
                <w:sz w:val="16"/>
              </w:rPr>
              <w:t> ?</w:t>
            </w:r>
          </w:p>
        </w:tc>
        <w:tc>
          <w:tcPr>
            <w:tcW w:w="1687" w:type="pct"/>
            <w:vAlign w:val="center"/>
          </w:tcPr>
          <w:p w:rsidR="00096C81" w:rsidRPr="0093492F" w:rsidRDefault="00096C81" w:rsidP="00B120AD">
            <w:pPr>
              <w:contextualSpacing/>
              <w:jc w:val="center"/>
              <w:rPr>
                <w:rFonts w:ascii="Times New Roman" w:hAnsi="Times New Roman" w:cs="Times New Roman"/>
                <w:b/>
                <w:sz w:val="16"/>
              </w:rPr>
            </w:pPr>
            <w:r w:rsidRPr="0093492F">
              <w:rPr>
                <w:rFonts w:ascii="Times New Roman" w:hAnsi="Times New Roman" w:cs="Times New Roman"/>
                <w:b/>
                <w:sz w:val="16"/>
              </w:rPr>
              <w:t>Le RoI consolidé doit-il inclure les informations de cette filiale ?</w:t>
            </w:r>
          </w:p>
        </w:tc>
      </w:tr>
      <w:tr w:rsidR="00096C81" w:rsidRPr="0093492F" w:rsidTr="0093492F">
        <w:tc>
          <w:tcPr>
            <w:tcW w:w="1180" w:type="pct"/>
            <w:shd w:val="clear" w:color="auto" w:fill="FFFFFF" w:themeFill="background1"/>
            <w:vAlign w:val="center"/>
          </w:tcPr>
          <w:p w:rsidR="00096C81" w:rsidRPr="0093492F" w:rsidRDefault="00096C81" w:rsidP="00B120AD">
            <w:pPr>
              <w:contextualSpacing/>
              <w:jc w:val="center"/>
              <w:rPr>
                <w:rFonts w:ascii="Times New Roman" w:hAnsi="Times New Roman" w:cs="Times New Roman"/>
                <w:sz w:val="16"/>
              </w:rPr>
            </w:pPr>
            <w:r w:rsidRPr="0093492F">
              <w:rPr>
                <w:rFonts w:ascii="Times New Roman" w:hAnsi="Times New Roman" w:cs="Times New Roman"/>
                <w:sz w:val="16"/>
              </w:rPr>
              <w:t>Oui</w:t>
            </w:r>
          </w:p>
        </w:tc>
        <w:tc>
          <w:tcPr>
            <w:tcW w:w="846" w:type="pct"/>
            <w:shd w:val="clear" w:color="auto" w:fill="FFFFFF" w:themeFill="background1"/>
            <w:vAlign w:val="center"/>
          </w:tcPr>
          <w:p w:rsidR="00096C81" w:rsidRPr="0093492F" w:rsidRDefault="00096C81" w:rsidP="00B120AD">
            <w:pPr>
              <w:contextualSpacing/>
              <w:jc w:val="center"/>
              <w:rPr>
                <w:rFonts w:ascii="Times New Roman" w:hAnsi="Times New Roman" w:cs="Times New Roman"/>
                <w:sz w:val="16"/>
              </w:rPr>
            </w:pPr>
            <w:r w:rsidRPr="0093492F">
              <w:rPr>
                <w:rFonts w:ascii="Times New Roman" w:hAnsi="Times New Roman" w:cs="Times New Roman"/>
                <w:sz w:val="16"/>
              </w:rPr>
              <w:t xml:space="preserve">En France </w:t>
            </w:r>
          </w:p>
        </w:tc>
        <w:tc>
          <w:tcPr>
            <w:tcW w:w="1286" w:type="pct"/>
            <w:shd w:val="clear" w:color="auto" w:fill="FFFFFF" w:themeFill="background1"/>
          </w:tcPr>
          <w:p w:rsidR="00096C81" w:rsidRPr="0093492F" w:rsidRDefault="00BB1DE1" w:rsidP="00B120AD">
            <w:pPr>
              <w:contextualSpacing/>
              <w:jc w:val="center"/>
              <w:rPr>
                <w:rFonts w:ascii="Times New Roman" w:hAnsi="Times New Roman" w:cs="Times New Roman"/>
                <w:sz w:val="16"/>
              </w:rPr>
            </w:pPr>
            <w:r w:rsidRPr="0093492F">
              <w:rPr>
                <w:rFonts w:ascii="Times New Roman" w:hAnsi="Times New Roman" w:cs="Times New Roman"/>
                <w:sz w:val="16"/>
              </w:rPr>
              <w:t>Oui</w:t>
            </w:r>
          </w:p>
        </w:tc>
        <w:tc>
          <w:tcPr>
            <w:tcW w:w="1687" w:type="pct"/>
            <w:shd w:val="clear" w:color="auto" w:fill="FFFFFF" w:themeFill="background1"/>
            <w:vAlign w:val="center"/>
          </w:tcPr>
          <w:p w:rsidR="00096C81" w:rsidRPr="0093492F" w:rsidRDefault="00096C81" w:rsidP="00B120AD">
            <w:pPr>
              <w:contextualSpacing/>
              <w:jc w:val="center"/>
              <w:rPr>
                <w:rFonts w:ascii="Times New Roman" w:hAnsi="Times New Roman" w:cs="Times New Roman"/>
                <w:b/>
                <w:color w:val="00B050"/>
                <w:sz w:val="16"/>
              </w:rPr>
            </w:pPr>
            <w:r w:rsidRPr="0093492F">
              <w:rPr>
                <w:rFonts w:ascii="Times New Roman" w:hAnsi="Times New Roman" w:cs="Times New Roman"/>
                <w:b/>
                <w:color w:val="00B050"/>
                <w:sz w:val="16"/>
              </w:rPr>
              <w:t xml:space="preserve">OUI </w:t>
            </w:r>
          </w:p>
        </w:tc>
      </w:tr>
      <w:tr w:rsidR="00096C81" w:rsidRPr="0093492F" w:rsidTr="0093492F">
        <w:tc>
          <w:tcPr>
            <w:tcW w:w="1180" w:type="pct"/>
            <w:vAlign w:val="center"/>
          </w:tcPr>
          <w:p w:rsidR="00096C81" w:rsidRPr="0093492F" w:rsidRDefault="00096C81" w:rsidP="00B120AD">
            <w:pPr>
              <w:contextualSpacing/>
              <w:jc w:val="center"/>
              <w:rPr>
                <w:rFonts w:ascii="Times New Roman" w:hAnsi="Times New Roman" w:cs="Times New Roman"/>
                <w:sz w:val="16"/>
              </w:rPr>
            </w:pPr>
            <w:r w:rsidRPr="0093492F">
              <w:rPr>
                <w:rFonts w:ascii="Times New Roman" w:hAnsi="Times New Roman" w:cs="Times New Roman"/>
                <w:sz w:val="16"/>
              </w:rPr>
              <w:t>Oui</w:t>
            </w:r>
          </w:p>
        </w:tc>
        <w:tc>
          <w:tcPr>
            <w:tcW w:w="846" w:type="pct"/>
            <w:vAlign w:val="center"/>
          </w:tcPr>
          <w:p w:rsidR="00096C81" w:rsidRPr="0093492F" w:rsidRDefault="00096C81" w:rsidP="00B120AD">
            <w:pPr>
              <w:contextualSpacing/>
              <w:jc w:val="center"/>
              <w:rPr>
                <w:rFonts w:ascii="Times New Roman" w:hAnsi="Times New Roman" w:cs="Times New Roman"/>
                <w:sz w:val="16"/>
              </w:rPr>
            </w:pPr>
            <w:r w:rsidRPr="0093492F">
              <w:rPr>
                <w:rFonts w:ascii="Times New Roman" w:hAnsi="Times New Roman" w:cs="Times New Roman"/>
                <w:sz w:val="16"/>
              </w:rPr>
              <w:t>Dans l’UE ou l’EEE</w:t>
            </w:r>
          </w:p>
        </w:tc>
        <w:tc>
          <w:tcPr>
            <w:tcW w:w="1286" w:type="pct"/>
          </w:tcPr>
          <w:p w:rsidR="00096C81" w:rsidRPr="0093492F" w:rsidRDefault="00BB1DE1" w:rsidP="00B120AD">
            <w:pPr>
              <w:contextualSpacing/>
              <w:jc w:val="center"/>
              <w:rPr>
                <w:rFonts w:ascii="Times New Roman" w:hAnsi="Times New Roman" w:cs="Times New Roman"/>
                <w:sz w:val="16"/>
              </w:rPr>
            </w:pPr>
            <w:r w:rsidRPr="0093492F">
              <w:rPr>
                <w:rFonts w:ascii="Times New Roman" w:hAnsi="Times New Roman" w:cs="Times New Roman"/>
                <w:sz w:val="16"/>
              </w:rPr>
              <w:t xml:space="preserve">Non </w:t>
            </w:r>
          </w:p>
        </w:tc>
        <w:tc>
          <w:tcPr>
            <w:tcW w:w="1687" w:type="pct"/>
            <w:vAlign w:val="center"/>
          </w:tcPr>
          <w:p w:rsidR="00096C81" w:rsidRPr="0093492F" w:rsidRDefault="00096C81" w:rsidP="00B120AD">
            <w:pPr>
              <w:contextualSpacing/>
              <w:jc w:val="center"/>
              <w:rPr>
                <w:rFonts w:ascii="Times New Roman" w:hAnsi="Times New Roman" w:cs="Times New Roman"/>
                <w:color w:val="00B050"/>
                <w:sz w:val="16"/>
              </w:rPr>
            </w:pPr>
            <w:r w:rsidRPr="0093492F">
              <w:rPr>
                <w:rFonts w:ascii="Times New Roman" w:hAnsi="Times New Roman" w:cs="Times New Roman"/>
                <w:b/>
                <w:color w:val="00B050"/>
                <w:sz w:val="16"/>
              </w:rPr>
              <w:t>OUI</w:t>
            </w:r>
          </w:p>
        </w:tc>
      </w:tr>
      <w:tr w:rsidR="00096C81" w:rsidRPr="0093492F" w:rsidTr="0093492F">
        <w:tc>
          <w:tcPr>
            <w:tcW w:w="1180" w:type="pct"/>
            <w:vAlign w:val="center"/>
          </w:tcPr>
          <w:p w:rsidR="00096C81" w:rsidRPr="0093492F" w:rsidRDefault="00096C81" w:rsidP="00B120AD">
            <w:pPr>
              <w:contextualSpacing/>
              <w:jc w:val="center"/>
              <w:rPr>
                <w:rFonts w:ascii="Times New Roman" w:hAnsi="Times New Roman" w:cs="Times New Roman"/>
                <w:sz w:val="16"/>
              </w:rPr>
            </w:pPr>
            <w:r w:rsidRPr="0093492F">
              <w:rPr>
                <w:rFonts w:ascii="Times New Roman" w:hAnsi="Times New Roman" w:cs="Times New Roman"/>
                <w:sz w:val="16"/>
              </w:rPr>
              <w:t>Oui</w:t>
            </w:r>
          </w:p>
        </w:tc>
        <w:tc>
          <w:tcPr>
            <w:tcW w:w="846" w:type="pct"/>
            <w:vAlign w:val="center"/>
          </w:tcPr>
          <w:p w:rsidR="00096C81" w:rsidRPr="0093492F" w:rsidRDefault="00096C81" w:rsidP="00B120AD">
            <w:pPr>
              <w:contextualSpacing/>
              <w:jc w:val="center"/>
              <w:rPr>
                <w:rFonts w:ascii="Times New Roman" w:hAnsi="Times New Roman" w:cs="Times New Roman"/>
                <w:sz w:val="16"/>
              </w:rPr>
            </w:pPr>
            <w:r w:rsidRPr="0093492F">
              <w:rPr>
                <w:rFonts w:ascii="Times New Roman" w:hAnsi="Times New Roman" w:cs="Times New Roman"/>
                <w:sz w:val="16"/>
              </w:rPr>
              <w:t>Hors de l’UE ou de l’EEE</w:t>
            </w:r>
          </w:p>
        </w:tc>
        <w:tc>
          <w:tcPr>
            <w:tcW w:w="1286" w:type="pct"/>
          </w:tcPr>
          <w:p w:rsidR="00096C81" w:rsidRPr="0093492F" w:rsidRDefault="00BB1DE1" w:rsidP="00B120AD">
            <w:pPr>
              <w:contextualSpacing/>
              <w:jc w:val="center"/>
              <w:rPr>
                <w:rFonts w:ascii="Times New Roman" w:hAnsi="Times New Roman" w:cs="Times New Roman"/>
                <w:sz w:val="16"/>
              </w:rPr>
            </w:pPr>
            <w:r w:rsidRPr="0093492F">
              <w:rPr>
                <w:rFonts w:ascii="Times New Roman" w:hAnsi="Times New Roman" w:cs="Times New Roman"/>
                <w:sz w:val="16"/>
              </w:rPr>
              <w:t>Non</w:t>
            </w:r>
          </w:p>
        </w:tc>
        <w:tc>
          <w:tcPr>
            <w:tcW w:w="1687" w:type="pct"/>
            <w:vAlign w:val="center"/>
          </w:tcPr>
          <w:p w:rsidR="00096C81" w:rsidRPr="0093492F" w:rsidRDefault="00096C81" w:rsidP="00B120AD">
            <w:pPr>
              <w:contextualSpacing/>
              <w:jc w:val="center"/>
              <w:rPr>
                <w:rFonts w:ascii="Times New Roman" w:hAnsi="Times New Roman" w:cs="Times New Roman"/>
                <w:b/>
                <w:sz w:val="16"/>
              </w:rPr>
            </w:pPr>
            <w:r w:rsidRPr="0093492F">
              <w:rPr>
                <w:rFonts w:ascii="Times New Roman" w:hAnsi="Times New Roman" w:cs="Times New Roman"/>
                <w:b/>
                <w:color w:val="FF0000"/>
                <w:sz w:val="16"/>
              </w:rPr>
              <w:t>NON</w:t>
            </w:r>
          </w:p>
        </w:tc>
      </w:tr>
      <w:tr w:rsidR="00BB1DE1" w:rsidRPr="0093492F" w:rsidTr="0093492F">
        <w:tc>
          <w:tcPr>
            <w:tcW w:w="1180" w:type="pct"/>
            <w:vMerge w:val="restart"/>
            <w:vAlign w:val="center"/>
          </w:tcPr>
          <w:p w:rsidR="00BB1DE1" w:rsidRPr="0093492F" w:rsidRDefault="00BB1DE1" w:rsidP="00B120AD">
            <w:pPr>
              <w:contextualSpacing/>
              <w:jc w:val="center"/>
              <w:rPr>
                <w:rFonts w:ascii="Times New Roman" w:hAnsi="Times New Roman" w:cs="Times New Roman"/>
                <w:sz w:val="16"/>
              </w:rPr>
            </w:pPr>
            <w:r w:rsidRPr="0093492F">
              <w:rPr>
                <w:rFonts w:ascii="Times New Roman" w:hAnsi="Times New Roman" w:cs="Times New Roman"/>
                <w:sz w:val="16"/>
              </w:rPr>
              <w:t>Non</w:t>
            </w:r>
          </w:p>
        </w:tc>
        <w:tc>
          <w:tcPr>
            <w:tcW w:w="846" w:type="pct"/>
            <w:vMerge w:val="restart"/>
            <w:vAlign w:val="center"/>
          </w:tcPr>
          <w:p w:rsidR="00BB1DE1" w:rsidRPr="0093492F" w:rsidRDefault="00BB1DE1" w:rsidP="00B120AD">
            <w:pPr>
              <w:contextualSpacing/>
              <w:jc w:val="center"/>
              <w:rPr>
                <w:rFonts w:ascii="Times New Roman" w:hAnsi="Times New Roman" w:cs="Times New Roman"/>
                <w:sz w:val="16"/>
              </w:rPr>
            </w:pPr>
            <w:r w:rsidRPr="0093492F">
              <w:rPr>
                <w:rFonts w:ascii="Times New Roman" w:hAnsi="Times New Roman" w:cs="Times New Roman"/>
                <w:sz w:val="16"/>
              </w:rPr>
              <w:t xml:space="preserve">En France </w:t>
            </w:r>
          </w:p>
        </w:tc>
        <w:tc>
          <w:tcPr>
            <w:tcW w:w="1286" w:type="pct"/>
          </w:tcPr>
          <w:p w:rsidR="00BB1DE1" w:rsidRPr="0093492F" w:rsidRDefault="00BB1DE1" w:rsidP="00B120AD">
            <w:pPr>
              <w:contextualSpacing/>
              <w:jc w:val="center"/>
              <w:rPr>
                <w:rFonts w:ascii="Times New Roman" w:hAnsi="Times New Roman" w:cs="Times New Roman"/>
                <w:sz w:val="16"/>
              </w:rPr>
            </w:pPr>
            <w:r w:rsidRPr="0093492F">
              <w:rPr>
                <w:rFonts w:ascii="Times New Roman" w:hAnsi="Times New Roman" w:cs="Times New Roman"/>
                <w:sz w:val="16"/>
              </w:rPr>
              <w:t>Oui</w:t>
            </w:r>
          </w:p>
        </w:tc>
        <w:tc>
          <w:tcPr>
            <w:tcW w:w="1687" w:type="pct"/>
            <w:vAlign w:val="center"/>
          </w:tcPr>
          <w:p w:rsidR="00BB1DE1" w:rsidRPr="0093492F" w:rsidRDefault="00BB1DE1" w:rsidP="00B120AD">
            <w:pPr>
              <w:contextualSpacing/>
              <w:jc w:val="center"/>
              <w:rPr>
                <w:rFonts w:ascii="Times New Roman" w:hAnsi="Times New Roman" w:cs="Times New Roman"/>
                <w:color w:val="00B050"/>
                <w:sz w:val="16"/>
              </w:rPr>
            </w:pPr>
            <w:r w:rsidRPr="0093492F">
              <w:rPr>
                <w:rFonts w:ascii="Times New Roman" w:hAnsi="Times New Roman" w:cs="Times New Roman"/>
                <w:b/>
                <w:color w:val="00B050"/>
                <w:sz w:val="16"/>
              </w:rPr>
              <w:t>OUI</w:t>
            </w:r>
          </w:p>
        </w:tc>
      </w:tr>
      <w:tr w:rsidR="00BB1DE1" w:rsidRPr="0093492F" w:rsidTr="0093492F">
        <w:tc>
          <w:tcPr>
            <w:tcW w:w="1180" w:type="pct"/>
            <w:vMerge/>
            <w:vAlign w:val="center"/>
          </w:tcPr>
          <w:p w:rsidR="00BB1DE1" w:rsidRPr="0093492F" w:rsidRDefault="00BB1DE1" w:rsidP="00B120AD">
            <w:pPr>
              <w:contextualSpacing/>
              <w:jc w:val="center"/>
              <w:rPr>
                <w:rFonts w:ascii="Times New Roman" w:hAnsi="Times New Roman" w:cs="Times New Roman"/>
                <w:sz w:val="16"/>
              </w:rPr>
            </w:pPr>
          </w:p>
        </w:tc>
        <w:tc>
          <w:tcPr>
            <w:tcW w:w="846" w:type="pct"/>
            <w:vMerge/>
            <w:vAlign w:val="center"/>
          </w:tcPr>
          <w:p w:rsidR="00BB1DE1" w:rsidRPr="0093492F" w:rsidRDefault="00BB1DE1" w:rsidP="00B120AD">
            <w:pPr>
              <w:contextualSpacing/>
              <w:rPr>
                <w:rFonts w:ascii="Times New Roman" w:hAnsi="Times New Roman" w:cs="Times New Roman"/>
                <w:sz w:val="16"/>
              </w:rPr>
            </w:pPr>
          </w:p>
        </w:tc>
        <w:tc>
          <w:tcPr>
            <w:tcW w:w="1286" w:type="pct"/>
          </w:tcPr>
          <w:p w:rsidR="00BB1DE1" w:rsidRPr="0093492F" w:rsidRDefault="00BB1DE1" w:rsidP="00B120AD">
            <w:pPr>
              <w:contextualSpacing/>
              <w:jc w:val="center"/>
              <w:rPr>
                <w:rFonts w:ascii="Times New Roman" w:hAnsi="Times New Roman" w:cs="Times New Roman"/>
                <w:sz w:val="16"/>
              </w:rPr>
            </w:pPr>
            <w:r w:rsidRPr="0093492F">
              <w:rPr>
                <w:rFonts w:ascii="Times New Roman" w:hAnsi="Times New Roman" w:cs="Times New Roman"/>
                <w:sz w:val="16"/>
              </w:rPr>
              <w:t>Non</w:t>
            </w:r>
          </w:p>
        </w:tc>
        <w:tc>
          <w:tcPr>
            <w:tcW w:w="1687" w:type="pct"/>
            <w:vAlign w:val="center"/>
          </w:tcPr>
          <w:p w:rsidR="00BB1DE1" w:rsidRPr="0093492F" w:rsidRDefault="00BB1DE1" w:rsidP="00B120AD">
            <w:pPr>
              <w:contextualSpacing/>
              <w:jc w:val="center"/>
              <w:rPr>
                <w:rFonts w:ascii="Times New Roman" w:hAnsi="Times New Roman" w:cs="Times New Roman"/>
                <w:b/>
                <w:sz w:val="16"/>
              </w:rPr>
            </w:pPr>
            <w:r w:rsidRPr="0093492F">
              <w:rPr>
                <w:rFonts w:ascii="Times New Roman" w:hAnsi="Times New Roman" w:cs="Times New Roman"/>
                <w:b/>
                <w:color w:val="FF0000"/>
                <w:sz w:val="16"/>
              </w:rPr>
              <w:t>NON</w:t>
            </w:r>
          </w:p>
        </w:tc>
      </w:tr>
      <w:tr w:rsidR="00096C81" w:rsidRPr="0093492F" w:rsidTr="0093492F">
        <w:tc>
          <w:tcPr>
            <w:tcW w:w="1180" w:type="pct"/>
            <w:vAlign w:val="center"/>
          </w:tcPr>
          <w:p w:rsidR="00096C81" w:rsidRPr="0093492F" w:rsidRDefault="00096C81" w:rsidP="00B120AD">
            <w:pPr>
              <w:contextualSpacing/>
              <w:jc w:val="center"/>
              <w:rPr>
                <w:rFonts w:ascii="Times New Roman" w:hAnsi="Times New Roman" w:cs="Times New Roman"/>
                <w:sz w:val="16"/>
              </w:rPr>
            </w:pPr>
            <w:r w:rsidRPr="0093492F">
              <w:rPr>
                <w:rFonts w:ascii="Times New Roman" w:hAnsi="Times New Roman" w:cs="Times New Roman"/>
                <w:sz w:val="16"/>
              </w:rPr>
              <w:t>Non</w:t>
            </w:r>
          </w:p>
        </w:tc>
        <w:tc>
          <w:tcPr>
            <w:tcW w:w="846" w:type="pct"/>
            <w:vAlign w:val="center"/>
          </w:tcPr>
          <w:p w:rsidR="00096C81" w:rsidRPr="0093492F" w:rsidRDefault="00096C81" w:rsidP="00B120AD">
            <w:pPr>
              <w:contextualSpacing/>
              <w:jc w:val="center"/>
              <w:rPr>
                <w:rFonts w:ascii="Times New Roman" w:hAnsi="Times New Roman" w:cs="Times New Roman"/>
                <w:sz w:val="16"/>
              </w:rPr>
            </w:pPr>
            <w:r w:rsidRPr="0093492F">
              <w:rPr>
                <w:rFonts w:ascii="Times New Roman" w:hAnsi="Times New Roman" w:cs="Times New Roman"/>
                <w:sz w:val="16"/>
              </w:rPr>
              <w:t>Dans l’UE ou l’EEE</w:t>
            </w:r>
          </w:p>
        </w:tc>
        <w:tc>
          <w:tcPr>
            <w:tcW w:w="1286" w:type="pct"/>
          </w:tcPr>
          <w:p w:rsidR="00096C81" w:rsidRPr="0093492F" w:rsidRDefault="00BB1DE1" w:rsidP="00B120AD">
            <w:pPr>
              <w:contextualSpacing/>
              <w:jc w:val="center"/>
              <w:rPr>
                <w:rFonts w:ascii="Times New Roman" w:hAnsi="Times New Roman" w:cs="Times New Roman"/>
                <w:sz w:val="16"/>
              </w:rPr>
            </w:pPr>
            <w:r w:rsidRPr="0093492F">
              <w:rPr>
                <w:rFonts w:ascii="Times New Roman" w:hAnsi="Times New Roman" w:cs="Times New Roman"/>
                <w:sz w:val="16"/>
              </w:rPr>
              <w:t>Non</w:t>
            </w:r>
          </w:p>
        </w:tc>
        <w:tc>
          <w:tcPr>
            <w:tcW w:w="1687" w:type="pct"/>
            <w:vAlign w:val="center"/>
          </w:tcPr>
          <w:p w:rsidR="00096C81" w:rsidRPr="0093492F" w:rsidRDefault="00BB1DE1" w:rsidP="00B120AD">
            <w:pPr>
              <w:contextualSpacing/>
              <w:jc w:val="center"/>
              <w:rPr>
                <w:rFonts w:ascii="Times New Roman" w:hAnsi="Times New Roman" w:cs="Times New Roman"/>
                <w:sz w:val="16"/>
              </w:rPr>
            </w:pPr>
            <w:r w:rsidRPr="0093492F">
              <w:rPr>
                <w:rFonts w:ascii="Times New Roman" w:hAnsi="Times New Roman" w:cs="Times New Roman"/>
                <w:b/>
                <w:color w:val="FF0000"/>
                <w:sz w:val="16"/>
              </w:rPr>
              <w:t>NON</w:t>
            </w:r>
          </w:p>
        </w:tc>
      </w:tr>
      <w:tr w:rsidR="00096C81" w:rsidRPr="0093492F" w:rsidTr="0093492F">
        <w:tc>
          <w:tcPr>
            <w:tcW w:w="1180" w:type="pct"/>
            <w:vAlign w:val="center"/>
          </w:tcPr>
          <w:p w:rsidR="00096C81" w:rsidRPr="0093492F" w:rsidRDefault="00096C81" w:rsidP="00B120AD">
            <w:pPr>
              <w:contextualSpacing/>
              <w:jc w:val="center"/>
              <w:rPr>
                <w:rFonts w:ascii="Times New Roman" w:hAnsi="Times New Roman" w:cs="Times New Roman"/>
                <w:sz w:val="16"/>
              </w:rPr>
            </w:pPr>
            <w:r w:rsidRPr="0093492F">
              <w:rPr>
                <w:rFonts w:ascii="Times New Roman" w:hAnsi="Times New Roman" w:cs="Times New Roman"/>
                <w:sz w:val="16"/>
              </w:rPr>
              <w:t>Non</w:t>
            </w:r>
          </w:p>
        </w:tc>
        <w:tc>
          <w:tcPr>
            <w:tcW w:w="846" w:type="pct"/>
            <w:vAlign w:val="center"/>
          </w:tcPr>
          <w:p w:rsidR="00096C81" w:rsidRPr="0093492F" w:rsidRDefault="00096C81" w:rsidP="00B120AD">
            <w:pPr>
              <w:contextualSpacing/>
              <w:jc w:val="center"/>
              <w:rPr>
                <w:rFonts w:ascii="Times New Roman" w:hAnsi="Times New Roman" w:cs="Times New Roman"/>
                <w:sz w:val="16"/>
              </w:rPr>
            </w:pPr>
            <w:r w:rsidRPr="0093492F">
              <w:rPr>
                <w:rFonts w:ascii="Times New Roman" w:hAnsi="Times New Roman" w:cs="Times New Roman"/>
                <w:sz w:val="16"/>
              </w:rPr>
              <w:t>Hors de l’UE ou de l’EEE</w:t>
            </w:r>
          </w:p>
        </w:tc>
        <w:tc>
          <w:tcPr>
            <w:tcW w:w="1286" w:type="pct"/>
          </w:tcPr>
          <w:p w:rsidR="00096C81" w:rsidRPr="0093492F" w:rsidRDefault="00BB1DE1" w:rsidP="00B120AD">
            <w:pPr>
              <w:contextualSpacing/>
              <w:jc w:val="center"/>
              <w:rPr>
                <w:rFonts w:ascii="Times New Roman" w:hAnsi="Times New Roman" w:cs="Times New Roman"/>
                <w:sz w:val="16"/>
              </w:rPr>
            </w:pPr>
            <w:r w:rsidRPr="0093492F">
              <w:rPr>
                <w:rFonts w:ascii="Times New Roman" w:hAnsi="Times New Roman" w:cs="Times New Roman"/>
                <w:sz w:val="16"/>
              </w:rPr>
              <w:t>Non</w:t>
            </w:r>
          </w:p>
        </w:tc>
        <w:tc>
          <w:tcPr>
            <w:tcW w:w="1687" w:type="pct"/>
            <w:vAlign w:val="center"/>
          </w:tcPr>
          <w:p w:rsidR="00096C81" w:rsidRPr="0093492F" w:rsidRDefault="00BB1DE1" w:rsidP="00B120AD">
            <w:pPr>
              <w:contextualSpacing/>
              <w:jc w:val="center"/>
              <w:rPr>
                <w:rFonts w:ascii="Times New Roman" w:hAnsi="Times New Roman" w:cs="Times New Roman"/>
                <w:sz w:val="16"/>
              </w:rPr>
            </w:pPr>
            <w:r w:rsidRPr="0093492F">
              <w:rPr>
                <w:rFonts w:ascii="Times New Roman" w:hAnsi="Times New Roman" w:cs="Times New Roman"/>
                <w:b/>
                <w:color w:val="FF0000"/>
                <w:sz w:val="16"/>
              </w:rPr>
              <w:t>NON</w:t>
            </w:r>
          </w:p>
        </w:tc>
      </w:tr>
    </w:tbl>
    <w:p w:rsidR="00E453C9" w:rsidRPr="0093492F" w:rsidRDefault="00E453C9" w:rsidP="00B120AD">
      <w:pPr>
        <w:contextualSpacing/>
        <w:rPr>
          <w:rFonts w:ascii="Times New Roman" w:hAnsi="Times New Roman" w:cs="Times New Roman"/>
          <w:sz w:val="16"/>
        </w:rPr>
      </w:pPr>
    </w:p>
    <w:sectPr w:rsidR="00E453C9" w:rsidRPr="0093492F" w:rsidSect="00BB1DE1">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A51"/>
    <w:rsid w:val="00096C81"/>
    <w:rsid w:val="000F7696"/>
    <w:rsid w:val="001667A8"/>
    <w:rsid w:val="0022480A"/>
    <w:rsid w:val="00270E3A"/>
    <w:rsid w:val="002857F1"/>
    <w:rsid w:val="00876EAB"/>
    <w:rsid w:val="0093430A"/>
    <w:rsid w:val="0093492F"/>
    <w:rsid w:val="00940D7C"/>
    <w:rsid w:val="009810E5"/>
    <w:rsid w:val="00A0113A"/>
    <w:rsid w:val="00A650B3"/>
    <w:rsid w:val="00AD2FA4"/>
    <w:rsid w:val="00B120AD"/>
    <w:rsid w:val="00B80EBA"/>
    <w:rsid w:val="00BB1DE1"/>
    <w:rsid w:val="00C116EB"/>
    <w:rsid w:val="00C72125"/>
    <w:rsid w:val="00C909F6"/>
    <w:rsid w:val="00D0503A"/>
    <w:rsid w:val="00D571C5"/>
    <w:rsid w:val="00DD087F"/>
    <w:rsid w:val="00E453C9"/>
    <w:rsid w:val="00E50B48"/>
    <w:rsid w:val="00E81A51"/>
    <w:rsid w:val="00F04FD8"/>
    <w:rsid w:val="00F63913"/>
    <w:rsid w:val="00F677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2EDFF-4528-44AE-857D-DE3998B2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81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444</Words>
  <Characters>2443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BARTHEL Alexane (SGACPR COM)</cp:lastModifiedBy>
  <cp:revision>6</cp:revision>
  <dcterms:created xsi:type="dcterms:W3CDTF">2025-03-12T21:00:00Z</dcterms:created>
  <dcterms:modified xsi:type="dcterms:W3CDTF">2025-06-30T15:43:00Z</dcterms:modified>
</cp:coreProperties>
</file>