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45" w:rsidRDefault="00672945" w:rsidP="00672945">
      <w:pPr>
        <w:pStyle w:val="BO-Titreannexeduneinstruction"/>
        <w:jc w:val="right"/>
        <w:rPr>
          <w:rFonts w:ascii="Times New Roman" w:hAnsi="Times New Roman" w:cs="Times New Roman"/>
        </w:rPr>
      </w:pPr>
      <w:r w:rsidRPr="003A3A1B">
        <w:rPr>
          <w:rFonts w:ascii="Times New Roman" w:hAnsi="Times New Roman" w:cs="Times New Roman"/>
        </w:rPr>
        <w:t>Annexe</w:t>
      </w:r>
      <w:r>
        <w:rPr>
          <w:rFonts w:ascii="Times New Roman" w:hAnsi="Times New Roman" w:cs="Times New Roman"/>
        </w:rPr>
        <w:t xml:space="preserve"> I</w:t>
      </w:r>
    </w:p>
    <w:p w:rsidR="003B44D5" w:rsidRPr="003B44D5" w:rsidRDefault="003B44D5" w:rsidP="003B44D5">
      <w:pPr>
        <w:pStyle w:val="BO-Textecourant"/>
      </w:pPr>
    </w:p>
    <w:p w:rsidR="00672945" w:rsidRDefault="00672945" w:rsidP="00672945">
      <w:pPr>
        <w:pStyle w:val="BO-Titreannexeduneinstruction"/>
        <w:rPr>
          <w:rFonts w:ascii="Times New Roman" w:hAnsi="Times New Roman" w:cs="Times New Roman"/>
        </w:rPr>
      </w:pPr>
    </w:p>
    <w:p w:rsidR="003B44D5" w:rsidRDefault="00672945" w:rsidP="00672945">
      <w:pPr>
        <w:pStyle w:val="BO-Titreannexeduneinstruction"/>
        <w:rPr>
          <w:rFonts w:ascii="Times New Roman" w:hAnsi="Times New Roman" w:cs="Times New Roman"/>
        </w:rPr>
      </w:pPr>
      <w:r w:rsidRPr="003A3A1B">
        <w:rPr>
          <w:rFonts w:ascii="Times New Roman" w:hAnsi="Times New Roman" w:cs="Times New Roman"/>
        </w:rPr>
        <w:t xml:space="preserve">Tableau de remise de la collecte </w:t>
      </w:r>
    </w:p>
    <w:p w:rsidR="00672945" w:rsidRPr="003A3A1B" w:rsidRDefault="00672945" w:rsidP="00672945">
      <w:pPr>
        <w:pStyle w:val="BO-Titreannexeduneinstruction"/>
        <w:rPr>
          <w:rFonts w:ascii="Times New Roman" w:hAnsi="Times New Roman" w:cs="Times New Roman"/>
        </w:rPr>
      </w:pPr>
      <w:proofErr w:type="gramStart"/>
      <w:r w:rsidRPr="003A3A1B">
        <w:rPr>
          <w:rFonts w:ascii="Times New Roman" w:hAnsi="Times New Roman" w:cs="Times New Roman"/>
        </w:rPr>
        <w:t>sur</w:t>
      </w:r>
      <w:proofErr w:type="gramEnd"/>
      <w:r w:rsidRPr="003A3A1B">
        <w:rPr>
          <w:rFonts w:ascii="Times New Roman" w:hAnsi="Times New Roman" w:cs="Times New Roman"/>
        </w:rPr>
        <w:t xml:space="preserve"> les flux des contrats d’assurance</w:t>
      </w:r>
      <w:r>
        <w:rPr>
          <w:rFonts w:ascii="Times New Roman" w:hAnsi="Times New Roman" w:cs="Times New Roman"/>
        </w:rPr>
        <w:t>-</w:t>
      </w:r>
      <w:r w:rsidRPr="003A3A1B">
        <w:rPr>
          <w:rFonts w:ascii="Times New Roman" w:hAnsi="Times New Roman" w:cs="Times New Roman"/>
        </w:rPr>
        <w:t>vie</w:t>
      </w:r>
      <w:r>
        <w:rPr>
          <w:rFonts w:ascii="Times New Roman" w:hAnsi="Times New Roman" w:cs="Times New Roman"/>
        </w:rPr>
        <w:t xml:space="preserve"> et d’épargne retraite</w:t>
      </w:r>
    </w:p>
    <w:p w:rsidR="00672945" w:rsidRPr="003A3A1B" w:rsidRDefault="00672945" w:rsidP="00672945">
      <w:pPr>
        <w:pStyle w:val="BO-Textecourant"/>
        <w:rPr>
          <w:sz w:val="24"/>
          <w:szCs w:val="24"/>
        </w:rPr>
      </w:pPr>
    </w:p>
    <w:p w:rsidR="00672945" w:rsidRPr="003A3A1B" w:rsidRDefault="00672945" w:rsidP="00672945">
      <w:pPr>
        <w:pStyle w:val="BO-Textecourant"/>
        <w:rPr>
          <w:sz w:val="24"/>
          <w:szCs w:val="24"/>
        </w:rPr>
      </w:pPr>
    </w:p>
    <w:p w:rsidR="00672945" w:rsidRPr="003A3A1B" w:rsidRDefault="00672945" w:rsidP="00672945">
      <w:pPr>
        <w:jc w:val="left"/>
        <w:rPr>
          <w:b/>
          <w:bCs/>
          <w:sz w:val="24"/>
          <w:szCs w:val="24"/>
          <w:u w:val="single"/>
        </w:rPr>
      </w:pPr>
    </w:p>
    <w:p w:rsidR="00672945" w:rsidRDefault="00672945" w:rsidP="00672945">
      <w:pPr>
        <w:jc w:val="left"/>
      </w:pPr>
    </w:p>
    <w:p w:rsidR="00672945" w:rsidRDefault="00672945">
      <w:r w:rsidRPr="002A0D54">
        <w:rPr>
          <w:noProof/>
        </w:rPr>
        <w:drawing>
          <wp:inline distT="0" distB="0" distL="0" distR="0" wp14:anchorId="585C227B" wp14:editId="61A3B7F3">
            <wp:extent cx="5760720" cy="599003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9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45" w:rsidRPr="00672945" w:rsidRDefault="00672945" w:rsidP="00672945"/>
    <w:p w:rsidR="00672945" w:rsidRPr="00672945" w:rsidRDefault="00672945" w:rsidP="00672945"/>
    <w:p w:rsidR="00672945" w:rsidRDefault="00672945" w:rsidP="00672945"/>
    <w:p w:rsidR="00CA36AE" w:rsidRDefault="00672945" w:rsidP="00672945">
      <w:pPr>
        <w:tabs>
          <w:tab w:val="left" w:pos="7214"/>
        </w:tabs>
      </w:pPr>
      <w:r>
        <w:tab/>
      </w: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Annexe II</w:t>
      </w:r>
    </w:p>
    <w:p w:rsidR="00672945" w:rsidRDefault="00672945" w:rsidP="00672945">
      <w:pPr>
        <w:jc w:val="center"/>
        <w:rPr>
          <w:b/>
          <w:sz w:val="24"/>
          <w:szCs w:val="24"/>
        </w:rPr>
      </w:pPr>
    </w:p>
    <w:p w:rsidR="00672945" w:rsidRPr="003A3A1B" w:rsidRDefault="00672945" w:rsidP="006729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Définition </w:t>
      </w:r>
      <w:r w:rsidRPr="00984736">
        <w:rPr>
          <w:b/>
          <w:sz w:val="24"/>
          <w:szCs w:val="24"/>
        </w:rPr>
        <w:t>des agrégats du tableau de collecte</w:t>
      </w:r>
    </w:p>
    <w:p w:rsidR="00672945" w:rsidRDefault="00672945" w:rsidP="00672945">
      <w:pPr>
        <w:tabs>
          <w:tab w:val="left" w:pos="7743"/>
        </w:tabs>
        <w:ind w:left="1134"/>
        <w:rPr>
          <w:b/>
          <w:bCs/>
        </w:rPr>
      </w:pPr>
      <w:r>
        <w:rPr>
          <w:b/>
          <w:bCs/>
        </w:rPr>
        <w:tab/>
      </w:r>
    </w:p>
    <w:p w:rsidR="00672945" w:rsidRDefault="00672945" w:rsidP="00672945">
      <w:pPr>
        <w:ind w:left="1134"/>
        <w:rPr>
          <w:b/>
          <w:bCs/>
        </w:rPr>
      </w:pPr>
    </w:p>
    <w:p w:rsidR="00672945" w:rsidRPr="009D7205" w:rsidRDefault="00672945" w:rsidP="00672945">
      <w:pPr>
        <w:rPr>
          <w:rStyle w:val="BO-TextecourantCar"/>
          <w:color w:val="000000"/>
          <w:sz w:val="24"/>
          <w:szCs w:val="24"/>
        </w:rPr>
      </w:pPr>
      <w:r w:rsidRPr="009D7205">
        <w:rPr>
          <w:rStyle w:val="BO-TextecourantCar"/>
          <w:color w:val="000000"/>
          <w:sz w:val="24"/>
          <w:szCs w:val="24"/>
        </w:rPr>
        <w:t>Les agrégats sont définis comme suit :</w:t>
      </w:r>
    </w:p>
    <w:p w:rsidR="00672945" w:rsidRDefault="00672945" w:rsidP="00672945">
      <w:pPr>
        <w:tabs>
          <w:tab w:val="left" w:pos="7743"/>
        </w:tabs>
        <w:ind w:left="1134"/>
        <w:rPr>
          <w:b/>
          <w:bCs/>
        </w:rPr>
      </w:pPr>
      <w:r>
        <w:rPr>
          <w:b/>
          <w:bCs/>
        </w:rPr>
        <w:tab/>
      </w:r>
    </w:p>
    <w:p w:rsidR="00672945" w:rsidRPr="00406692" w:rsidRDefault="00672945" w:rsidP="00672945">
      <w:pPr>
        <w:pStyle w:val="Paragraphedeliste"/>
        <w:numPr>
          <w:ilvl w:val="0"/>
          <w:numId w:val="2"/>
        </w:numPr>
        <w:rPr>
          <w:rStyle w:val="BO-TextecourantCar"/>
          <w:color w:val="000000"/>
          <w:sz w:val="24"/>
          <w:szCs w:val="24"/>
        </w:rPr>
      </w:pPr>
      <w:r w:rsidRPr="00406692">
        <w:rPr>
          <w:rStyle w:val="BO-TextecourantCar"/>
          <w:color w:val="000000"/>
          <w:sz w:val="24"/>
          <w:szCs w:val="24"/>
        </w:rPr>
        <w:t>Pour les organismes soumis à l’instruction 2023-I-01 relative aux documents prudentiels nationaux à communiquer annuellement par les organismes de retraite professionnelle supplémentaire :</w:t>
      </w:r>
    </w:p>
    <w:p w:rsidR="00672945" w:rsidRDefault="00672945" w:rsidP="00672945">
      <w:pPr>
        <w:rPr>
          <w:b/>
          <w:bCs/>
          <w:sz w:val="24"/>
          <w:szCs w:val="24"/>
          <w:u w:val="single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Primes » </w:t>
      </w:r>
      <w:r w:rsidRPr="00406692">
        <w:rPr>
          <w:sz w:val="24"/>
          <w:szCs w:val="24"/>
        </w:rPr>
        <w:t xml:space="preserve">: reprendre la définition de la ligne R0050 « Primes nettes » de l’état 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>RC</w:t>
      </w:r>
      <w:r w:rsidRPr="00406692">
        <w:rPr>
          <w:sz w:val="24"/>
          <w:szCs w:val="24"/>
        </w:rPr>
        <w:t>.13.07.</w:t>
      </w:r>
    </w:p>
    <w:p w:rsidR="00672945" w:rsidRDefault="00672945" w:rsidP="00672945">
      <w:pPr>
        <w:ind w:left="1134"/>
        <w:contextualSpacing/>
        <w:rPr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Prestations » </w:t>
      </w:r>
      <w:r w:rsidRPr="00406692">
        <w:rPr>
          <w:sz w:val="24"/>
          <w:szCs w:val="24"/>
        </w:rPr>
        <w:t>: somme des lignes R0060, R0070 et R0080 de l’état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406692">
        <w:rPr>
          <w:sz w:val="24"/>
          <w:szCs w:val="24"/>
        </w:rPr>
        <w:t>RC.13.07.</w:t>
      </w:r>
    </w:p>
    <w:p w:rsidR="00672945" w:rsidRDefault="00672945" w:rsidP="00672945">
      <w:pPr>
        <w:ind w:left="1134"/>
        <w:contextualSpacing/>
        <w:rPr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Dont rachats »</w:t>
      </w:r>
      <w:r w:rsidRPr="00406692">
        <w:rPr>
          <w:sz w:val="24"/>
          <w:szCs w:val="24"/>
        </w:rPr>
        <w:t xml:space="preserve"> : reprendre la définition de la ligne R0080 de l’état 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>RC</w:t>
      </w:r>
      <w:r w:rsidRPr="00406692">
        <w:rPr>
          <w:sz w:val="24"/>
          <w:szCs w:val="24"/>
        </w:rPr>
        <w:t>.13.07.</w:t>
      </w:r>
    </w:p>
    <w:p w:rsidR="00672945" w:rsidRDefault="00672945" w:rsidP="00672945">
      <w:pPr>
        <w:ind w:left="1134"/>
        <w:contextualSpacing/>
        <w:rPr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Provisions »</w:t>
      </w:r>
      <w:r w:rsidRPr="00406692">
        <w:rPr>
          <w:sz w:val="24"/>
          <w:szCs w:val="24"/>
        </w:rPr>
        <w:t> : chiffre de la ligne R0160 « provisions d’assurance vie à la clôture de l’exercice » de l’état RC.13.07.</w:t>
      </w:r>
    </w:p>
    <w:p w:rsidR="00672945" w:rsidRDefault="00672945" w:rsidP="00672945">
      <w:pPr>
        <w:ind w:left="1134"/>
        <w:contextualSpacing/>
        <w:rPr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2"/>
        </w:numPr>
        <w:rPr>
          <w:rStyle w:val="BO-TextecourantCar"/>
          <w:color w:val="000000"/>
          <w:sz w:val="24"/>
          <w:szCs w:val="24"/>
        </w:rPr>
      </w:pPr>
      <w:r w:rsidRPr="00406692">
        <w:rPr>
          <w:rStyle w:val="BO-TextecourantCar"/>
          <w:color w:val="000000"/>
          <w:sz w:val="24"/>
          <w:szCs w:val="24"/>
        </w:rPr>
        <w:t>Pour les organismes soumis à l’instruction 2023-I-02 relative aux documents prudentiels à communiquer annuellement par les organismes relevant du régime dit « Solvabilité II » et pour les organismes soumis à l’instruction 2023-I-03 relative aux documents prudentiels à communiquer annuellement par les organismes ne relevant pas du régime dit « Solvabilité II » et qui ne sont pas des organismes de retraite professionnelle supplémentaire :</w:t>
      </w:r>
    </w:p>
    <w:p w:rsidR="00672945" w:rsidRDefault="00672945" w:rsidP="00672945">
      <w:pPr>
        <w:ind w:left="1134"/>
        <w:contextualSpacing/>
        <w:rPr>
          <w:b/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Primes » </w:t>
      </w:r>
      <w:r w:rsidRPr="00406692">
        <w:rPr>
          <w:sz w:val="24"/>
          <w:szCs w:val="24"/>
        </w:rPr>
        <w:t xml:space="preserve">: reprendre la définition de la ligne R0050 « Primes nettes » de l’état 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>FR.</w:t>
      </w:r>
      <w:r w:rsidRPr="00406692">
        <w:rPr>
          <w:sz w:val="24"/>
          <w:szCs w:val="24"/>
        </w:rPr>
        <w:t xml:space="preserve">13.01 </w:t>
      </w:r>
    </w:p>
    <w:p w:rsidR="00672945" w:rsidRDefault="00672945" w:rsidP="00672945">
      <w:pPr>
        <w:ind w:left="1134"/>
        <w:contextualSpacing/>
        <w:rPr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06692">
        <w:rPr>
          <w:b/>
          <w:sz w:val="24"/>
          <w:szCs w:val="24"/>
        </w:rPr>
        <w:t>« Prestations » </w:t>
      </w:r>
      <w:r w:rsidRPr="00406692">
        <w:rPr>
          <w:sz w:val="24"/>
          <w:szCs w:val="24"/>
        </w:rPr>
        <w:t>: somme des lignes R0060, R0070 et R0080 de l’état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 xml:space="preserve"> </w:t>
      </w:r>
      <w:r w:rsidRPr="00406692">
        <w:rPr>
          <w:sz w:val="24"/>
          <w:szCs w:val="24"/>
        </w:rPr>
        <w:t>FR.13.01</w:t>
      </w:r>
    </w:p>
    <w:p w:rsidR="00672945" w:rsidRDefault="00672945" w:rsidP="00672945">
      <w:pPr>
        <w:ind w:left="1134"/>
        <w:contextualSpacing/>
        <w:rPr>
          <w:b/>
          <w:sz w:val="24"/>
          <w:szCs w:val="24"/>
        </w:rPr>
      </w:pPr>
    </w:p>
    <w:p w:rsidR="00672945" w:rsidRPr="00406692" w:rsidRDefault="00672945" w:rsidP="00672945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406692">
        <w:rPr>
          <w:b/>
          <w:sz w:val="24"/>
          <w:szCs w:val="24"/>
        </w:rPr>
        <w:t>« Dont rachats »</w:t>
      </w:r>
      <w:r w:rsidRPr="00406692">
        <w:rPr>
          <w:sz w:val="24"/>
          <w:szCs w:val="24"/>
        </w:rPr>
        <w:t xml:space="preserve"> : reprendre la définition de la ligne R0080 de l’état 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>FR.</w:t>
      </w:r>
      <w:r w:rsidRPr="00406692">
        <w:rPr>
          <w:sz w:val="24"/>
          <w:szCs w:val="24"/>
        </w:rPr>
        <w:t>13.01</w:t>
      </w:r>
    </w:p>
    <w:p w:rsidR="00672945" w:rsidRDefault="00672945" w:rsidP="00672945">
      <w:pPr>
        <w:rPr>
          <w:b/>
          <w:sz w:val="24"/>
          <w:szCs w:val="24"/>
        </w:rPr>
      </w:pPr>
    </w:p>
    <w:p w:rsidR="00672945" w:rsidRPr="00B74BC4" w:rsidRDefault="00672945" w:rsidP="00672945">
      <w:pPr>
        <w:pStyle w:val="Paragraphedeliste"/>
        <w:numPr>
          <w:ilvl w:val="0"/>
          <w:numId w:val="1"/>
        </w:numPr>
      </w:pPr>
      <w:r w:rsidRPr="00406692">
        <w:rPr>
          <w:b/>
          <w:sz w:val="24"/>
          <w:szCs w:val="24"/>
        </w:rPr>
        <w:t>« Provisions »</w:t>
      </w:r>
      <w:r w:rsidRPr="00406692">
        <w:rPr>
          <w:sz w:val="24"/>
          <w:szCs w:val="24"/>
        </w:rPr>
        <w:t xml:space="preserve"> : chiffre de la ligne </w:t>
      </w:r>
      <w:r w:rsidRPr="00406692">
        <w:rPr>
          <w:rFonts w:ascii="TimesNewRomanPSMT" w:eastAsia="Calibri" w:hAnsi="TimesNewRomanPSMT" w:cs="TimesNewRomanPSMT"/>
          <w:sz w:val="24"/>
          <w:szCs w:val="24"/>
        </w:rPr>
        <w:t>R</w:t>
      </w:r>
      <w:r w:rsidRPr="00406692">
        <w:rPr>
          <w:sz w:val="24"/>
          <w:szCs w:val="24"/>
        </w:rPr>
        <w:t>0160 « provisions d’assurance vie à la clôture de l’exercice » de l’état FR.13.01</w:t>
      </w:r>
    </w:p>
    <w:p w:rsidR="00672945" w:rsidRPr="003A3A1B" w:rsidRDefault="00672945" w:rsidP="00672945">
      <w:pPr>
        <w:ind w:left="1134"/>
        <w:rPr>
          <w:sz w:val="24"/>
          <w:szCs w:val="24"/>
        </w:rPr>
      </w:pP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tabs>
          <w:tab w:val="left" w:pos="7214"/>
        </w:tabs>
      </w:pPr>
    </w:p>
    <w:p w:rsidR="00672945" w:rsidRDefault="00672945" w:rsidP="00672945">
      <w:pPr>
        <w:tabs>
          <w:tab w:val="left" w:pos="7214"/>
        </w:tabs>
      </w:pPr>
    </w:p>
    <w:p w:rsidR="00672945" w:rsidRPr="00672945" w:rsidRDefault="00672945" w:rsidP="00672945">
      <w:pPr>
        <w:tabs>
          <w:tab w:val="left" w:pos="7214"/>
        </w:tabs>
      </w:pPr>
    </w:p>
    <w:sectPr w:rsidR="00672945" w:rsidRPr="00672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69A0"/>
    <w:multiLevelType w:val="hybridMultilevel"/>
    <w:tmpl w:val="BA803154"/>
    <w:lvl w:ilvl="0" w:tplc="ABCC639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1A3331"/>
    <w:multiLevelType w:val="hybridMultilevel"/>
    <w:tmpl w:val="C18471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45"/>
    <w:rsid w:val="003B44D5"/>
    <w:rsid w:val="004435E4"/>
    <w:rsid w:val="00651C32"/>
    <w:rsid w:val="00672945"/>
    <w:rsid w:val="006D6255"/>
    <w:rsid w:val="00715069"/>
    <w:rsid w:val="00CA36AE"/>
    <w:rsid w:val="00E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0970"/>
  <w15:chartTrackingRefBased/>
  <w15:docId w15:val="{ABD66FA4-78BD-49B9-A339-460374ED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94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-Textecourant">
    <w:name w:val="BO - Texte courant"/>
    <w:basedOn w:val="Normal"/>
    <w:link w:val="BO-TextecourantCar"/>
    <w:rsid w:val="00672945"/>
    <w:pPr>
      <w:widowControl w:val="0"/>
      <w:suppressAutoHyphens/>
      <w:autoSpaceDE w:val="0"/>
      <w:autoSpaceDN w:val="0"/>
      <w:adjustRightInd w:val="0"/>
    </w:pPr>
    <w:rPr>
      <w:szCs w:val="22"/>
    </w:rPr>
  </w:style>
  <w:style w:type="character" w:customStyle="1" w:styleId="BO-TextecourantCar">
    <w:name w:val="BO - Texte courant Car"/>
    <w:basedOn w:val="Policepardfaut"/>
    <w:link w:val="BO-Textecourant"/>
    <w:rsid w:val="00672945"/>
    <w:rPr>
      <w:rFonts w:ascii="Times New Roman" w:eastAsia="Times New Roman" w:hAnsi="Times New Roman" w:cs="Times New Roman"/>
      <w:lang w:eastAsia="fr-FR"/>
    </w:rPr>
  </w:style>
  <w:style w:type="paragraph" w:customStyle="1" w:styleId="BO-Titreannexeduneinstruction">
    <w:name w:val="BO - Titre annexe d'une instruction"/>
    <w:basedOn w:val="Normal"/>
    <w:next w:val="BO-Textecourant"/>
    <w:rsid w:val="00672945"/>
    <w:pPr>
      <w:jc w:val="center"/>
    </w:pPr>
    <w:rPr>
      <w:rFonts w:ascii="Arial" w:hAnsi="Arial" w:cs="Arial"/>
      <w:b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72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248</Words>
  <Characters>1364</Characters>
  <Application>Microsoft Office Word</Application>
  <DocSecurity>0</DocSecurity>
  <Lines>11</Lines>
  <Paragraphs>3</Paragraphs>
  <ScaleCrop>false</ScaleCrop>
  <Company>Banque de France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Farzila (SGACPR DAJ)</dc:creator>
  <cp:keywords/>
  <dc:description/>
  <cp:lastModifiedBy>EUVRARD Pascale (SGACPR DAJ)</cp:lastModifiedBy>
  <cp:revision>2</cp:revision>
  <dcterms:created xsi:type="dcterms:W3CDTF">2023-11-29T16:26:00Z</dcterms:created>
  <dcterms:modified xsi:type="dcterms:W3CDTF">2023-11-29T16:57:00Z</dcterms:modified>
</cp:coreProperties>
</file>