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24D" w:rsidRPr="00EA2FE3" w:rsidRDefault="007B124D" w:rsidP="007B124D">
      <w:pPr>
        <w:pStyle w:val="Default"/>
        <w:rPr>
          <w:rFonts w:ascii="Times New Roman" w:hAnsi="Times New Roman" w:cs="Times New Roman"/>
        </w:rPr>
      </w:pPr>
      <w:r w:rsidRPr="00EA2FE3">
        <w:rPr>
          <w:rFonts w:ascii="Times New Roman" w:hAnsi="Times New Roman" w:cs="Times New Roman"/>
          <w:noProof/>
        </w:rPr>
        <w:drawing>
          <wp:inline distT="0" distB="0" distL="0" distR="0" wp14:anchorId="3303AA4D" wp14:editId="2EA91388">
            <wp:extent cx="1323975" cy="1167213"/>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27443" cy="1170270"/>
                    </a:xfrm>
                    <a:prstGeom prst="rect">
                      <a:avLst/>
                    </a:prstGeom>
                    <a:noFill/>
                    <a:ln w="9525">
                      <a:noFill/>
                      <a:miter lim="800000"/>
                      <a:headEnd/>
                      <a:tailEnd/>
                    </a:ln>
                  </pic:spPr>
                </pic:pic>
              </a:graphicData>
            </a:graphic>
          </wp:inline>
        </w:drawing>
      </w:r>
    </w:p>
    <w:p w:rsidR="002F75BF" w:rsidRPr="00EA2FE3" w:rsidRDefault="002F75BF" w:rsidP="007B124D">
      <w:pPr>
        <w:pStyle w:val="Default"/>
        <w:rPr>
          <w:rFonts w:ascii="Times New Roman" w:hAnsi="Times New Roman" w:cs="Times New Roman"/>
        </w:rPr>
      </w:pPr>
    </w:p>
    <w:p w:rsidR="007B124D" w:rsidRPr="00EA2FE3" w:rsidRDefault="007B124D" w:rsidP="007B124D">
      <w:pPr>
        <w:autoSpaceDE w:val="0"/>
        <w:autoSpaceDN w:val="0"/>
        <w:adjustRightInd w:val="0"/>
        <w:jc w:val="center"/>
        <w:rPr>
          <w:color w:val="1F497D" w:themeColor="text2"/>
          <w:sz w:val="32"/>
          <w:szCs w:val="32"/>
        </w:rPr>
      </w:pPr>
      <w:r w:rsidRPr="00EA2FE3">
        <w:rPr>
          <w:b/>
          <w:bCs/>
          <w:color w:val="1F497D" w:themeColor="text2"/>
          <w:sz w:val="32"/>
          <w:szCs w:val="32"/>
        </w:rPr>
        <w:t>Guide méthodologique</w:t>
      </w:r>
    </w:p>
    <w:p w:rsidR="007A15AF" w:rsidRPr="00EA2FE3" w:rsidRDefault="000617ED" w:rsidP="006D663E">
      <w:pPr>
        <w:autoSpaceDE w:val="0"/>
        <w:autoSpaceDN w:val="0"/>
        <w:adjustRightInd w:val="0"/>
        <w:jc w:val="center"/>
        <w:rPr>
          <w:b/>
          <w:bCs/>
          <w:color w:val="1F497D" w:themeColor="text2"/>
          <w:sz w:val="32"/>
          <w:szCs w:val="32"/>
        </w:rPr>
      </w:pPr>
      <w:r w:rsidRPr="00EA2FE3">
        <w:rPr>
          <w:b/>
          <w:bCs/>
          <w:color w:val="1F497D" w:themeColor="text2"/>
          <w:sz w:val="32"/>
          <w:szCs w:val="32"/>
        </w:rPr>
        <w:t>État</w:t>
      </w:r>
      <w:r w:rsidR="006D663E" w:rsidRPr="00EA2FE3">
        <w:rPr>
          <w:b/>
          <w:bCs/>
          <w:color w:val="1F497D" w:themeColor="text2"/>
          <w:sz w:val="32"/>
          <w:szCs w:val="32"/>
        </w:rPr>
        <w:t xml:space="preserve"> </w:t>
      </w:r>
      <w:r w:rsidR="006208A6" w:rsidRPr="00EA2FE3">
        <w:rPr>
          <w:b/>
          <w:bCs/>
          <w:color w:val="1F497D" w:themeColor="text2"/>
          <w:sz w:val="32"/>
          <w:szCs w:val="32"/>
        </w:rPr>
        <w:t>de suivi des provisions mathématiques</w:t>
      </w:r>
      <w:r w:rsidR="0011746D">
        <w:rPr>
          <w:b/>
          <w:bCs/>
          <w:color w:val="1F497D" w:themeColor="text2"/>
          <w:sz w:val="32"/>
          <w:szCs w:val="32"/>
        </w:rPr>
        <w:t xml:space="preserve"> vie par contrat</w:t>
      </w:r>
      <w:r w:rsidR="006208A6" w:rsidRPr="00EA2FE3" w:rsidDel="006208A6">
        <w:rPr>
          <w:b/>
          <w:bCs/>
          <w:color w:val="1F497D" w:themeColor="text2"/>
          <w:sz w:val="32"/>
          <w:szCs w:val="32"/>
        </w:rPr>
        <w:t xml:space="preserve"> </w:t>
      </w:r>
      <w:r w:rsidR="006208A6" w:rsidRPr="00EA2FE3">
        <w:rPr>
          <w:b/>
          <w:bCs/>
          <w:color w:val="1F497D" w:themeColor="text2"/>
          <w:sz w:val="32"/>
          <w:szCs w:val="32"/>
        </w:rPr>
        <w:t>(FR.20.01)</w:t>
      </w:r>
    </w:p>
    <w:p w:rsidR="007B124D" w:rsidRPr="00EA2FE3" w:rsidRDefault="007B124D" w:rsidP="007B124D">
      <w:pPr>
        <w:jc w:val="center"/>
        <w:rPr>
          <w:b/>
          <w:bCs/>
          <w:color w:val="365F91" w:themeColor="accent1" w:themeShade="BF"/>
          <w:sz w:val="32"/>
          <w:szCs w:val="32"/>
        </w:rPr>
      </w:pPr>
    </w:p>
    <w:p w:rsidR="00F34843" w:rsidRPr="00EA2FE3" w:rsidRDefault="00F34843" w:rsidP="007B124D">
      <w:pPr>
        <w:autoSpaceDE w:val="0"/>
        <w:autoSpaceDN w:val="0"/>
        <w:adjustRightInd w:val="0"/>
        <w:jc w:val="left"/>
        <w:rPr>
          <w:color w:val="000000"/>
          <w:sz w:val="24"/>
          <w:szCs w:val="24"/>
        </w:rPr>
      </w:pPr>
    </w:p>
    <w:p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rsidR="007F2377" w:rsidRPr="00EA2FE3" w:rsidRDefault="007F2377" w:rsidP="007B124D">
      <w:pPr>
        <w:autoSpaceDE w:val="0"/>
        <w:autoSpaceDN w:val="0"/>
        <w:adjustRightInd w:val="0"/>
        <w:jc w:val="left"/>
        <w:rPr>
          <w:color w:val="000000"/>
          <w:sz w:val="24"/>
          <w:szCs w:val="24"/>
        </w:rPr>
      </w:pPr>
    </w:p>
    <w:p w:rsidR="00182299" w:rsidRPr="00EA2FE3" w:rsidRDefault="00904242" w:rsidP="006769F4">
      <w:pPr>
        <w:numPr>
          <w:ilvl w:val="0"/>
          <w:numId w:val="6"/>
        </w:numPr>
        <w:spacing w:line="360" w:lineRule="auto"/>
        <w:rPr>
          <w:b/>
          <w:bCs/>
          <w:color w:val="345A8A"/>
          <w:sz w:val="28"/>
          <w:szCs w:val="32"/>
        </w:rPr>
      </w:pPr>
      <w:r w:rsidRPr="00EA2FE3">
        <w:rPr>
          <w:b/>
          <w:bCs/>
          <w:color w:val="345A8A"/>
          <w:sz w:val="28"/>
          <w:szCs w:val="32"/>
        </w:rPr>
        <w:t xml:space="preserve">Description </w:t>
      </w:r>
      <w:r w:rsidR="003C3EDE" w:rsidRPr="00EA2FE3">
        <w:rPr>
          <w:b/>
          <w:bCs/>
          <w:color w:val="345A8A"/>
          <w:sz w:val="28"/>
          <w:szCs w:val="32"/>
        </w:rPr>
        <w:t>général</w:t>
      </w:r>
      <w:r w:rsidRPr="00EA2FE3">
        <w:rPr>
          <w:b/>
          <w:bCs/>
          <w:color w:val="345A8A"/>
          <w:sz w:val="28"/>
          <w:szCs w:val="32"/>
        </w:rPr>
        <w:t>e</w:t>
      </w:r>
      <w:r w:rsidR="00FC5BAC" w:rsidRPr="00EA2FE3">
        <w:rPr>
          <w:b/>
          <w:bCs/>
          <w:color w:val="345A8A"/>
          <w:sz w:val="28"/>
          <w:szCs w:val="32"/>
        </w:rPr>
        <w:t xml:space="preserve"> de</w:t>
      </w:r>
      <w:r w:rsidR="003C3EDE" w:rsidRPr="00EA2FE3">
        <w:rPr>
          <w:b/>
          <w:bCs/>
          <w:color w:val="345A8A"/>
          <w:sz w:val="28"/>
          <w:szCs w:val="32"/>
        </w:rPr>
        <w:t xml:space="preserve"> l’état</w:t>
      </w:r>
    </w:p>
    <w:p w:rsidR="003C3EDE" w:rsidRPr="00EA2FE3" w:rsidRDefault="00FA1DE5" w:rsidP="003C3EDE">
      <w:pPr>
        <w:spacing w:line="276" w:lineRule="auto"/>
        <w:ind w:firstLine="708"/>
      </w:pPr>
      <w:r w:rsidRPr="00EA2FE3">
        <w:t>L’état FR.20.01</w:t>
      </w:r>
      <w:r w:rsidR="003C3EDE" w:rsidRPr="00EA2FE3">
        <w:t xml:space="preserve"> se compose d’un tableau qui 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Pr="00EA2FE3">
        <w:t xml:space="preserve"> Cet état vise </w:t>
      </w:r>
      <w:r w:rsidR="00B67252">
        <w:t>notamment</w:t>
      </w:r>
      <w:r w:rsidRPr="00EA2FE3">
        <w:t xml:space="preserve"> à permettre le suivi de la revalorisation </w:t>
      </w:r>
      <w:r w:rsidRPr="00EA2FE3">
        <w:rPr>
          <w:b/>
        </w:rPr>
        <w:t>servie</w:t>
      </w:r>
      <w:r w:rsidRPr="00EA2FE3">
        <w:t xml:space="preserve"> par les organismes</w:t>
      </w:r>
      <w:r w:rsidRPr="00EA2FE3">
        <w:rPr>
          <w:b/>
        </w:rPr>
        <w:t xml:space="preserve"> au titre de</w:t>
      </w:r>
      <w:r w:rsidRPr="00EA2FE3">
        <w:t xml:space="preserve"> l’année N.</w:t>
      </w:r>
    </w:p>
    <w:p w:rsidR="0097307C" w:rsidRPr="00EA2FE3" w:rsidRDefault="0097307C" w:rsidP="003C3EDE">
      <w:pPr>
        <w:spacing w:line="276" w:lineRule="auto"/>
        <w:ind w:firstLine="708"/>
      </w:pPr>
    </w:p>
    <w:p w:rsidR="003C3EDE" w:rsidRPr="00EA2FE3" w:rsidRDefault="003C3EDE" w:rsidP="003C3EDE">
      <w:pPr>
        <w:spacing w:line="276" w:lineRule="auto"/>
        <w:ind w:firstLine="708"/>
      </w:pPr>
      <w:r w:rsidRPr="00EA2FE3">
        <w:t>Il comprend deux types de variables :</w:t>
      </w:r>
    </w:p>
    <w:p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«IDENTIFICATION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BF3314" w:rsidRPr="00EA2FE3">
        <w:rPr>
          <w:rFonts w:ascii="Times New Roman" w:hAnsi="Times New Roman"/>
          <w:sz w:val="22"/>
          <w:szCs w:val="20"/>
        </w:rPr>
        <w:t>concernée</w:t>
      </w:r>
      <w:r w:rsidR="004650E3" w:rsidRPr="00EA2FE3">
        <w:rPr>
          <w:rFonts w:ascii="Times New Roman" w:hAnsi="Times New Roman"/>
          <w:sz w:val="22"/>
          <w:szCs w:val="20"/>
        </w:rPr>
        <w:t>;</w:t>
      </w:r>
    </w:p>
    <w:p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 STOCKS ET MOUVEMENTS»</w:t>
      </w:r>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C0290.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rsidR="003125A8" w:rsidRPr="00EA2FE3" w:rsidRDefault="003125A8" w:rsidP="003C3EDE">
      <w:pPr>
        <w:spacing w:line="276" w:lineRule="auto"/>
        <w:ind w:firstLine="708"/>
      </w:pPr>
    </w:p>
    <w:p w:rsidR="003C3EDE" w:rsidRPr="00EA2FE3" w:rsidRDefault="003C3EDE" w:rsidP="003C3EDE">
      <w:pPr>
        <w:spacing w:line="276" w:lineRule="auto"/>
        <w:ind w:firstLine="708"/>
      </w:pPr>
      <w:r w:rsidRPr="00EA2FE3">
        <w:t>On note N l’exercice d’inventaire.</w:t>
      </w:r>
    </w:p>
    <w:p w:rsidR="003C3EDE" w:rsidRPr="00EA2FE3" w:rsidRDefault="003C3EDE" w:rsidP="009329B8">
      <w:pPr>
        <w:spacing w:line="276" w:lineRule="auto"/>
        <w:ind w:firstLine="708"/>
      </w:pPr>
    </w:p>
    <w:p w:rsidR="006D663E" w:rsidRPr="00EA2FE3" w:rsidRDefault="00BE3652" w:rsidP="009329B8">
      <w:pPr>
        <w:numPr>
          <w:ilvl w:val="0"/>
          <w:numId w:val="6"/>
        </w:numPr>
        <w:spacing w:line="360" w:lineRule="auto"/>
        <w:rPr>
          <w:b/>
          <w:bCs/>
          <w:color w:val="345A8A"/>
          <w:sz w:val="28"/>
          <w:szCs w:val="32"/>
        </w:rPr>
      </w:pPr>
      <w:r w:rsidRPr="00EA2FE3">
        <w:rPr>
          <w:b/>
          <w:bCs/>
          <w:color w:val="345A8A"/>
          <w:sz w:val="28"/>
          <w:szCs w:val="32"/>
        </w:rPr>
        <w:t>Périmètre</w:t>
      </w:r>
      <w:r w:rsidR="00DB0D1B" w:rsidRPr="00EA2FE3">
        <w:rPr>
          <w:b/>
          <w:bCs/>
          <w:color w:val="345A8A"/>
          <w:sz w:val="28"/>
          <w:szCs w:val="32"/>
        </w:rPr>
        <w:t xml:space="preserve"> couvert</w:t>
      </w:r>
    </w:p>
    <w:p w:rsidR="007D5472" w:rsidRPr="00EA2FE3" w:rsidRDefault="007D5472" w:rsidP="007D5472"/>
    <w:p w:rsidR="00FF4FAE" w:rsidRPr="00EA2FE3" w:rsidRDefault="007D5472" w:rsidP="00A33DBB">
      <w:pPr>
        <w:rPr>
          <w:szCs w:val="16"/>
        </w:rPr>
      </w:pPr>
      <w:r w:rsidRPr="00EA2FE3">
        <w:t>Le tableau de l’état FR.20.01 est à renseigner par les organismes d’assurance concernés en fonction de leur activité en application des instructions de l’ACPR n°2016-I-15 et 2016-I-16 relatives à l</w:t>
      </w:r>
      <w:r w:rsidR="00EA2FE3">
        <w:t>a transmission à l’Autorité du Contrôle Prudentiel et de R</w:t>
      </w:r>
      <w:r w:rsidRPr="00EA2FE3">
        <w:t>ésolution de documents prudentiels annuels.</w:t>
      </w:r>
      <w:r w:rsidR="00FE085A" w:rsidRPr="00EA2FE3">
        <w:t xml:space="preserve"> </w:t>
      </w:r>
      <w:r w:rsidR="000A642C" w:rsidRPr="00EA2FE3">
        <w:rPr>
          <w:szCs w:val="16"/>
        </w:rPr>
        <w:t>Les informations doivent être transmises se</w:t>
      </w:r>
      <w:r w:rsidR="00E473E7" w:rsidRPr="00EA2FE3">
        <w:rPr>
          <w:szCs w:val="16"/>
        </w:rPr>
        <w:t xml:space="preserve">lon les modalités définies par les </w:t>
      </w:r>
      <w:r w:rsidR="000A642C" w:rsidRPr="00EA2FE3">
        <w:rPr>
          <w:szCs w:val="16"/>
        </w:rPr>
        <w:t>instruction</w:t>
      </w:r>
      <w:r w:rsidR="00E473E7" w:rsidRPr="00EA2FE3">
        <w:rPr>
          <w:szCs w:val="16"/>
        </w:rPr>
        <w:t>s</w:t>
      </w:r>
      <w:r w:rsidR="000A642C" w:rsidRPr="00EA2FE3">
        <w:rPr>
          <w:szCs w:val="16"/>
        </w:rPr>
        <w:t xml:space="preserve"> </w:t>
      </w:r>
      <w:r w:rsidR="00E473E7" w:rsidRPr="00EA2FE3">
        <w:rPr>
          <w:szCs w:val="16"/>
        </w:rPr>
        <w:t>n°</w:t>
      </w:r>
      <w:r w:rsidR="000A642C" w:rsidRPr="00EA2FE3">
        <w:rPr>
          <w:szCs w:val="16"/>
        </w:rPr>
        <w:t>2016-I</w:t>
      </w:r>
      <w:r w:rsidRPr="00EA2FE3">
        <w:rPr>
          <w:szCs w:val="16"/>
        </w:rPr>
        <w:t>-</w:t>
      </w:r>
      <w:r w:rsidR="000A642C" w:rsidRPr="00EA2FE3">
        <w:rPr>
          <w:szCs w:val="16"/>
        </w:rPr>
        <w:t>17</w:t>
      </w:r>
      <w:r w:rsidRPr="00EA2FE3">
        <w:rPr>
          <w:szCs w:val="16"/>
        </w:rPr>
        <w:t xml:space="preserve"> </w:t>
      </w:r>
      <w:r w:rsidR="00E473E7" w:rsidRPr="00EA2FE3">
        <w:rPr>
          <w:szCs w:val="16"/>
        </w:rPr>
        <w:t>et 2016-I-18</w:t>
      </w:r>
      <w:r w:rsidR="000A642C" w:rsidRPr="00EA2FE3">
        <w:rPr>
          <w:szCs w:val="16"/>
        </w:rPr>
        <w:t>.</w:t>
      </w:r>
      <w:r w:rsidR="00B67252">
        <w:rPr>
          <w:szCs w:val="16"/>
        </w:rPr>
        <w:t xml:space="preserve"> En particulier, les montants doivent être renseignés en euros et les taux en pourcentage (par exemple, pour 2% renseigner 0.02 ou 2% et non pas 2).</w:t>
      </w:r>
    </w:p>
    <w:p w:rsidR="00FF4FAE" w:rsidRPr="00EA2FE3" w:rsidRDefault="00FF4FAE" w:rsidP="00FF4FAE">
      <w:pPr>
        <w:spacing w:line="276" w:lineRule="auto"/>
        <w:ind w:firstLine="708"/>
        <w:rPr>
          <w:szCs w:val="16"/>
        </w:rPr>
      </w:pPr>
    </w:p>
    <w:p w:rsidR="00FF4FAE" w:rsidRPr="00EA2FE3" w:rsidRDefault="00FF4FAE" w:rsidP="00FF4FAE">
      <w:pPr>
        <w:spacing w:line="276" w:lineRule="auto"/>
        <w:ind w:firstLine="708"/>
        <w:rPr>
          <w:szCs w:val="16"/>
        </w:rPr>
      </w:pPr>
      <w:r w:rsidRPr="00EA2FE3">
        <w:rPr>
          <w:szCs w:val="16"/>
        </w:rPr>
        <w:lastRenderedPageBreak/>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tout comme les garanties non-vie incluses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rsidR="00FE085A" w:rsidRPr="00EA2FE3" w:rsidRDefault="00FE085A" w:rsidP="00FE085A">
      <w:pPr>
        <w:spacing w:line="276" w:lineRule="auto"/>
        <w:ind w:firstLine="709"/>
      </w:pPr>
    </w:p>
    <w:p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rsidR="003043A6" w:rsidRPr="00EA2FE3" w:rsidRDefault="003043A6" w:rsidP="00FF4FAE">
      <w:pPr>
        <w:spacing w:line="276" w:lineRule="auto"/>
        <w:ind w:firstLine="708"/>
        <w:rPr>
          <w:vanish/>
          <w:sz w:val="24"/>
          <w:specVanish/>
        </w:rPr>
      </w:pPr>
    </w:p>
    <w:p w:rsidR="00FA1DE5" w:rsidRPr="00EA2FE3" w:rsidRDefault="00FE085A" w:rsidP="00A33DBB">
      <w:pPr>
        <w:spacing w:line="276" w:lineRule="auto"/>
      </w:pPr>
      <w:r w:rsidRPr="00EA2FE3">
        <w:tab/>
      </w:r>
      <w:r w:rsidR="00FA1DE5" w:rsidRPr="00EA2FE3">
        <w:t xml:space="preserve">En fonction de la nature du contrat ou du support recensé, certaines variables </w:t>
      </w:r>
      <w:r w:rsidR="00343ED9">
        <w:t>peuvent ne pas être</w:t>
      </w:r>
      <w:r w:rsidR="00FA1DE5" w:rsidRPr="00EA2FE3">
        <w:t xml:space="preserve"> applicables</w:t>
      </w:r>
      <w:r w:rsidR="00C950AB" w:rsidRPr="00EA2FE3">
        <w:t>.</w:t>
      </w:r>
    </w:p>
    <w:p w:rsidR="003043A6" w:rsidRPr="00EA2FE3" w:rsidRDefault="003043A6" w:rsidP="009329B8">
      <w:pPr>
        <w:spacing w:line="276" w:lineRule="auto"/>
        <w:ind w:firstLine="708"/>
      </w:pPr>
    </w:p>
    <w:p w:rsidR="003043A6" w:rsidRPr="00EA2FE3" w:rsidRDefault="003043A6" w:rsidP="009329B8">
      <w:pPr>
        <w:spacing w:line="276" w:lineRule="auto"/>
        <w:ind w:firstLine="708"/>
      </w:pPr>
    </w:p>
    <w:p w:rsidR="003043A6" w:rsidRPr="00EA2FE3" w:rsidRDefault="00626400" w:rsidP="002815F5">
      <w:pPr>
        <w:keepNext/>
        <w:numPr>
          <w:ilvl w:val="0"/>
          <w:numId w:val="6"/>
        </w:numPr>
        <w:spacing w:line="360" w:lineRule="auto"/>
        <w:rPr>
          <w:b/>
          <w:bCs/>
          <w:color w:val="345A8A"/>
          <w:sz w:val="28"/>
          <w:szCs w:val="32"/>
        </w:rPr>
      </w:pPr>
      <w:r w:rsidRPr="00EA2FE3">
        <w:rPr>
          <w:b/>
          <w:bCs/>
          <w:color w:val="345A8A"/>
          <w:sz w:val="28"/>
          <w:szCs w:val="32"/>
        </w:rPr>
        <w:t>R</w:t>
      </w:r>
      <w:r w:rsidR="003043A6" w:rsidRPr="00EA2FE3">
        <w:rPr>
          <w:b/>
          <w:bCs/>
          <w:color w:val="345A8A"/>
          <w:sz w:val="28"/>
          <w:szCs w:val="32"/>
        </w:rPr>
        <w:t>emplissage de l’état</w:t>
      </w:r>
    </w:p>
    <w:p w:rsidR="003043A6" w:rsidRPr="00EA2FE3" w:rsidRDefault="003043A6" w:rsidP="002815F5">
      <w:pPr>
        <w:keepNext/>
        <w:spacing w:line="276" w:lineRule="auto"/>
        <w:ind w:firstLine="708"/>
      </w:pPr>
    </w:p>
    <w:p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entièrement à la catégorie la plus importante. Par exemple, les contrats en unités de compte avec garanties </w:t>
      </w:r>
      <w:r w:rsidR="008556C2">
        <w:t>plancher</w:t>
      </w:r>
      <w:r w:rsidR="001D305C">
        <w:t xml:space="preserve"> en euros sont déclarés entièrement en catégorie 8 ou 9. Par exception, les garanties non-vie sont dissociées des contrats vie et les contrats multi-supports sont traités comme autant de </w:t>
      </w:r>
      <w:r w:rsidR="001F7A8F">
        <w:t xml:space="preserve">versions de </w:t>
      </w:r>
      <w:r w:rsidR="001D305C">
        <w:t>contrats que l’assuré a choisi de supports (les différentes U</w:t>
      </w:r>
      <w:r w:rsidR="00632008">
        <w:t xml:space="preserve">nités de </w:t>
      </w:r>
      <w:r w:rsidR="001D305C">
        <w:t>C</w:t>
      </w:r>
      <w:r w:rsidR="00632008">
        <w:t>ompte</w:t>
      </w:r>
      <w:r w:rsidR="001D305C">
        <w:t xml:space="preserve"> comptant comme un seul support).</w:t>
      </w:r>
    </w:p>
    <w:p w:rsidR="00425C36" w:rsidRPr="00EA2FE3" w:rsidRDefault="00425C36" w:rsidP="00A33DBB">
      <w:pPr>
        <w:spacing w:line="276" w:lineRule="auto"/>
        <w:ind w:firstLine="709"/>
      </w:pPr>
    </w:p>
    <w:p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rsidR="00DB5035" w:rsidRPr="00EA2FE3" w:rsidRDefault="00DB5035" w:rsidP="00A33DBB">
      <w:pPr>
        <w:spacing w:line="276" w:lineRule="auto"/>
        <w:ind w:firstLine="709"/>
      </w:pPr>
      <w:r w:rsidRPr="00EA2FE3">
        <w:t xml:space="preserve"> </w:t>
      </w:r>
    </w:p>
    <w:p w:rsidR="00425C36" w:rsidRPr="00EA2FE3" w:rsidRDefault="00425C36" w:rsidP="00A33DBB">
      <w:pPr>
        <w:keepNext/>
        <w:spacing w:line="276" w:lineRule="auto"/>
      </w:pPr>
    </w:p>
    <w:p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9" w:history="1">
        <w:r w:rsidR="007D60EC" w:rsidRPr="00D446D8">
          <w:rPr>
            <w:rStyle w:val="Lienhypertexte"/>
            <w:szCs w:val="22"/>
          </w:rPr>
          <w:t>revalotaux@acpr.banque-france.fr</w:t>
        </w:r>
      </w:hyperlink>
      <w:r w:rsidR="00EA3F8C" w:rsidRPr="00EA2FE3">
        <w:rPr>
          <w:i/>
          <w:szCs w:val="22"/>
        </w:rPr>
        <w:t>.</w:t>
      </w:r>
    </w:p>
    <w:p w:rsidR="00F2679D" w:rsidRPr="00EA2FE3" w:rsidRDefault="00F2679D" w:rsidP="002A2FDB">
      <w:pPr>
        <w:keepNext/>
        <w:spacing w:line="276" w:lineRule="auto"/>
        <w:ind w:firstLine="709"/>
        <w:rPr>
          <w:i/>
          <w:szCs w:val="22"/>
        </w:rPr>
      </w:pPr>
    </w:p>
    <w:p w:rsidR="00F2679D" w:rsidRPr="00EA2FE3" w:rsidRDefault="00F2679D" w:rsidP="002A2FDB">
      <w:pPr>
        <w:keepNext/>
        <w:spacing w:line="276" w:lineRule="auto"/>
        <w:ind w:firstLine="709"/>
      </w:pPr>
      <w:r w:rsidRPr="00EA2FE3">
        <w:rPr>
          <w:szCs w:val="22"/>
        </w:rPr>
        <w:t xml:space="preserve">Dans le cas des contrats collectifs </w:t>
      </w:r>
      <w:r w:rsidR="007D60EC">
        <w:rPr>
          <w:szCs w:val="22"/>
        </w:rPr>
        <w:t xml:space="preserve">à adhésion facultative   </w:t>
      </w:r>
      <w:r w:rsidRPr="00EA2FE3">
        <w:rPr>
          <w:szCs w:val="22"/>
        </w:rPr>
        <w:t xml:space="preserve">ou des contrats individuels à groupe ouvert, </w:t>
      </w:r>
      <w:r w:rsidR="008F16CA" w:rsidRPr="00EA2FE3">
        <w:rPr>
          <w:szCs w:val="22"/>
        </w:rPr>
        <w:t>toutes les variables en nombre (</w:t>
      </w:r>
      <w:r w:rsidR="008556C2">
        <w:rPr>
          <w:szCs w:val="22"/>
        </w:rPr>
        <w:t xml:space="preserve">nombre de </w:t>
      </w:r>
      <w:r w:rsidR="008F16CA" w:rsidRPr="00EA2FE3">
        <w:rPr>
          <w:szCs w:val="22"/>
        </w:rPr>
        <w:t xml:space="preserve">nouvelles souscriptions, </w:t>
      </w:r>
      <w:r w:rsidR="008556C2">
        <w:rPr>
          <w:szCs w:val="22"/>
        </w:rPr>
        <w:t xml:space="preserve">de </w:t>
      </w:r>
      <w:r w:rsidR="008F16CA" w:rsidRPr="00EA2FE3">
        <w:rPr>
          <w:szCs w:val="22"/>
        </w:rPr>
        <w:t>rachats etc…) sont relatives aux adhérents et non à l’assuré. Il ne faut en aucun cas indiquer « 1 » en réponse s’il y a plus d’un adhérent au contrat.</w:t>
      </w:r>
      <w:r w:rsidR="007D60EC">
        <w:rPr>
          <w:szCs w:val="22"/>
        </w:rPr>
        <w:t xml:space="preserve"> Pour les contrats à adhésion obligatoire, c’est le chiffre « 1 » qui est indiqué.</w:t>
      </w:r>
    </w:p>
    <w:p w:rsidR="00C93878" w:rsidRPr="00EA2FE3" w:rsidRDefault="00C93878">
      <w:pPr>
        <w:keepNext/>
        <w:spacing w:line="276" w:lineRule="auto"/>
        <w:ind w:firstLine="709"/>
      </w:pPr>
    </w:p>
    <w:p w:rsidR="006D574B" w:rsidRPr="00EA2FE3" w:rsidRDefault="003C20B6">
      <w:pPr>
        <w:keepNext/>
        <w:spacing w:line="276" w:lineRule="auto"/>
        <w:ind w:firstLine="709"/>
      </w:pPr>
      <w:r w:rsidRPr="00EA2FE3">
        <w:t xml:space="preserve">Il est demandé de ne pas ajouter de lignes </w:t>
      </w:r>
      <w:r w:rsidRPr="00EA2FE3">
        <w:rPr>
          <w:i/>
        </w:rPr>
        <w:t>total</w:t>
      </w:r>
      <w:r w:rsidRPr="00EA2FE3">
        <w:t xml:space="preserve"> ou </w:t>
      </w:r>
      <w:r w:rsidRPr="00EA2FE3">
        <w:rPr>
          <w:i/>
        </w:rPr>
        <w:t>sous-total</w:t>
      </w:r>
      <w:r w:rsidRPr="00EA2FE3">
        <w:t xml:space="preserve"> dans l’état de remise. </w:t>
      </w:r>
    </w:p>
    <w:p w:rsidR="00DB5035" w:rsidRPr="00EA2FE3" w:rsidRDefault="00DB5035">
      <w:pPr>
        <w:keepNext/>
        <w:spacing w:line="276" w:lineRule="auto"/>
        <w:ind w:firstLine="709"/>
      </w:pPr>
    </w:p>
    <w:p w:rsidR="0010621A" w:rsidRPr="00EA2FE3" w:rsidRDefault="00FE085A">
      <w:pPr>
        <w:keepNext/>
        <w:spacing w:line="276" w:lineRule="auto"/>
        <w:ind w:firstLine="709"/>
      </w:pPr>
      <w:r w:rsidRPr="00EA2FE3">
        <w:t>Enfin</w:t>
      </w:r>
      <w:r w:rsidR="003C20B6" w:rsidRPr="00EA2FE3">
        <w:t xml:space="preserve">, pour </w:t>
      </w:r>
      <w:r w:rsidR="003C20B6" w:rsidRPr="00EA2FE3">
        <w:rPr>
          <w:szCs w:val="22"/>
        </w:rPr>
        <w:t>les contrats d’assurance-vie en co-assurance, l’organisme doit pondérer les quantités reportées à hauteur de la part qu’il détient en tant que co-assureur (la somme des montants reportés par chacun des co-assureurs égalant le montant total du contrat co-assuré).</w:t>
      </w:r>
    </w:p>
    <w:p w:rsidR="0024322A" w:rsidRPr="00EA2FE3" w:rsidRDefault="0024322A" w:rsidP="0010621A">
      <w:pPr>
        <w:spacing w:line="276" w:lineRule="auto"/>
        <w:ind w:firstLine="708"/>
        <w:rPr>
          <w:szCs w:val="16"/>
        </w:rPr>
        <w:sectPr w:rsidR="0024322A" w:rsidRPr="00EA2FE3" w:rsidSect="00E977BD">
          <w:footerReference w:type="default" r:id="rId10"/>
          <w:pgSz w:w="11906" w:h="16838"/>
          <w:pgMar w:top="1417" w:right="1417" w:bottom="1417" w:left="1417" w:header="720" w:footer="720" w:gutter="0"/>
          <w:cols w:space="720"/>
          <w:docGrid w:linePitch="299"/>
        </w:sectPr>
      </w:pPr>
    </w:p>
    <w:p w:rsidR="003C3EDE" w:rsidRPr="00EA2FE3" w:rsidRDefault="003C3EDE" w:rsidP="006769F4">
      <w:pPr>
        <w:numPr>
          <w:ilvl w:val="0"/>
          <w:numId w:val="6"/>
        </w:numPr>
        <w:spacing w:line="360" w:lineRule="auto"/>
        <w:rPr>
          <w:b/>
          <w:bCs/>
          <w:color w:val="345A8A"/>
          <w:sz w:val="28"/>
          <w:szCs w:val="32"/>
        </w:rPr>
      </w:pPr>
      <w:r w:rsidRPr="00EA2FE3">
        <w:rPr>
          <w:b/>
          <w:bCs/>
          <w:color w:val="345A8A"/>
          <w:sz w:val="28"/>
          <w:szCs w:val="32"/>
        </w:rPr>
        <w:t>Définitions des variables</w:t>
      </w:r>
    </w:p>
    <w:p w:rsidR="003C3EDE" w:rsidRPr="00EA2FE3" w:rsidRDefault="003C3EDE" w:rsidP="006769F4">
      <w:pPr>
        <w:numPr>
          <w:ilvl w:val="1"/>
          <w:numId w:val="6"/>
        </w:numPr>
        <w:spacing w:line="360" w:lineRule="auto"/>
        <w:rPr>
          <w:b/>
          <w:bCs/>
          <w:color w:val="4F81BD" w:themeColor="accent1"/>
          <w:szCs w:val="22"/>
        </w:rPr>
      </w:pPr>
      <w:r w:rsidRPr="00EA2FE3">
        <w:rPr>
          <w:b/>
          <w:bCs/>
          <w:color w:val="4F81BD" w:themeColor="accent1"/>
        </w:rPr>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rsidTr="00FC5BAC">
        <w:trPr>
          <w:trHeight w:val="825"/>
        </w:trPr>
        <w:tc>
          <w:tcPr>
            <w:tcW w:w="1951"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UTILITE</w:t>
            </w:r>
          </w:p>
        </w:tc>
      </w:tr>
      <w:tr w:rsidR="007E6B91" w:rsidRPr="00EA2FE3" w:rsidTr="004B559B">
        <w:trPr>
          <w:trHeight w:val="825"/>
        </w:trPr>
        <w:tc>
          <w:tcPr>
            <w:tcW w:w="1951" w:type="dxa"/>
          </w:tcPr>
          <w:p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rsidR="007E6B91" w:rsidRPr="00EA2FE3" w:rsidRDefault="007E6B91" w:rsidP="004B559B">
            <w:pPr>
              <w:snapToGrid w:val="0"/>
            </w:pPr>
            <w:r w:rsidRPr="00EA2FE3">
              <w:t>C0010</w:t>
            </w:r>
          </w:p>
        </w:tc>
        <w:tc>
          <w:tcPr>
            <w:tcW w:w="4530" w:type="dxa"/>
          </w:tcPr>
          <w:p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rsidR="007E6B91" w:rsidRPr="00EA2FE3" w:rsidRDefault="007E6B91" w:rsidP="007E6B91">
            <w:pPr>
              <w:snapToGrid w:val="0"/>
              <w:jc w:val="center"/>
            </w:pPr>
            <w:r w:rsidRPr="00EA2FE3">
              <w:t>1</w:t>
            </w:r>
          </w:p>
        </w:tc>
        <w:tc>
          <w:tcPr>
            <w:tcW w:w="3969" w:type="dxa"/>
          </w:tcPr>
          <w:p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rsidTr="004B559B">
        <w:trPr>
          <w:trHeight w:val="825"/>
        </w:trPr>
        <w:tc>
          <w:tcPr>
            <w:tcW w:w="1951" w:type="dxa"/>
          </w:tcPr>
          <w:p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rsidR="003C3EDE" w:rsidRPr="00EA2FE3" w:rsidRDefault="009D7561" w:rsidP="004B559B">
            <w:pPr>
              <w:snapToGrid w:val="0"/>
            </w:pPr>
            <w:r w:rsidRPr="00EA2FE3">
              <w:t>C0020</w:t>
            </w:r>
          </w:p>
        </w:tc>
        <w:tc>
          <w:tcPr>
            <w:tcW w:w="4530" w:type="dxa"/>
          </w:tcPr>
          <w:p w:rsidR="003C3EDE"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r w:rsidR="003C3EDE" w:rsidRPr="00EA2FE3">
              <w:br/>
            </w:r>
          </w:p>
          <w:p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rsidR="003C3EDE" w:rsidRPr="00EA2FE3" w:rsidRDefault="003C3EDE" w:rsidP="004B559B">
            <w:pPr>
              <w:snapToGrid w:val="0"/>
            </w:pPr>
            <w:r w:rsidRPr="00EA2FE3">
              <w:rPr>
                <w:i/>
              </w:rPr>
              <w:t xml:space="preserve"> « </w:t>
            </w:r>
            <w:del w:id="0" w:author="Gaëlle CAPITAINE" w:date="2019-11-08T10:27:00Z">
              <w:r w:rsidRPr="00EA2FE3" w:rsidDel="00946DFB">
                <w:rPr>
                  <w:i/>
                </w:rPr>
                <w:delText>Performa</w:delText>
              </w:r>
            </w:del>
            <w:del w:id="1" w:author="Gaëlle CAPITAINE" w:date="2019-11-08T10:26:00Z">
              <w:r w:rsidRPr="00EA2FE3" w:rsidDel="00946DFB">
                <w:rPr>
                  <w:i/>
                </w:rPr>
                <w:delText>tor</w:delText>
              </w:r>
            </w:del>
            <w:ins w:id="2" w:author="Gaëlle CAPITAINE" w:date="2019-11-08T10:27:00Z">
              <w:r w:rsidR="00946DFB">
                <w:rPr>
                  <w:i/>
                </w:rPr>
                <w:t>Performance</w:t>
              </w:r>
            </w:ins>
            <w:r w:rsidRPr="00EA2FE3">
              <w:t> 1»</w:t>
            </w:r>
          </w:p>
          <w:p w:rsidR="003C3EDE" w:rsidRPr="00EA2FE3" w:rsidRDefault="003C3EDE" w:rsidP="004B559B">
            <w:pPr>
              <w:snapToGrid w:val="0"/>
            </w:pPr>
            <w:r w:rsidRPr="00EA2FE3">
              <w:rPr>
                <w:i/>
              </w:rPr>
              <w:t>« </w:t>
            </w:r>
            <w:del w:id="3" w:author="Gaëlle CAPITAINE" w:date="2019-11-08T10:26:00Z">
              <w:r w:rsidRPr="00EA2FE3" w:rsidDel="00946DFB">
                <w:rPr>
                  <w:i/>
                </w:rPr>
                <w:delText>Performator</w:delText>
              </w:r>
              <w:r w:rsidRPr="00EA2FE3" w:rsidDel="00946DFB">
                <w:delText> </w:delText>
              </w:r>
            </w:del>
            <w:ins w:id="4" w:author="Gaëlle CAPITAINE" w:date="2019-11-08T10:26:00Z">
              <w:r w:rsidR="00946DFB" w:rsidRPr="00EA2FE3">
                <w:rPr>
                  <w:i/>
                </w:rPr>
                <w:t>Performa</w:t>
              </w:r>
              <w:r w:rsidR="00946DFB">
                <w:rPr>
                  <w:i/>
                </w:rPr>
                <w:t>nce</w:t>
              </w:r>
              <w:r w:rsidR="00946DFB" w:rsidRPr="00EA2FE3">
                <w:t> </w:t>
              </w:r>
            </w:ins>
            <w:r w:rsidRPr="00EA2FE3">
              <w:t>2»</w:t>
            </w:r>
          </w:p>
          <w:p w:rsidR="003C3EDE" w:rsidRPr="00EA2FE3" w:rsidRDefault="003C3EDE" w:rsidP="00946DFB">
            <w:pPr>
              <w:snapToGrid w:val="0"/>
            </w:pPr>
            <w:r w:rsidRPr="00EA2FE3">
              <w:t xml:space="preserve">(entre N et  N-1, le contrat appelé </w:t>
            </w:r>
            <w:r w:rsidRPr="00EA2FE3">
              <w:rPr>
                <w:i/>
              </w:rPr>
              <w:t>« </w:t>
            </w:r>
            <w:del w:id="5" w:author="Gaëlle CAPITAINE" w:date="2019-11-08T10:26:00Z">
              <w:r w:rsidRPr="00EA2FE3" w:rsidDel="00946DFB">
                <w:rPr>
                  <w:i/>
                </w:rPr>
                <w:delText>Performator</w:delText>
              </w:r>
            </w:del>
            <w:ins w:id="6" w:author="Gaëlle CAPITAINE" w:date="2019-11-08T10:26:00Z">
              <w:r w:rsidR="00946DFB" w:rsidRPr="00EA2FE3">
                <w:rPr>
                  <w:i/>
                </w:rPr>
                <w:t>Performa</w:t>
              </w:r>
              <w:r w:rsidR="00946DFB">
                <w:rPr>
                  <w:i/>
                </w:rPr>
                <w:t>nce</w:t>
              </w:r>
            </w:ins>
            <w:r w:rsidRPr="00EA2FE3">
              <w:t>» en année N-1 a été renommé en deux sous-contrats différents en année N)</w:t>
            </w:r>
          </w:p>
        </w:tc>
        <w:tc>
          <w:tcPr>
            <w:tcW w:w="3969" w:type="dxa"/>
          </w:tcPr>
          <w:p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rsidR="003C3EDE" w:rsidRPr="00EA2FE3" w:rsidRDefault="003C3EDE" w:rsidP="004B559B">
            <w:pPr>
              <w:autoSpaceDE w:val="0"/>
              <w:autoSpaceDN w:val="0"/>
              <w:adjustRightInd w:val="0"/>
            </w:pPr>
          </w:p>
        </w:tc>
      </w:tr>
      <w:tr w:rsidR="003C3EDE" w:rsidRPr="00EA2FE3" w:rsidTr="004B559B">
        <w:trPr>
          <w:trHeight w:val="825"/>
        </w:trPr>
        <w:tc>
          <w:tcPr>
            <w:tcW w:w="1951" w:type="dxa"/>
          </w:tcPr>
          <w:p w:rsidR="003C3EDE" w:rsidRPr="00EA2FE3" w:rsidRDefault="009E5206" w:rsidP="005A72C1">
            <w:pPr>
              <w:snapToGrid w:val="0"/>
              <w:rPr>
                <w:b/>
              </w:rPr>
            </w:pPr>
            <w:r>
              <w:rPr>
                <w:b/>
              </w:rPr>
              <w:t xml:space="preserve">Code d’identification </w:t>
            </w:r>
            <w:r w:rsidR="003C3EDE" w:rsidRPr="00EA2FE3">
              <w:rPr>
                <w:b/>
              </w:rPr>
              <w:t xml:space="preserve"> du contrat </w:t>
            </w:r>
            <w:r>
              <w:rPr>
                <w:b/>
              </w:rPr>
              <w:t xml:space="preserve">reporté </w:t>
            </w:r>
            <w:r w:rsidR="003C3EDE" w:rsidRPr="00EA2FE3">
              <w:rPr>
                <w:b/>
              </w:rPr>
              <w:t>pour l’exercice N-1</w:t>
            </w:r>
          </w:p>
        </w:tc>
        <w:tc>
          <w:tcPr>
            <w:tcW w:w="1140" w:type="dxa"/>
          </w:tcPr>
          <w:p w:rsidR="003C3EDE" w:rsidRPr="00EA2FE3" w:rsidRDefault="009D7561" w:rsidP="004B559B">
            <w:pPr>
              <w:snapToGrid w:val="0"/>
            </w:pPr>
            <w:r w:rsidRPr="00EA2FE3">
              <w:t>C0030</w:t>
            </w:r>
          </w:p>
        </w:tc>
        <w:tc>
          <w:tcPr>
            <w:tcW w:w="4530" w:type="dxa"/>
          </w:tcPr>
          <w:p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rsidR="003C3EDE" w:rsidRPr="00EA2FE3" w:rsidRDefault="003C3EDE" w:rsidP="004B559B">
            <w:pPr>
              <w:snapToGrid w:val="0"/>
            </w:pPr>
          </w:p>
          <w:p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rsidR="003C3EDE" w:rsidRPr="00EA2FE3" w:rsidRDefault="003C3EDE" w:rsidP="004B559B">
            <w:pPr>
              <w:snapToGrid w:val="0"/>
            </w:pPr>
            <w:r w:rsidRPr="00EA2FE3">
              <w:rPr>
                <w:i/>
              </w:rPr>
              <w:t>« </w:t>
            </w:r>
            <w:ins w:id="7" w:author="Gaëlle CAPITAINE" w:date="2019-11-08T10:27:00Z">
              <w:r w:rsidR="00946DFB" w:rsidRPr="00EA2FE3">
                <w:rPr>
                  <w:i/>
                </w:rPr>
                <w:t>Performa</w:t>
              </w:r>
              <w:r w:rsidR="00946DFB">
                <w:rPr>
                  <w:i/>
                </w:rPr>
                <w:t>nce</w:t>
              </w:r>
            </w:ins>
            <w:del w:id="8" w:author="Gaëlle CAPITAINE" w:date="2019-11-08T10:27:00Z">
              <w:r w:rsidRPr="00EA2FE3" w:rsidDel="00946DFB">
                <w:rPr>
                  <w:i/>
                </w:rPr>
                <w:delText>Performator</w:delText>
              </w:r>
            </w:del>
            <w:r w:rsidRPr="00EA2FE3">
              <w:t>»</w:t>
            </w:r>
          </w:p>
          <w:p w:rsidR="003C3EDE" w:rsidRPr="00EA2FE3" w:rsidRDefault="003C3EDE" w:rsidP="004B559B">
            <w:pPr>
              <w:snapToGrid w:val="0"/>
            </w:pPr>
            <w:r w:rsidRPr="00EA2FE3">
              <w:rPr>
                <w:i/>
              </w:rPr>
              <w:t>« </w:t>
            </w:r>
            <w:ins w:id="9" w:author="Gaëlle CAPITAINE" w:date="2019-11-08T10:27:00Z">
              <w:r w:rsidR="00946DFB" w:rsidRPr="00EA2FE3">
                <w:rPr>
                  <w:i/>
                </w:rPr>
                <w:t>Performa</w:t>
              </w:r>
              <w:r w:rsidR="00946DFB">
                <w:rPr>
                  <w:i/>
                </w:rPr>
                <w:t>nce</w:t>
              </w:r>
            </w:ins>
            <w:del w:id="10" w:author="Gaëlle CAPITAINE" w:date="2019-11-08T10:27:00Z">
              <w:r w:rsidRPr="00EA2FE3" w:rsidDel="00946DFB">
                <w:rPr>
                  <w:i/>
                </w:rPr>
                <w:delText>Performator</w:delText>
              </w:r>
            </w:del>
            <w:r w:rsidRPr="00EA2FE3">
              <w:t xml:space="preserve">»  </w:t>
            </w:r>
          </w:p>
          <w:p w:rsidR="003C3EDE" w:rsidRPr="00EA2FE3" w:rsidRDefault="003C3EDE" w:rsidP="004B559B">
            <w:pPr>
              <w:snapToGrid w:val="0"/>
            </w:pPr>
          </w:p>
          <w:p w:rsidR="003C3EDE" w:rsidRPr="00EA2FE3" w:rsidRDefault="003C3EDE" w:rsidP="004B559B">
            <w:pPr>
              <w:snapToGrid w:val="0"/>
              <w:rPr>
                <w:i/>
              </w:rPr>
            </w:pPr>
          </w:p>
        </w:tc>
        <w:tc>
          <w:tcPr>
            <w:tcW w:w="3969" w:type="dxa"/>
          </w:tcPr>
          <w:p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variable </w:t>
            </w:r>
            <w:r w:rsidR="009329B8" w:rsidRPr="00EA2FE3">
              <w:t xml:space="preserve"> C0030</w:t>
            </w:r>
            <w:r w:rsidR="003C3EDE" w:rsidRPr="00EA2FE3">
              <w:t xml:space="preserve"> </w:t>
            </w:r>
            <w:r>
              <w:t xml:space="preserve">lors de la remise de </w:t>
            </w:r>
            <w:r w:rsidR="003C3EDE" w:rsidRPr="00EA2FE3">
              <w:t>l’année N+1</w:t>
            </w:r>
            <w:r>
              <w:t>.</w:t>
            </w:r>
          </w:p>
          <w:p w:rsidR="003C3EDE" w:rsidRPr="00EA2FE3" w:rsidRDefault="003C3EDE" w:rsidP="004B559B">
            <w:pPr>
              <w:snapToGrid w:val="0"/>
            </w:pPr>
          </w:p>
          <w:p w:rsidR="003C3EDE" w:rsidRPr="00EA2FE3" w:rsidRDefault="003C3EDE" w:rsidP="004B559B">
            <w:pPr>
              <w:snapToGrid w:val="0"/>
            </w:pPr>
          </w:p>
        </w:tc>
      </w:tr>
      <w:tr w:rsidR="009D7561" w:rsidRPr="00EA2FE3" w:rsidTr="004B559B">
        <w:trPr>
          <w:trHeight w:val="825"/>
        </w:trPr>
        <w:tc>
          <w:tcPr>
            <w:tcW w:w="1951" w:type="dxa"/>
          </w:tcPr>
          <w:p w:rsidR="009D7561" w:rsidRPr="00EA2FE3" w:rsidRDefault="009D7561" w:rsidP="00AC711B">
            <w:pPr>
              <w:snapToGrid w:val="0"/>
              <w:rPr>
                <w:b/>
              </w:rPr>
            </w:pPr>
            <w:r w:rsidRPr="00EA2FE3">
              <w:rPr>
                <w:b/>
              </w:rPr>
              <w:t xml:space="preserve">Dénomination </w:t>
            </w:r>
            <w:r w:rsidR="00AC711B">
              <w:rPr>
                <w:b/>
              </w:rPr>
              <w:t>commerciale actuelle du contrat</w:t>
            </w:r>
          </w:p>
        </w:tc>
        <w:tc>
          <w:tcPr>
            <w:tcW w:w="1140" w:type="dxa"/>
          </w:tcPr>
          <w:p w:rsidR="009D7561" w:rsidRPr="00EA2FE3" w:rsidRDefault="009D7561" w:rsidP="004B559B">
            <w:pPr>
              <w:snapToGrid w:val="0"/>
            </w:pPr>
            <w:r w:rsidRPr="00EA2FE3">
              <w:t>C0040</w:t>
            </w:r>
          </w:p>
        </w:tc>
        <w:tc>
          <w:tcPr>
            <w:tcW w:w="4530" w:type="dxa"/>
          </w:tcPr>
          <w:p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rsidR="00AC711B" w:rsidRDefault="00AC711B" w:rsidP="00AC711B">
            <w:pPr>
              <w:snapToGrid w:val="0"/>
            </w:pPr>
          </w:p>
          <w:p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_</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rsidR="009D7561" w:rsidRPr="00EA2FE3" w:rsidRDefault="009D7561" w:rsidP="004B559B">
            <w:pPr>
              <w:snapToGrid w:val="0"/>
            </w:pPr>
            <w:r w:rsidRPr="00EA2FE3">
              <w:rPr>
                <w:i/>
              </w:rPr>
              <w:t>« </w:t>
            </w:r>
            <w:del w:id="11" w:author="Gaëlle CAPITAINE" w:date="2019-11-08T10:28:00Z">
              <w:r w:rsidRPr="00EA2FE3" w:rsidDel="00946DFB">
                <w:rPr>
                  <w:i/>
                </w:rPr>
                <w:delText>Performator</w:delText>
              </w:r>
            </w:del>
            <w:ins w:id="12" w:author="Gaëlle CAPITAINE" w:date="2019-11-08T10:28:00Z">
              <w:r w:rsidR="00946DFB">
                <w:rPr>
                  <w:i/>
                </w:rPr>
                <w:t>Performance</w:t>
              </w:r>
            </w:ins>
            <w:r w:rsidRPr="00EA2FE3">
              <w:t>»</w:t>
            </w:r>
          </w:p>
          <w:p w:rsidR="009D7561" w:rsidRPr="00EA2FE3" w:rsidRDefault="009D7561" w:rsidP="00946DFB">
            <w:pPr>
              <w:snapToGrid w:val="0"/>
              <w:rPr>
                <w:i/>
              </w:rPr>
            </w:pPr>
            <w:r w:rsidRPr="00EA2FE3">
              <w:rPr>
                <w:i/>
              </w:rPr>
              <w:t>« </w:t>
            </w:r>
            <w:del w:id="13" w:author="Gaëlle CAPITAINE" w:date="2019-11-08T10:28:00Z">
              <w:r w:rsidRPr="00EA2FE3" w:rsidDel="00946DFB">
                <w:rPr>
                  <w:i/>
                </w:rPr>
                <w:delText>Performator</w:delText>
              </w:r>
            </w:del>
            <w:ins w:id="14" w:author="Gaëlle CAPITAINE" w:date="2019-11-08T10:28:00Z">
              <w:r w:rsidR="00946DFB">
                <w:rPr>
                  <w:i/>
                </w:rPr>
                <w:t>Performance</w:t>
              </w:r>
            </w:ins>
            <w:r w:rsidRPr="00EA2FE3">
              <w:t xml:space="preserve">»  </w:t>
            </w:r>
          </w:p>
        </w:tc>
        <w:tc>
          <w:tcPr>
            <w:tcW w:w="3969" w:type="dxa"/>
          </w:tcPr>
          <w:p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rsidR="00E308E6" w:rsidRDefault="00E308E6" w:rsidP="001E5140">
            <w:pPr>
              <w:snapToGrid w:val="0"/>
            </w:pPr>
          </w:p>
          <w:p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rsidR="009D7561" w:rsidRPr="00EA2FE3" w:rsidRDefault="009D7561" w:rsidP="00135918">
            <w:pPr>
              <w:snapToGrid w:val="0"/>
            </w:pPr>
          </w:p>
        </w:tc>
      </w:tr>
      <w:tr w:rsidR="009D7561" w:rsidRPr="00EA2FE3" w:rsidTr="004B559B">
        <w:trPr>
          <w:trHeight w:val="825"/>
        </w:trPr>
        <w:tc>
          <w:tcPr>
            <w:tcW w:w="1951" w:type="dxa"/>
          </w:tcPr>
          <w:p w:rsidR="009D7561" w:rsidRPr="00EA2FE3" w:rsidRDefault="009D7561" w:rsidP="004B559B">
            <w:pPr>
              <w:snapToGrid w:val="0"/>
              <w:rPr>
                <w:b/>
              </w:rPr>
            </w:pPr>
            <w:r w:rsidRPr="00EA2FE3">
              <w:rPr>
                <w:b/>
              </w:rPr>
              <w:t>Numéro de la catégorie de contrat</w:t>
            </w:r>
          </w:p>
          <w:p w:rsidR="009D7561" w:rsidRPr="00EA2FE3" w:rsidRDefault="009D7561" w:rsidP="004B559B">
            <w:pPr>
              <w:snapToGrid w:val="0"/>
            </w:pPr>
          </w:p>
        </w:tc>
        <w:tc>
          <w:tcPr>
            <w:tcW w:w="1140" w:type="dxa"/>
          </w:tcPr>
          <w:p w:rsidR="009D7561" w:rsidRPr="00EA2FE3" w:rsidRDefault="009D7561" w:rsidP="004B559B">
            <w:pPr>
              <w:snapToGrid w:val="0"/>
            </w:pPr>
            <w:r w:rsidRPr="00EA2FE3">
              <w:t>C0050</w:t>
            </w:r>
          </w:p>
        </w:tc>
        <w:tc>
          <w:tcPr>
            <w:tcW w:w="4530" w:type="dxa"/>
          </w:tcPr>
          <w:p w:rsidR="00FF4FAE" w:rsidRPr="00EA2FE3" w:rsidRDefault="00C517C2" w:rsidP="004B559B">
            <w:pPr>
              <w:snapToGrid w:val="0"/>
            </w:pPr>
            <w:r w:rsidRPr="00EA2FE3">
              <w:t>Il convient de sélectionner l</w:t>
            </w:r>
            <w:r w:rsidR="008C2A5E" w:rsidRPr="00EA2FE3">
              <w:t xml:space="preserve">e numéro de la </w:t>
            </w:r>
            <w:r w:rsidR="000E0969">
              <w:t xml:space="preserve">catégorie </w:t>
            </w:r>
            <w:r w:rsidR="000E0969" w:rsidRPr="000E0969">
              <w:t xml:space="preserve">ou </w:t>
            </w:r>
            <w:r w:rsidR="00D4205B" w:rsidRPr="005A1F96">
              <w:t>sous-</w:t>
            </w:r>
            <w:r w:rsidR="008C2A5E" w:rsidRPr="005A1F96">
              <w:t xml:space="preserve">catégorie </w:t>
            </w:r>
            <w:r w:rsidR="00B271C8" w:rsidRPr="005A1F96">
              <w:t>concernée</w:t>
            </w:r>
            <w:r w:rsidR="00B271C8" w:rsidRPr="00EA2FE3">
              <w:t xml:space="preserve"> </w:t>
            </w:r>
            <w:r w:rsidR="009D7561" w:rsidRPr="00EA2FE3">
              <w:t>au sens de</w:t>
            </w:r>
            <w:r w:rsidR="000E0969">
              <w:t xml:space="preserve"> l’état FR13.01.</w:t>
            </w:r>
            <w:r w:rsidR="009D7561" w:rsidRPr="00EA2FE3">
              <w:t xml:space="preserve"> </w:t>
            </w:r>
            <w:r w:rsidR="000E0969">
              <w:t>Il s’agit des 13 premières sous-catégories de l’</w:t>
            </w:r>
            <w:hyperlink r:id="rId11" w:history="1">
              <w:r w:rsidR="009D7561" w:rsidRPr="00EA2FE3">
                <w:rPr>
                  <w:rStyle w:val="Lienhypertexte"/>
                </w:rPr>
                <w:t>Article A. 344-2 du Code des Assurances</w:t>
              </w:r>
            </w:hyperlink>
            <w:r w:rsidR="009D7561" w:rsidRPr="00EA2FE3">
              <w:t xml:space="preserve"> (cf</w:t>
            </w:r>
            <w:r w:rsidR="009D7561" w:rsidRPr="00EA2FE3">
              <w:rPr>
                <w:b/>
              </w:rPr>
              <w:t>. annexe 1</w:t>
            </w:r>
            <w:r w:rsidR="009D7561" w:rsidRPr="00EA2FE3">
              <w:t>)</w:t>
            </w:r>
            <w:r w:rsidR="0094426B" w:rsidRPr="00EA2FE3">
              <w:t xml:space="preserve"> ou de l’article A</w:t>
            </w:r>
            <w:r w:rsidR="007405C3" w:rsidRPr="00EA2FE3">
              <w:t xml:space="preserve">. </w:t>
            </w:r>
            <w:r w:rsidR="0094426B" w:rsidRPr="00EA2FE3">
              <w:t>114-1 du Code de la Mutualité ou de l’article A931-11-10 du Code de la Sécurité Sociale</w:t>
            </w:r>
            <w:r w:rsidR="00D4205B" w:rsidRPr="00EA2FE3">
              <w:t>, ou de la catégorie pour les catégories ne comportant pas de sous-catégories (par exemple catégorie 1 et 2)</w:t>
            </w:r>
            <w:r w:rsidR="009D7561" w:rsidRPr="00EA2FE3">
              <w:t>.</w:t>
            </w:r>
            <w:r w:rsidR="00B23EF9" w:rsidRPr="00EA2FE3">
              <w:t xml:space="preserve"> </w:t>
            </w:r>
          </w:p>
          <w:p w:rsidR="009D7561" w:rsidRDefault="00B23EF9" w:rsidP="004B559B">
            <w:pPr>
              <w:snapToGrid w:val="0"/>
            </w:pPr>
            <w:r w:rsidRPr="00EA2FE3">
              <w:t xml:space="preserve">Une répartition des principaux types de contrats selon ces </w:t>
            </w:r>
            <w:r w:rsidR="00CC3C57" w:rsidRPr="00EA2FE3">
              <w:t>sous-</w:t>
            </w:r>
            <w:r w:rsidRPr="00EA2FE3">
              <w:t xml:space="preserve">catégories comptables est </w:t>
            </w:r>
            <w:r w:rsidR="004873CE" w:rsidRPr="00EA2FE3">
              <w:t xml:space="preserve">par ailleurs </w:t>
            </w:r>
            <w:r w:rsidRPr="00EA2FE3">
              <w:t>proposée en annexe 2.</w:t>
            </w:r>
          </w:p>
          <w:p w:rsidR="000C571B" w:rsidRDefault="000C571B" w:rsidP="005A1F96">
            <w:pPr>
              <w:pStyle w:val="NormalWeb"/>
              <w:spacing w:before="0" w:beforeAutospacing="0" w:after="0" w:afterAutospacing="0"/>
            </w:pPr>
            <w:r>
              <w:t xml:space="preserve">1 Contrats de capitalisation à prime unique (ou versements libres) </w:t>
            </w:r>
            <w:r w:rsidR="00473AB2">
              <w:t>en euros ou en devises</w:t>
            </w:r>
            <w:r>
              <w:t>;</w:t>
            </w:r>
          </w:p>
          <w:p w:rsidR="000C571B" w:rsidRDefault="000C571B" w:rsidP="005A1F96">
            <w:pPr>
              <w:pStyle w:val="NormalWeb"/>
              <w:spacing w:before="0" w:beforeAutospacing="0" w:after="0" w:afterAutospacing="0"/>
            </w:pPr>
            <w:r>
              <w:t xml:space="preserve">2 Contrats de capitalisation à primes périodiques </w:t>
            </w:r>
            <w:r w:rsidR="00473AB2">
              <w:t>en euros ou en devises</w:t>
            </w:r>
            <w:r>
              <w:t>;</w:t>
            </w:r>
          </w:p>
          <w:p w:rsidR="000C571B" w:rsidRDefault="000C571B" w:rsidP="005A1F96">
            <w:pPr>
              <w:pStyle w:val="NormalWeb"/>
              <w:spacing w:before="0" w:beforeAutospacing="0" w:after="0" w:afterAutospacing="0"/>
            </w:pPr>
            <w:r>
              <w:t xml:space="preserve">3 Contrats individuels d'assurance temporaire décès (y compris groupes ouverts) </w:t>
            </w:r>
            <w:r w:rsidR="00473AB2">
              <w:t>en euros ou en devises</w:t>
            </w:r>
            <w:r>
              <w:t>;</w:t>
            </w:r>
          </w:p>
          <w:p w:rsidR="000C571B" w:rsidRDefault="000C571B" w:rsidP="005A1F96">
            <w:pPr>
              <w:pStyle w:val="NormalWeb"/>
              <w:spacing w:before="0" w:beforeAutospacing="0" w:after="0" w:afterAutospacing="0"/>
            </w:pPr>
            <w:r>
              <w:t xml:space="preserve">4 Autres contrats individuels d'assurance vie à prime unique (ou versements libres) (y compris groupes ouverts) </w:t>
            </w:r>
            <w:r w:rsidR="00473AB2">
              <w:t>en euros ou en devises</w:t>
            </w:r>
            <w:r>
              <w:t>;</w:t>
            </w:r>
          </w:p>
          <w:p w:rsidR="000C571B" w:rsidRDefault="000C571B" w:rsidP="005A1F96">
            <w:pPr>
              <w:pStyle w:val="NormalWeb"/>
              <w:spacing w:before="0" w:beforeAutospacing="0" w:after="0" w:afterAutospacing="0"/>
            </w:pPr>
            <w:r>
              <w:t xml:space="preserve">5 Autres contrats individuels d'assurance vie à primes périodiques (y compris groupes ouverts) </w:t>
            </w:r>
            <w:r w:rsidR="00473AB2">
              <w:t>en euros ou en devises</w:t>
            </w:r>
            <w:r>
              <w:t>;</w:t>
            </w:r>
          </w:p>
          <w:p w:rsidR="000C571B" w:rsidRDefault="000C571B" w:rsidP="005A1F96">
            <w:pPr>
              <w:pStyle w:val="NormalWeb"/>
              <w:spacing w:before="0" w:beforeAutospacing="0" w:after="0" w:afterAutospacing="0"/>
            </w:pPr>
            <w:r>
              <w:t xml:space="preserve">6 Contrats collectifs d'assurance en cas de décès </w:t>
            </w:r>
            <w:r w:rsidR="00473AB2">
              <w:t>en euros ou en devises</w:t>
            </w:r>
            <w:r>
              <w:t>;</w:t>
            </w:r>
          </w:p>
          <w:p w:rsidR="000C571B" w:rsidRDefault="000C571B" w:rsidP="005A1F96">
            <w:pPr>
              <w:pStyle w:val="NormalWeb"/>
              <w:spacing w:before="0" w:beforeAutospacing="0" w:after="0" w:afterAutospacing="0"/>
            </w:pPr>
            <w:r>
              <w:t xml:space="preserve">7 Contrats collectifs d'assurance en cas de vie </w:t>
            </w:r>
            <w:r w:rsidR="00473AB2">
              <w:t>en euros ou en devises</w:t>
            </w:r>
            <w:r>
              <w:t>;</w:t>
            </w:r>
          </w:p>
          <w:p w:rsidR="000C571B" w:rsidRDefault="000C571B" w:rsidP="005A1F96">
            <w:pPr>
              <w:pStyle w:val="NormalWeb"/>
              <w:spacing w:before="0" w:beforeAutospacing="0" w:after="0" w:afterAutospacing="0"/>
            </w:pPr>
            <w:r>
              <w:t>8 Contrats d'assurance vie ou de capitalisation en unités de compte à prime unique (ou versements libres) ;</w:t>
            </w:r>
          </w:p>
          <w:p w:rsidR="000C571B" w:rsidRDefault="000C571B" w:rsidP="005A1F96">
            <w:pPr>
              <w:pStyle w:val="NormalWeb"/>
              <w:spacing w:before="0" w:beforeAutospacing="0" w:after="0" w:afterAutospacing="0"/>
            </w:pPr>
            <w:r>
              <w:t>9 Contrats d'assurance vie ou de capitalisation en unités de compte à primes périodiques ;</w:t>
            </w:r>
          </w:p>
          <w:p w:rsidR="000C571B" w:rsidRDefault="000C571B" w:rsidP="005A1F96">
            <w:pPr>
              <w:pStyle w:val="NormalWeb"/>
              <w:spacing w:before="0" w:beforeAutospacing="0" w:after="0" w:afterAutospacing="0"/>
            </w:pPr>
            <w:r>
              <w:t xml:space="preserve">10 Contrats collectifs relevant de </w:t>
            </w:r>
            <w:hyperlink r:id="rId12" w:history="1">
              <w:r>
                <w:rPr>
                  <w:rStyle w:val="Lienhypertexte"/>
                </w:rPr>
                <w:t xml:space="preserve">l'article L. 441-1 </w:t>
              </w:r>
            </w:hyperlink>
            <w:r>
              <w:t xml:space="preserve">mais ne relevant pas des articles L. 143-1 et </w:t>
            </w:r>
            <w:hyperlink r:id="rId13" w:history="1">
              <w:r>
                <w:rPr>
                  <w:rStyle w:val="Lienhypertexte"/>
                </w:rPr>
                <w:t>L. 144-2</w:t>
              </w:r>
            </w:hyperlink>
            <w:r>
              <w:t xml:space="preserve"> ;</w:t>
            </w:r>
          </w:p>
          <w:p w:rsidR="000C571B" w:rsidRDefault="000C571B" w:rsidP="005A1F96">
            <w:pPr>
              <w:pStyle w:val="NormalWeb"/>
              <w:spacing w:before="0" w:beforeAutospacing="0" w:after="0" w:afterAutospacing="0"/>
            </w:pPr>
            <w:r>
              <w:t>11. Contrats relevant de l'article L. 144-2 ;</w:t>
            </w:r>
          </w:p>
          <w:p w:rsidR="009C0DA8" w:rsidRDefault="009C0DA8" w:rsidP="005A1F96">
            <w:pPr>
              <w:pStyle w:val="NormalWeb"/>
              <w:spacing w:before="0" w:beforeAutospacing="0" w:after="0" w:afterAutospacing="0"/>
            </w:pPr>
            <w:r>
              <w:t>111. PERP Branche 26</w:t>
            </w:r>
          </w:p>
          <w:p w:rsidR="009C0DA8" w:rsidRDefault="009C0DA8" w:rsidP="005A1F96">
            <w:pPr>
              <w:pStyle w:val="NormalWeb"/>
              <w:spacing w:before="0" w:beforeAutospacing="0" w:after="0" w:afterAutospacing="0"/>
            </w:pPr>
            <w:r>
              <w:t>112. PERP Eurocroissance</w:t>
            </w:r>
          </w:p>
          <w:p w:rsidR="009C0DA8" w:rsidRDefault="009C0DA8" w:rsidP="005A1F96">
            <w:pPr>
              <w:pStyle w:val="NormalWeb"/>
              <w:spacing w:before="0" w:beforeAutospacing="0" w:after="0" w:afterAutospacing="0"/>
            </w:pPr>
            <w:r>
              <w:t>113. PERP autres euros</w:t>
            </w:r>
          </w:p>
          <w:p w:rsidR="009C0DA8" w:rsidRDefault="009C0DA8" w:rsidP="005A1F96">
            <w:pPr>
              <w:pStyle w:val="NormalWeb"/>
              <w:spacing w:before="0" w:beforeAutospacing="0" w:after="0" w:afterAutospacing="0"/>
            </w:pPr>
            <w:r>
              <w:t>114. PERP UC</w:t>
            </w:r>
          </w:p>
          <w:p w:rsidR="000C571B" w:rsidRDefault="000C571B" w:rsidP="005A1F96">
            <w:pPr>
              <w:pStyle w:val="NormalWeb"/>
              <w:spacing w:before="0" w:beforeAutospacing="0" w:after="0" w:afterAutospacing="0"/>
            </w:pPr>
            <w: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rsidR="005C23A7" w:rsidRDefault="005C23A7" w:rsidP="005A1F96">
            <w:pPr>
              <w:pStyle w:val="NormalWeb"/>
              <w:spacing w:before="0" w:beforeAutospacing="0" w:after="0" w:afterAutospacing="0"/>
            </w:pPr>
            <w:r>
              <w:t>121. RPS Branche 26</w:t>
            </w:r>
          </w:p>
          <w:p w:rsidR="005C23A7" w:rsidRDefault="005C23A7" w:rsidP="005A1F96">
            <w:pPr>
              <w:pStyle w:val="NormalWeb"/>
              <w:spacing w:before="0" w:beforeAutospacing="0" w:after="0" w:afterAutospacing="0"/>
            </w:pPr>
            <w:r>
              <w:t>122. RPS donnant lieu à Provision de diversification</w:t>
            </w:r>
          </w:p>
          <w:p w:rsidR="005C23A7" w:rsidRDefault="005C23A7" w:rsidP="005A1F96">
            <w:pPr>
              <w:pStyle w:val="NormalWeb"/>
              <w:spacing w:before="0" w:beforeAutospacing="0" w:after="0" w:afterAutospacing="0"/>
            </w:pPr>
            <w:r>
              <w:t>123. RPS autres euros</w:t>
            </w:r>
          </w:p>
          <w:p w:rsidR="005C23A7" w:rsidRDefault="005C23A7" w:rsidP="005A1F96">
            <w:pPr>
              <w:pStyle w:val="NormalWeb"/>
              <w:spacing w:before="0" w:beforeAutospacing="0" w:after="0" w:afterAutospacing="0"/>
            </w:pPr>
            <w:r>
              <w:t>124. RPS PERP euros non Branche 26 et non eurocroissance</w:t>
            </w:r>
          </w:p>
          <w:p w:rsidR="005C23A7" w:rsidRDefault="005C23A7" w:rsidP="005A1F96">
            <w:pPr>
              <w:pStyle w:val="NormalWeb"/>
              <w:spacing w:before="0" w:beforeAutospacing="0" w:after="0" w:afterAutospacing="0"/>
            </w:pPr>
            <w:r>
              <w:t>125. RPS PERP UC non Branche 26 et non eurocroissance</w:t>
            </w:r>
          </w:p>
          <w:p w:rsidR="00082E9B" w:rsidRDefault="00082E9B" w:rsidP="005A1F96">
            <w:pPr>
              <w:pStyle w:val="NormalWeb"/>
              <w:spacing w:before="0" w:beforeAutospacing="0" w:after="0" w:afterAutospacing="0"/>
            </w:pPr>
            <w:r>
              <w:t>126. RPS UC</w:t>
            </w:r>
          </w:p>
          <w:p w:rsidR="000C571B" w:rsidRPr="005A1F96" w:rsidRDefault="000C571B" w:rsidP="005A1F96">
            <w:pPr>
              <w:pStyle w:val="NormalWeb"/>
              <w:spacing w:before="0" w:beforeAutospacing="0" w:after="0" w:afterAutospacing="0"/>
            </w:pPr>
            <w:r>
              <w:t xml:space="preserve">13 Opérations relevant de </w:t>
            </w:r>
            <w:hyperlink r:id="rId14" w:history="1">
              <w:r>
                <w:rPr>
                  <w:rStyle w:val="Lienhypertexte"/>
                </w:rPr>
                <w:t xml:space="preserve">l'article L. 134-1 </w:t>
              </w:r>
            </w:hyperlink>
            <w:r>
              <w:t xml:space="preserve">mais ne relevant pas des articles </w:t>
            </w:r>
            <w:hyperlink r:id="rId15" w:history="1">
              <w:r>
                <w:rPr>
                  <w:rStyle w:val="Lienhypertexte"/>
                </w:rPr>
                <w:t xml:space="preserve">L. 143-1 </w:t>
              </w:r>
            </w:hyperlink>
            <w:r>
              <w:t>et L. 144-2 ;</w:t>
            </w:r>
          </w:p>
          <w:p w:rsidR="009D7561" w:rsidRPr="00EA2FE3" w:rsidRDefault="009D7561" w:rsidP="00FF4FAE">
            <w:pPr>
              <w:pStyle w:val="Default"/>
              <w:ind w:left="311"/>
              <w:jc w:val="both"/>
              <w:rPr>
                <w:sz w:val="19"/>
                <w:szCs w:val="19"/>
              </w:rPr>
            </w:pPr>
          </w:p>
        </w:tc>
        <w:tc>
          <w:tcPr>
            <w:tcW w:w="1843" w:type="dxa"/>
          </w:tcPr>
          <w:p w:rsidR="009D7561" w:rsidRPr="00EA2FE3" w:rsidRDefault="009D7561" w:rsidP="004B559B">
            <w:pPr>
              <w:snapToGrid w:val="0"/>
              <w:rPr>
                <w:i/>
              </w:rPr>
            </w:pPr>
            <w:r w:rsidRPr="00EA2FE3">
              <w:rPr>
                <w:i/>
              </w:rPr>
              <w:t>11</w:t>
            </w:r>
          </w:p>
        </w:tc>
        <w:tc>
          <w:tcPr>
            <w:tcW w:w="3969" w:type="dxa"/>
          </w:tcPr>
          <w:p w:rsidR="009D7561" w:rsidRPr="00EA2FE3" w:rsidRDefault="009D7561" w:rsidP="004B559B">
            <w:pPr>
              <w:snapToGrid w:val="0"/>
            </w:pPr>
            <w:r w:rsidRPr="00EA2FE3">
              <w:t>Avoir une classification des contrats par nature des garanties.</w:t>
            </w:r>
          </w:p>
          <w:p w:rsidR="009D7561" w:rsidRPr="00EA2FE3" w:rsidRDefault="009D7561" w:rsidP="004B559B">
            <w:pPr>
              <w:snapToGrid w:val="0"/>
            </w:pPr>
          </w:p>
          <w:p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(LoB).</w:t>
            </w:r>
          </w:p>
        </w:tc>
      </w:tr>
      <w:tr w:rsidR="009D7561" w:rsidRPr="00EA2FE3" w:rsidTr="004B559B">
        <w:trPr>
          <w:trHeight w:val="825"/>
        </w:trPr>
        <w:tc>
          <w:tcPr>
            <w:tcW w:w="1951" w:type="dxa"/>
          </w:tcPr>
          <w:p w:rsidR="009D7561" w:rsidRPr="00EA2FE3" w:rsidRDefault="009D7561" w:rsidP="004B559B">
            <w:pPr>
              <w:snapToGrid w:val="0"/>
              <w:rPr>
                <w:b/>
              </w:rPr>
            </w:pPr>
            <w:r w:rsidRPr="00EA2FE3">
              <w:rPr>
                <w:b/>
              </w:rPr>
              <w:t xml:space="preserve">Lignes d’Activité         </w:t>
            </w:r>
            <w:r w:rsidRPr="00EA2FE3">
              <w:rPr>
                <w:b/>
                <w:color w:val="FF0000"/>
              </w:rPr>
              <w:t xml:space="preserve"> </w:t>
            </w:r>
          </w:p>
        </w:tc>
        <w:tc>
          <w:tcPr>
            <w:tcW w:w="1140" w:type="dxa"/>
          </w:tcPr>
          <w:p w:rsidR="009D7561" w:rsidRPr="00EA2FE3" w:rsidRDefault="009D7561" w:rsidP="004B559B">
            <w:pPr>
              <w:snapToGrid w:val="0"/>
            </w:pPr>
            <w:r w:rsidRPr="00EA2FE3">
              <w:t>C0060</w:t>
            </w:r>
          </w:p>
        </w:tc>
        <w:tc>
          <w:tcPr>
            <w:tcW w:w="4530" w:type="dxa"/>
          </w:tcPr>
          <w:p w:rsidR="00FE77D0" w:rsidRPr="00EA2FE3" w:rsidRDefault="009D7561" w:rsidP="004B559B">
            <w:pPr>
              <w:snapToGrid w:val="0"/>
              <w:rPr>
                <w:b/>
              </w:rPr>
            </w:pPr>
            <w:r w:rsidRPr="00EA2FE3">
              <w:t>Ligne d’activité (LdA</w:t>
            </w:r>
            <w:r w:rsidR="00BC613E" w:rsidRPr="00EA2FE3">
              <w:t xml:space="preserve"> ou LoB</w:t>
            </w:r>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rsidR="008C2A5E" w:rsidRPr="00EA2FE3" w:rsidRDefault="008C2A5E" w:rsidP="004B559B">
            <w:pPr>
              <w:snapToGrid w:val="0"/>
            </w:pPr>
            <w:r w:rsidRPr="00EA2FE3">
              <w:t>Il convient de sélectionner l’un des choix suivants pour chacun des contrats :</w:t>
            </w:r>
          </w:p>
          <w:p w:rsidR="008C2A5E" w:rsidRPr="00EA2FE3" w:rsidRDefault="008C2A5E" w:rsidP="008C2A5E">
            <w:pPr>
              <w:snapToGrid w:val="0"/>
            </w:pPr>
            <w:r w:rsidRPr="00EA2FE3">
              <w:t>1.  Assurance avec participation aux bénéfices</w:t>
            </w:r>
          </w:p>
          <w:p w:rsidR="008C2A5E" w:rsidRPr="00EA2FE3" w:rsidRDefault="008C2A5E" w:rsidP="008C2A5E">
            <w:pPr>
              <w:snapToGrid w:val="0"/>
            </w:pPr>
            <w:r w:rsidRPr="00EA2FE3">
              <w:t>2.  Unités de comptes ou indexés - Contrats sans options et garanties</w:t>
            </w:r>
          </w:p>
          <w:p w:rsidR="008C2A5E" w:rsidRPr="00EA2FE3" w:rsidRDefault="008C2A5E" w:rsidP="008C2A5E">
            <w:pPr>
              <w:snapToGrid w:val="0"/>
            </w:pPr>
            <w:r w:rsidRPr="00EA2FE3">
              <w:t>3.  Unités de comptes ou indexés - Contrats avec options et garanties</w:t>
            </w:r>
          </w:p>
          <w:p w:rsidR="008C2A5E" w:rsidRPr="00EA2FE3" w:rsidRDefault="008C2A5E" w:rsidP="008C2A5E">
            <w:pPr>
              <w:snapToGrid w:val="0"/>
            </w:pPr>
            <w:r w:rsidRPr="00EA2FE3">
              <w:t>4. Autres activités d'assurance vie - Contrats sans options et garanties</w:t>
            </w:r>
          </w:p>
          <w:p w:rsidR="008C2A5E" w:rsidRPr="00EA2FE3" w:rsidRDefault="008C2A5E" w:rsidP="008C2A5E">
            <w:pPr>
              <w:snapToGrid w:val="0"/>
            </w:pPr>
            <w:r w:rsidRPr="00EA2FE3">
              <w:t>5. Autres activités d'assurance vie - Contrats avec options et garanties</w:t>
            </w:r>
          </w:p>
          <w:p w:rsidR="008C2A5E" w:rsidRPr="00EA2FE3" w:rsidRDefault="008C2A5E" w:rsidP="008C2A5E">
            <w:pPr>
              <w:snapToGrid w:val="0"/>
            </w:pPr>
            <w:r w:rsidRPr="00EA2FE3">
              <w:t>6. Rentes issues de l'assurance non-vie autre que santé</w:t>
            </w:r>
          </w:p>
          <w:p w:rsidR="008C2A5E" w:rsidRPr="00EA2FE3" w:rsidRDefault="008C2A5E" w:rsidP="008C2A5E">
            <w:pPr>
              <w:snapToGrid w:val="0"/>
            </w:pPr>
          </w:p>
          <w:p w:rsidR="008C2A5E" w:rsidRPr="00EA2FE3" w:rsidRDefault="008C2A5E" w:rsidP="008C2A5E">
            <w:pPr>
              <w:snapToGrid w:val="0"/>
            </w:pPr>
            <w:r w:rsidRPr="00EA2FE3">
              <w:t>NB :</w:t>
            </w:r>
          </w:p>
          <w:p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À remplir seulement par les organismes assujettis à Solvabilité II.</w:t>
            </w:r>
          </w:p>
        </w:tc>
        <w:tc>
          <w:tcPr>
            <w:tcW w:w="1843" w:type="dxa"/>
          </w:tcPr>
          <w:p w:rsidR="004C4AAE" w:rsidRPr="00EA2FE3" w:rsidRDefault="004C4AAE" w:rsidP="004C4AAE">
            <w:pPr>
              <w:snapToGrid w:val="0"/>
            </w:pPr>
            <w:r w:rsidRPr="00EA2FE3">
              <w:t>1.  Assurance avec participation aux bénéfices</w:t>
            </w:r>
          </w:p>
          <w:p w:rsidR="009D7561" w:rsidRPr="00EA2FE3" w:rsidRDefault="009D7561" w:rsidP="004B559B">
            <w:pPr>
              <w:snapToGrid w:val="0"/>
            </w:pPr>
          </w:p>
        </w:tc>
        <w:tc>
          <w:tcPr>
            <w:tcW w:w="3969" w:type="dxa"/>
          </w:tcPr>
          <w:p w:rsidR="009D7561" w:rsidRPr="00EA2FE3" w:rsidRDefault="009D7561" w:rsidP="004B559B">
            <w:pPr>
              <w:snapToGrid w:val="0"/>
            </w:pPr>
            <w:r w:rsidRPr="00EA2FE3">
              <w:t>Savoir à quelle ‘LdA’ (ou LoB) appartient le contrat dans le cadre de la valorisation du bilan prudentiel en norme Solvabilité II.</w:t>
            </w:r>
          </w:p>
          <w:p w:rsidR="009D7561" w:rsidRPr="00EA2FE3" w:rsidRDefault="009D7561" w:rsidP="004B559B">
            <w:pPr>
              <w:snapToGrid w:val="0"/>
            </w:pPr>
          </w:p>
        </w:tc>
      </w:tr>
      <w:tr w:rsidR="00914A91" w:rsidRPr="00EA2FE3" w:rsidTr="004B559B">
        <w:trPr>
          <w:trHeight w:val="825"/>
        </w:trPr>
        <w:tc>
          <w:tcPr>
            <w:tcW w:w="1951" w:type="dxa"/>
          </w:tcPr>
          <w:p w:rsidR="00914A91" w:rsidRPr="00EA2FE3" w:rsidRDefault="00914A91" w:rsidP="00B75113">
            <w:pPr>
              <w:rPr>
                <w:b/>
              </w:rPr>
            </w:pPr>
            <w:r w:rsidRPr="00D93190">
              <w:rPr>
                <w:b/>
              </w:rPr>
              <w:t>Garantie retraite Art. 82</w:t>
            </w:r>
            <w:r w:rsidRPr="00EA2FE3">
              <w:rPr>
                <w:b/>
              </w:rPr>
              <w:t xml:space="preserve"> </w:t>
            </w:r>
          </w:p>
          <w:p w:rsidR="00914A91" w:rsidRPr="00EA2FE3" w:rsidRDefault="00914A91" w:rsidP="004B559B">
            <w:pPr>
              <w:snapToGrid w:val="0"/>
              <w:rPr>
                <w:b/>
              </w:rPr>
            </w:pPr>
          </w:p>
        </w:tc>
        <w:tc>
          <w:tcPr>
            <w:tcW w:w="1140" w:type="dxa"/>
          </w:tcPr>
          <w:p w:rsidR="00914A91" w:rsidRPr="00EA2FE3" w:rsidRDefault="00914A91" w:rsidP="00914A91">
            <w:pPr>
              <w:snapToGrid w:val="0"/>
            </w:pPr>
            <w:r w:rsidRPr="00EA2FE3">
              <w:t>C0</w:t>
            </w:r>
            <w:r>
              <w:t>061</w:t>
            </w:r>
          </w:p>
        </w:tc>
        <w:tc>
          <w:tcPr>
            <w:tcW w:w="4530" w:type="dxa"/>
          </w:tcPr>
          <w:p w:rsidR="00914A91" w:rsidRPr="00EA2FE3" w:rsidRDefault="00914A91" w:rsidP="004B559B">
            <w:pPr>
              <w:snapToGrid w:val="0"/>
            </w:pPr>
            <w:r>
              <w:t>Indication si le contrat comporte une garantie de retraite supplémentaire au sens de l’article 82 du C.G.I..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retraite Art. 83</w:t>
            </w:r>
          </w:p>
        </w:tc>
        <w:tc>
          <w:tcPr>
            <w:tcW w:w="1140" w:type="dxa"/>
          </w:tcPr>
          <w:p w:rsidR="00914A91" w:rsidRPr="00EA2FE3" w:rsidRDefault="00914A91" w:rsidP="00914A91">
            <w:pPr>
              <w:snapToGrid w:val="0"/>
            </w:pPr>
            <w:r w:rsidRPr="00EA2FE3">
              <w:t>C0</w:t>
            </w:r>
            <w:r>
              <w:t>062</w:t>
            </w:r>
          </w:p>
        </w:tc>
        <w:tc>
          <w:tcPr>
            <w:tcW w:w="4530" w:type="dxa"/>
          </w:tcPr>
          <w:p w:rsidR="00914A91" w:rsidRPr="00EA2FE3" w:rsidRDefault="00914A91" w:rsidP="004B559B">
            <w:pPr>
              <w:snapToGrid w:val="0"/>
            </w:pPr>
            <w:r>
              <w:t>Indication si le contrat comporte une garantie de retraite supplémentaire au sens de l’article 83 du C.G.I..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retraite Art. 39</w:t>
            </w:r>
          </w:p>
        </w:tc>
        <w:tc>
          <w:tcPr>
            <w:tcW w:w="1140" w:type="dxa"/>
          </w:tcPr>
          <w:p w:rsidR="00914A91" w:rsidRPr="00EA2FE3" w:rsidRDefault="00914A91" w:rsidP="00914A91">
            <w:pPr>
              <w:snapToGrid w:val="0"/>
            </w:pPr>
            <w:r w:rsidRPr="00EA2FE3">
              <w:t>C0</w:t>
            </w:r>
            <w:r>
              <w:t>063</w:t>
            </w:r>
          </w:p>
        </w:tc>
        <w:tc>
          <w:tcPr>
            <w:tcW w:w="4530" w:type="dxa"/>
          </w:tcPr>
          <w:p w:rsidR="00914A91" w:rsidRPr="00EA2FE3" w:rsidRDefault="00914A91" w:rsidP="004B559B">
            <w:pPr>
              <w:snapToGrid w:val="0"/>
            </w:pPr>
            <w:r>
              <w:t>Indication si le contrat comporte une garantie de retraite supplémentaire au sens de l’article 39 du C.G.I..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Décès</w:t>
            </w:r>
          </w:p>
        </w:tc>
        <w:tc>
          <w:tcPr>
            <w:tcW w:w="1140" w:type="dxa"/>
          </w:tcPr>
          <w:p w:rsidR="00914A91" w:rsidRPr="00EA2FE3" w:rsidRDefault="00914A91" w:rsidP="00914A91">
            <w:pPr>
              <w:snapToGrid w:val="0"/>
            </w:pPr>
            <w:r w:rsidRPr="00EA2FE3">
              <w:t>C0</w:t>
            </w:r>
            <w:r>
              <w:t>064</w:t>
            </w:r>
          </w:p>
        </w:tc>
        <w:tc>
          <w:tcPr>
            <w:tcW w:w="4530" w:type="dxa"/>
          </w:tcPr>
          <w:p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Contrat Madelin</w:t>
            </w:r>
            <w:r>
              <w:rPr>
                <w:b/>
              </w:rPr>
              <w:t xml:space="preserve"> ou agricoles</w:t>
            </w:r>
          </w:p>
        </w:tc>
        <w:tc>
          <w:tcPr>
            <w:tcW w:w="1140" w:type="dxa"/>
          </w:tcPr>
          <w:p w:rsidR="00914A91" w:rsidRPr="00EA2FE3" w:rsidRDefault="00914A91" w:rsidP="00914A91">
            <w:pPr>
              <w:snapToGrid w:val="0"/>
            </w:pPr>
            <w:r w:rsidRPr="00EA2FE3">
              <w:t>C0</w:t>
            </w:r>
            <w:r>
              <w:t>065</w:t>
            </w:r>
          </w:p>
        </w:tc>
        <w:tc>
          <w:tcPr>
            <w:tcW w:w="4530" w:type="dxa"/>
          </w:tcPr>
          <w:p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6B3103" w:rsidRPr="00EA2FE3" w:rsidTr="00B75113">
        <w:trPr>
          <w:trHeight w:val="825"/>
        </w:trPr>
        <w:tc>
          <w:tcPr>
            <w:tcW w:w="1951" w:type="dxa"/>
          </w:tcPr>
          <w:p w:rsidR="006B3103" w:rsidRPr="00EA2FE3" w:rsidRDefault="006B3103" w:rsidP="006B3103">
            <w:pPr>
              <w:snapToGrid w:val="0"/>
              <w:rPr>
                <w:b/>
              </w:rPr>
            </w:pPr>
            <w:r w:rsidRPr="00D93190">
              <w:rPr>
                <w:b/>
              </w:rPr>
              <w:t xml:space="preserve">Contrat </w:t>
            </w:r>
            <w:r>
              <w:rPr>
                <w:b/>
              </w:rPr>
              <w:t>en phase de rente</w:t>
            </w:r>
          </w:p>
        </w:tc>
        <w:tc>
          <w:tcPr>
            <w:tcW w:w="1140" w:type="dxa"/>
          </w:tcPr>
          <w:p w:rsidR="006B3103" w:rsidRPr="00EA2FE3" w:rsidRDefault="006B3103" w:rsidP="006B3103">
            <w:pPr>
              <w:snapToGrid w:val="0"/>
            </w:pPr>
            <w:r w:rsidRPr="00EA2FE3">
              <w:t>C0</w:t>
            </w:r>
            <w:r>
              <w:t>066</w:t>
            </w:r>
          </w:p>
        </w:tc>
        <w:tc>
          <w:tcPr>
            <w:tcW w:w="4530" w:type="dxa"/>
          </w:tcPr>
          <w:p w:rsidR="006B3103" w:rsidRDefault="006B3103" w:rsidP="006B3103">
            <w:pPr>
              <w:snapToGrid w:val="0"/>
            </w:pPr>
            <w:r>
              <w:t>Indication si le contrat est en phase de rente au 31/12/N. Les réponses attendues sont « Oui » ou « Non ».</w:t>
            </w:r>
          </w:p>
          <w:p w:rsidR="001D2CA7" w:rsidRDefault="001D2CA7" w:rsidP="006B3103">
            <w:pPr>
              <w:snapToGrid w:val="0"/>
            </w:pPr>
          </w:p>
          <w:p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rsidR="006B3103" w:rsidRPr="00EA2FE3" w:rsidRDefault="006B3103" w:rsidP="00B75113">
            <w:pPr>
              <w:snapToGrid w:val="0"/>
              <w:jc w:val="center"/>
              <w:rPr>
                <w:i/>
              </w:rPr>
            </w:pPr>
            <w:r>
              <w:t>Non</w:t>
            </w:r>
          </w:p>
        </w:tc>
        <w:tc>
          <w:tcPr>
            <w:tcW w:w="3969" w:type="dxa"/>
          </w:tcPr>
          <w:p w:rsidR="006B3103" w:rsidRPr="00EA2FE3" w:rsidRDefault="006B3103" w:rsidP="00B75113">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Date de première commercialisation</w:t>
            </w:r>
          </w:p>
        </w:tc>
        <w:tc>
          <w:tcPr>
            <w:tcW w:w="1140" w:type="dxa"/>
          </w:tcPr>
          <w:p w:rsidR="00914A91" w:rsidRPr="00EA2FE3" w:rsidRDefault="00914A91" w:rsidP="004B559B">
            <w:pPr>
              <w:snapToGrid w:val="0"/>
            </w:pPr>
            <w:r w:rsidRPr="00EA2FE3">
              <w:t>C0070</w:t>
            </w:r>
          </w:p>
        </w:tc>
        <w:tc>
          <w:tcPr>
            <w:tcW w:w="4530" w:type="dxa"/>
          </w:tcPr>
          <w:p w:rsidR="00914A91" w:rsidRPr="00EA2FE3" w:rsidRDefault="00914A91" w:rsidP="004B559B">
            <w:pPr>
              <w:snapToGrid w:val="0"/>
            </w:pPr>
            <w:r w:rsidRPr="00EA2FE3">
              <w:t>Date de première commercialisation du contrat.</w:t>
            </w:r>
          </w:p>
          <w:p w:rsidR="00914A91" w:rsidRPr="00EA2FE3" w:rsidRDefault="00914A91" w:rsidP="004B559B">
            <w:pPr>
              <w:snapToGrid w:val="0"/>
            </w:pPr>
          </w:p>
          <w:p w:rsidR="00914A91" w:rsidRPr="00EA2FE3" w:rsidRDefault="00914A91" w:rsidP="004B559B">
            <w:pPr>
              <w:snapToGrid w:val="0"/>
            </w:pPr>
            <w:r w:rsidRPr="00EA2FE3">
              <w:t xml:space="preserve">NB : </w:t>
            </w:r>
          </w:p>
          <w:p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En cas de difficultés à remplir cette variable, des approximations raisonnables sont possibles (par exemple 01/01/N lorsque seule l’année N est connue avec certitude, ou même une approximation à quelques années près dans le cas de contrats très anciens).</w:t>
            </w:r>
          </w:p>
          <w:p w:rsidR="00914A91" w:rsidRPr="00EA2FE3" w:rsidRDefault="00914A91" w:rsidP="00C01177"/>
          <w:p w:rsidR="00914A91" w:rsidRPr="00EA2FE3" w:rsidRDefault="00914A91" w:rsidP="00C01177">
            <w:r w:rsidRPr="00EA2FE3">
              <w:t xml:space="preserve">Contrôle associé : </w:t>
            </w:r>
            <w:r>
              <w:t xml:space="preserve">N &gt;= </w:t>
            </w:r>
            <w:r w:rsidRPr="00EA2FE3">
              <w:t>C0070 &gt;= 1950</w:t>
            </w:r>
          </w:p>
        </w:tc>
        <w:tc>
          <w:tcPr>
            <w:tcW w:w="1843" w:type="dxa"/>
          </w:tcPr>
          <w:p w:rsidR="00914A91" w:rsidRPr="00EA2FE3" w:rsidRDefault="00914A91" w:rsidP="004B559B">
            <w:pPr>
              <w:snapToGrid w:val="0"/>
              <w:jc w:val="center"/>
              <w:rPr>
                <w:i/>
              </w:rPr>
            </w:pPr>
            <w:r w:rsidRPr="00EA2FE3">
              <w:rPr>
                <w:i/>
              </w:rPr>
              <w:t>01/01/2010</w:t>
            </w:r>
          </w:p>
        </w:tc>
        <w:tc>
          <w:tcPr>
            <w:tcW w:w="3969" w:type="dxa"/>
          </w:tcPr>
          <w:p w:rsidR="00914A91" w:rsidRPr="00EA2FE3" w:rsidRDefault="00914A91" w:rsidP="00BC613E">
            <w:pPr>
              <w:snapToGrid w:val="0"/>
            </w:pPr>
            <w:r w:rsidRPr="00EA2FE3">
              <w:t>Faire une mise en perspective, selon la date de première commercialisation des contrats, des taux servis et taux techniques.</w:t>
            </w:r>
          </w:p>
        </w:tc>
      </w:tr>
      <w:tr w:rsidR="00914A91" w:rsidRPr="00EA2FE3" w:rsidTr="004B559B">
        <w:trPr>
          <w:trHeight w:val="825"/>
        </w:trPr>
        <w:tc>
          <w:tcPr>
            <w:tcW w:w="1951" w:type="dxa"/>
          </w:tcPr>
          <w:p w:rsidR="00914A91" w:rsidRPr="00EA2FE3" w:rsidRDefault="00914A91" w:rsidP="004B559B">
            <w:pPr>
              <w:snapToGrid w:val="0"/>
              <w:rPr>
                <w:b/>
              </w:rPr>
            </w:pPr>
            <w:r>
              <w:rPr>
                <w:b/>
              </w:rPr>
              <w:t>Code du fonds</w:t>
            </w:r>
          </w:p>
        </w:tc>
        <w:tc>
          <w:tcPr>
            <w:tcW w:w="1140" w:type="dxa"/>
          </w:tcPr>
          <w:p w:rsidR="00914A91" w:rsidRPr="00EA2FE3" w:rsidRDefault="00914A91" w:rsidP="004B559B">
            <w:r w:rsidRPr="00EA2FE3">
              <w:t>C0080</w:t>
            </w:r>
          </w:p>
        </w:tc>
        <w:tc>
          <w:tcPr>
            <w:tcW w:w="4530" w:type="dxa"/>
          </w:tcPr>
          <w:p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rsidR="00914A91" w:rsidRPr="00EA2FE3" w:rsidRDefault="00914A91" w:rsidP="004B559B">
            <w:pPr>
              <w:autoSpaceDE w:val="0"/>
              <w:autoSpaceDN w:val="0"/>
              <w:adjustRightInd w:val="0"/>
            </w:pPr>
          </w:p>
          <w:p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rsidR="00914A91" w:rsidRPr="00EA2FE3" w:rsidRDefault="00914A91" w:rsidP="004B559B">
            <w:r>
              <w:t>031</w:t>
            </w:r>
          </w:p>
        </w:tc>
        <w:tc>
          <w:tcPr>
            <w:tcW w:w="3969" w:type="dxa"/>
          </w:tcPr>
          <w:p w:rsidR="00914A91" w:rsidRPr="00EA2FE3" w:rsidRDefault="00914A91" w:rsidP="004B559B">
            <w:pPr>
              <w:snapToGrid w:val="0"/>
            </w:pPr>
            <w:r w:rsidRPr="00EA2FE3">
              <w:t>Identifier les cantons de gestion d’actifs auxquels est rattaché le contrat. Cela permet d’appréhender la performance actif/passif du contrat.</w:t>
            </w:r>
          </w:p>
          <w:p w:rsidR="00914A91" w:rsidRPr="00EA2FE3" w:rsidRDefault="00914A91" w:rsidP="004B559B">
            <w:pPr>
              <w:snapToGrid w:val="0"/>
            </w:pPr>
          </w:p>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pPr>
            <w:r w:rsidRPr="00EA2FE3">
              <w:rPr>
                <w:b/>
              </w:rPr>
              <w:t>Contrat encore commercialisé ?</w:t>
            </w:r>
            <w:r w:rsidRPr="00EA2FE3">
              <w:t xml:space="preserve"> (O/N)</w:t>
            </w:r>
          </w:p>
        </w:tc>
        <w:tc>
          <w:tcPr>
            <w:tcW w:w="1140" w:type="dxa"/>
          </w:tcPr>
          <w:p w:rsidR="00914A91" w:rsidRPr="00EA2FE3" w:rsidRDefault="00914A91" w:rsidP="004B559B">
            <w:pPr>
              <w:snapToGrid w:val="0"/>
              <w:ind w:right="-54"/>
            </w:pPr>
            <w:r w:rsidRPr="00EA2FE3">
              <w:t>C0090</w:t>
            </w:r>
          </w:p>
        </w:tc>
        <w:tc>
          <w:tcPr>
            <w:tcW w:w="4530" w:type="dxa"/>
          </w:tcPr>
          <w:p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l’a</w:t>
            </w:r>
            <w:r w:rsidRPr="00503068">
              <w:t>ssureur auprès d’entreprises</w:t>
            </w:r>
            <w:r>
              <w:t xml:space="preserve"> ou </w:t>
            </w:r>
            <w:r w:rsidRPr="005A1F96">
              <w:t>associations</w:t>
            </w:r>
            <w:r>
              <w:t xml:space="preserve"> souscriptrices.</w:t>
            </w:r>
          </w:p>
          <w:p w:rsidR="00914A91" w:rsidRPr="00EA2FE3" w:rsidRDefault="00914A91" w:rsidP="007D3A9A">
            <w:pPr>
              <w:snapToGrid w:val="0"/>
            </w:pPr>
          </w:p>
          <w:p w:rsidR="00914A91" w:rsidRPr="00EA2FE3" w:rsidRDefault="00914A91" w:rsidP="004B559B">
            <w:pPr>
              <w:snapToGrid w:val="0"/>
            </w:pPr>
            <w:r w:rsidRPr="00EA2FE3">
              <w:t>Il convient de sélectionner l’un des choix suivants pour chacun des contrats :</w:t>
            </w:r>
          </w:p>
          <w:p w:rsidR="00914A91" w:rsidRPr="00EA2FE3" w:rsidRDefault="00914A91" w:rsidP="004B559B">
            <w:pPr>
              <w:snapToGrid w:val="0"/>
            </w:pPr>
            <w:r w:rsidRPr="00EA2FE3">
              <w:t>- Oui</w:t>
            </w:r>
          </w:p>
          <w:p w:rsidR="00914A91" w:rsidRPr="00EA2FE3" w:rsidRDefault="00914A91" w:rsidP="00FE77D0">
            <w:pPr>
              <w:snapToGrid w:val="0"/>
            </w:pPr>
            <w:r w:rsidRPr="00EA2FE3">
              <w:t>- Non</w:t>
            </w:r>
          </w:p>
        </w:tc>
        <w:tc>
          <w:tcPr>
            <w:tcW w:w="1843" w:type="dxa"/>
          </w:tcPr>
          <w:p w:rsidR="00914A91" w:rsidRPr="00EA2FE3" w:rsidRDefault="00914A91" w:rsidP="00A25EA7">
            <w:pPr>
              <w:snapToGrid w:val="0"/>
              <w:rPr>
                <w:i/>
              </w:rPr>
            </w:pPr>
            <w:r w:rsidRPr="00EA2FE3">
              <w:rPr>
                <w:i/>
              </w:rPr>
              <w:t xml:space="preserve">Oui </w:t>
            </w:r>
          </w:p>
        </w:tc>
        <w:tc>
          <w:tcPr>
            <w:tcW w:w="3969" w:type="dxa"/>
          </w:tcPr>
          <w:p w:rsidR="00914A91" w:rsidRPr="00EA2FE3" w:rsidRDefault="00914A91" w:rsidP="004B559B">
            <w:pPr>
              <w:snapToGrid w:val="0"/>
            </w:pPr>
            <w:r w:rsidRPr="00EA2FE3">
              <w:t xml:space="preserve">Clarifier si le contrat est toujours vendu. </w:t>
            </w:r>
          </w:p>
          <w:p w:rsidR="00914A91" w:rsidRPr="00EA2FE3" w:rsidRDefault="00914A91" w:rsidP="004B559B">
            <w:pPr>
              <w:snapToGrid w:val="0"/>
            </w:pPr>
          </w:p>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pPr>
            <w:r w:rsidRPr="00EA2FE3">
              <w:rPr>
                <w:b/>
              </w:rPr>
              <w:t>Pénalités de rachats</w:t>
            </w:r>
            <w:r w:rsidRPr="00EA2FE3">
              <w:t xml:space="preserve"> ? (O/N)</w:t>
            </w:r>
          </w:p>
        </w:tc>
        <w:tc>
          <w:tcPr>
            <w:tcW w:w="1140" w:type="dxa"/>
          </w:tcPr>
          <w:p w:rsidR="00914A91" w:rsidRPr="00EA2FE3" w:rsidRDefault="00914A91" w:rsidP="004B559B">
            <w:pPr>
              <w:snapToGrid w:val="0"/>
            </w:pPr>
            <w:r w:rsidRPr="00EA2FE3">
              <w:t>C0100</w:t>
            </w:r>
          </w:p>
        </w:tc>
        <w:tc>
          <w:tcPr>
            <w:tcW w:w="4530" w:type="dxa"/>
          </w:tcPr>
          <w:p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rsidR="00914A91" w:rsidRPr="00EA2FE3" w:rsidRDefault="00914A91" w:rsidP="004B559B">
            <w:pPr>
              <w:snapToGrid w:val="0"/>
            </w:pPr>
            <w:r w:rsidRPr="00EA2FE3">
              <w:t>Il convient de sélectionner l’un des choix suivants pour chacun des contrats :</w:t>
            </w:r>
          </w:p>
          <w:p w:rsidR="00914A91" w:rsidRPr="00EA2FE3" w:rsidRDefault="00914A91" w:rsidP="00FE77D0">
            <w:pPr>
              <w:snapToGrid w:val="0"/>
            </w:pPr>
            <w:r w:rsidRPr="00EA2FE3">
              <w:t>- Oui</w:t>
            </w:r>
          </w:p>
          <w:p w:rsidR="00914A91" w:rsidRPr="00EA2FE3" w:rsidRDefault="00914A91" w:rsidP="004B559B">
            <w:pPr>
              <w:snapToGrid w:val="0"/>
            </w:pPr>
            <w:r w:rsidRPr="00EA2FE3">
              <w:t>- Non</w:t>
            </w:r>
            <w:r w:rsidRPr="00EA2FE3" w:rsidDel="004B559B">
              <w:t xml:space="preserve"> </w:t>
            </w:r>
          </w:p>
        </w:tc>
        <w:tc>
          <w:tcPr>
            <w:tcW w:w="1843" w:type="dxa"/>
          </w:tcPr>
          <w:p w:rsidR="00914A91" w:rsidRPr="00EA2FE3" w:rsidRDefault="00914A91" w:rsidP="004B559B">
            <w:pPr>
              <w:snapToGrid w:val="0"/>
              <w:rPr>
                <w:i/>
              </w:rPr>
            </w:pPr>
            <w:r w:rsidRPr="00EA2FE3">
              <w:rPr>
                <w:i/>
              </w:rPr>
              <w:t>Non</w:t>
            </w:r>
          </w:p>
        </w:tc>
        <w:tc>
          <w:tcPr>
            <w:tcW w:w="3969" w:type="dxa"/>
          </w:tcPr>
          <w:p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Versement initial minimum</w:t>
            </w:r>
          </w:p>
          <w:p w:rsidR="00914A91" w:rsidRPr="00EA2FE3" w:rsidRDefault="00914A91" w:rsidP="004B559B">
            <w:pPr>
              <w:snapToGrid w:val="0"/>
            </w:pPr>
          </w:p>
        </w:tc>
        <w:tc>
          <w:tcPr>
            <w:tcW w:w="1140" w:type="dxa"/>
          </w:tcPr>
          <w:p w:rsidR="00914A91" w:rsidRPr="00EA2FE3" w:rsidRDefault="00914A91" w:rsidP="004B559B">
            <w:pPr>
              <w:snapToGrid w:val="0"/>
            </w:pPr>
            <w:r w:rsidRPr="00EA2FE3">
              <w:t>C0110</w:t>
            </w:r>
          </w:p>
        </w:tc>
        <w:tc>
          <w:tcPr>
            <w:tcW w:w="4530" w:type="dxa"/>
          </w:tcPr>
          <w:p w:rsidR="00914A91" w:rsidRPr="00EA2FE3" w:rsidRDefault="00914A91" w:rsidP="004B559B">
            <w:r w:rsidRPr="00EA2FE3">
              <w:t>Montant minimal de primes, en euros.</w:t>
            </w:r>
          </w:p>
          <w:p w:rsidR="00914A91" w:rsidRPr="00EA2FE3" w:rsidRDefault="00914A91" w:rsidP="004B559B">
            <w:pPr>
              <w:rPr>
                <w:rFonts w:ascii="Courier New" w:hAnsi="Courier New" w:cs="Courier New"/>
                <w:color w:val="000000"/>
                <w:sz w:val="20"/>
              </w:rPr>
            </w:pPr>
            <w:r w:rsidRPr="00EA2FE3">
              <w:t>C’est une information contractuelle.</w:t>
            </w:r>
          </w:p>
          <w:p w:rsidR="00914A91" w:rsidRPr="00EA2FE3" w:rsidRDefault="00914A91" w:rsidP="00C517C2">
            <w:r w:rsidRPr="00EA2FE3">
              <w:t xml:space="preserve">NB : </w:t>
            </w:r>
          </w:p>
          <w:p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 «vie</w:t>
            </w:r>
          </w:p>
          <w:p w:rsidR="00914A91" w:rsidRPr="00EA2FE3" w:rsidRDefault="00914A91" w:rsidP="00890E97">
            <w:pPr>
              <w:pStyle w:val="Paragraphedeliste"/>
              <w:ind w:left="170"/>
              <w:rPr>
                <w:rFonts w:ascii="Times New Roman" w:hAnsi="Times New Roman"/>
                <w:sz w:val="22"/>
                <w:szCs w:val="22"/>
              </w:rPr>
            </w:pPr>
            <w:r w:rsidRPr="00EA2FE3">
              <w:rPr>
                <w:rFonts w:ascii="Times New Roman" w:hAnsi="Times New Roman"/>
                <w:sz w:val="22"/>
                <w:szCs w:val="22"/>
              </w:rPr>
              <w:t>entière / grande branche » par exemple.</w:t>
            </w:r>
          </w:p>
          <w:p w:rsidR="00914A91" w:rsidRPr="00EA2FE3" w:rsidRDefault="00914A91" w:rsidP="00890E97">
            <w:pPr>
              <w:pStyle w:val="Paragraphedeliste"/>
              <w:ind w:left="170"/>
              <w:rPr>
                <w:rFonts w:ascii="Times New Roman" w:hAnsi="Times New Roman"/>
                <w:sz w:val="22"/>
                <w:szCs w:val="22"/>
              </w:rPr>
            </w:pPr>
          </w:p>
          <w:p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rsidR="00914A91" w:rsidRPr="00EA2FE3" w:rsidRDefault="00914A91" w:rsidP="004B559B">
            <w:pPr>
              <w:rPr>
                <w:rFonts w:ascii="Courier New" w:hAnsi="Courier New" w:cs="Courier New"/>
                <w:color w:val="000000"/>
                <w:sz w:val="20"/>
              </w:rPr>
            </w:pPr>
          </w:p>
        </w:tc>
        <w:tc>
          <w:tcPr>
            <w:tcW w:w="1843" w:type="dxa"/>
          </w:tcPr>
          <w:p w:rsidR="00914A91" w:rsidRPr="00EA2FE3" w:rsidRDefault="00914A91" w:rsidP="004B559B">
            <w:pPr>
              <w:snapToGrid w:val="0"/>
              <w:rPr>
                <w:i/>
              </w:rPr>
            </w:pPr>
            <w:r w:rsidRPr="00EA2FE3">
              <w:rPr>
                <w:i/>
              </w:rPr>
              <w:t>100</w:t>
            </w:r>
          </w:p>
        </w:tc>
        <w:tc>
          <w:tcPr>
            <w:tcW w:w="3969" w:type="dxa"/>
          </w:tcPr>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Taux technique pour l’exercice N</w:t>
            </w:r>
          </w:p>
          <w:p w:rsidR="00914A91" w:rsidRPr="00EA2FE3" w:rsidRDefault="00914A91" w:rsidP="004B559B">
            <w:pPr>
              <w:snapToGrid w:val="0"/>
            </w:pPr>
          </w:p>
        </w:tc>
        <w:tc>
          <w:tcPr>
            <w:tcW w:w="1140" w:type="dxa"/>
          </w:tcPr>
          <w:p w:rsidR="00914A91" w:rsidRPr="00EA2FE3" w:rsidRDefault="00914A91" w:rsidP="009D7561">
            <w:pPr>
              <w:snapToGrid w:val="0"/>
            </w:pPr>
            <w:r w:rsidRPr="00EA2FE3">
              <w:t>C0120</w:t>
            </w:r>
          </w:p>
        </w:tc>
        <w:tc>
          <w:tcPr>
            <w:tcW w:w="4530" w:type="dxa"/>
          </w:tcPr>
          <w:p w:rsidR="00914A91" w:rsidRPr="00EA2FE3" w:rsidRDefault="00914A91" w:rsidP="004B559B">
            <w:pPr>
              <w:snapToGrid w:val="0"/>
            </w:pPr>
            <w:r w:rsidRPr="00EA2FE3">
              <w:t>Taux technique, en %</w:t>
            </w:r>
            <w:r>
              <w:t>,</w:t>
            </w:r>
            <w:r w:rsidRPr="00EA2FE3">
              <w:t xml:space="preserve"> du contrat.</w:t>
            </w:r>
          </w:p>
          <w:p w:rsidR="00914A91" w:rsidRPr="00EA2FE3" w:rsidRDefault="00914A91" w:rsidP="004B559B">
            <w:pPr>
              <w:snapToGrid w:val="0"/>
            </w:pPr>
            <w:r>
              <w:t>Il s’agit du taux du tarif défini</w:t>
            </w:r>
            <w:r w:rsidRPr="00EA2FE3">
              <w:t xml:space="preserve"> dans les </w:t>
            </w:r>
            <w:r w:rsidRPr="008B551A">
              <w:rPr>
                <w:rStyle w:val="Lienhypertexte"/>
              </w:rPr>
              <w:t>A</w:t>
            </w:r>
            <w:hyperlink r:id="rId16" w:history="1">
              <w:r w:rsidRPr="00EA2FE3">
                <w:rPr>
                  <w:rStyle w:val="Lienhypertexte"/>
                </w:rPr>
                <w:t>rticles A132-1 du code des assurances</w:t>
              </w:r>
            </w:hyperlink>
            <w:r w:rsidRPr="008B551A">
              <w:t xml:space="preserve">, </w:t>
            </w:r>
            <w:r w:rsidRPr="00EA2FE3">
              <w:rPr>
                <w:rStyle w:val="Lienhypertexte"/>
              </w:rPr>
              <w:t>A223-8 du Code de la Mutualité</w:t>
            </w:r>
            <w:r w:rsidRPr="008B551A">
              <w:t xml:space="preserve"> ou </w:t>
            </w:r>
            <w:r w:rsidRPr="00EA2FE3">
              <w:rPr>
                <w:rStyle w:val="Lienhypertexte"/>
              </w:rPr>
              <w:t>A932-3-1 du Code de la Sécurité Sociale</w:t>
            </w:r>
            <w:r w:rsidRPr="00EA2FE3">
              <w:t>.</w:t>
            </w:r>
          </w:p>
          <w:p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L’information reportée doit correspondre au taux technique libellé dans les conditions de chaque version de contrat.</w:t>
            </w:r>
            <w:r>
              <w:rPr>
                <w:rFonts w:ascii="Times New Roman" w:hAnsi="Times New Roman"/>
                <w:sz w:val="22"/>
                <w:szCs w:val="22"/>
              </w:rPr>
              <w:t xml:space="preserve"> Pour les contrats ne comportant pas de taux technique, ne rien indiquer.</w:t>
            </w:r>
          </w:p>
          <w:p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Pour les contrats de catégorie 10, le taux technique est le taux actuariel équivalent. Pour les contrats de catégorie 13, le taux technique est le taux d’actualisation moyen retenu pour les Provisions Mathématiques.</w:t>
            </w:r>
          </w:p>
          <w:p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rsidR="00914A91" w:rsidRPr="00EA2FE3" w:rsidRDefault="00914A91" w:rsidP="004B559B">
            <w:pPr>
              <w:snapToGrid w:val="0"/>
            </w:pPr>
          </w:p>
          <w:p w:rsidR="00914A91" w:rsidRPr="003C60BE" w:rsidRDefault="00914A91" w:rsidP="003C60BE">
            <w:pPr>
              <w:snapToGrid w:val="0"/>
              <w:rPr>
                <w:rFonts w:eastAsia="Cambria"/>
                <w:szCs w:val="22"/>
                <w:lang w:eastAsia="en-US"/>
              </w:rPr>
            </w:pPr>
            <w:r w:rsidRPr="003C60BE">
              <w:rPr>
                <w:rFonts w:eastAsia="Cambria"/>
                <w:szCs w:val="22"/>
                <w:lang w:eastAsia="en-US"/>
              </w:rPr>
              <w:t>Contrôles associés : C0120 &gt;= 0</w:t>
            </w:r>
            <w:r>
              <w:rPr>
                <w:rFonts w:eastAsia="Cambria"/>
                <w:szCs w:val="22"/>
                <w:lang w:eastAsia="en-US"/>
              </w:rPr>
              <w:t>%</w:t>
            </w:r>
          </w:p>
          <w:p w:rsidR="00914A91" w:rsidRPr="00EA2FE3" w:rsidRDefault="00914A91" w:rsidP="004B559B">
            <w:pPr>
              <w:snapToGrid w:val="0"/>
            </w:pPr>
          </w:p>
        </w:tc>
        <w:tc>
          <w:tcPr>
            <w:tcW w:w="1843" w:type="dxa"/>
          </w:tcPr>
          <w:p w:rsidR="00914A91" w:rsidRPr="00EA2FE3" w:rsidRDefault="00914A91" w:rsidP="004B559B">
            <w:pPr>
              <w:snapToGrid w:val="0"/>
              <w:rPr>
                <w:i/>
              </w:rPr>
            </w:pPr>
            <w:r>
              <w:rPr>
                <w:i/>
              </w:rPr>
              <w:t>0,5</w:t>
            </w:r>
            <w:r w:rsidRPr="00EA2FE3">
              <w:rPr>
                <w:i/>
              </w:rPr>
              <w:t>%</w:t>
            </w:r>
          </w:p>
          <w:p w:rsidR="00914A91" w:rsidRPr="00EA2FE3" w:rsidRDefault="00914A91" w:rsidP="00A25EA7">
            <w:pPr>
              <w:snapToGrid w:val="0"/>
            </w:pPr>
          </w:p>
        </w:tc>
        <w:tc>
          <w:tcPr>
            <w:tcW w:w="3969" w:type="dxa"/>
          </w:tcPr>
          <w:p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rsidR="00FC5BAC" w:rsidRPr="00EA2FE3" w:rsidRDefault="00FC5BAC" w:rsidP="006769F4">
      <w:pPr>
        <w:numPr>
          <w:ilvl w:val="1"/>
          <w:numId w:val="6"/>
        </w:numPr>
        <w:spacing w:line="360" w:lineRule="auto"/>
        <w:rPr>
          <w:b/>
          <w:bCs/>
          <w:color w:val="4F81BD" w:themeColor="accent1"/>
          <w:szCs w:val="22"/>
        </w:rPr>
      </w:pPr>
      <w:r w:rsidRPr="00EA2FE3">
        <w:rPr>
          <w:b/>
          <w:bCs/>
          <w:color w:val="4F81BD" w:themeColor="accent1"/>
        </w:rPr>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rsidTr="00232C20">
        <w:trPr>
          <w:trHeight w:val="825"/>
        </w:trPr>
        <w:tc>
          <w:tcPr>
            <w:tcW w:w="2093" w:type="dxa"/>
          </w:tcPr>
          <w:p w:rsidR="009D7561" w:rsidRPr="00EA2FE3" w:rsidRDefault="009D7561" w:rsidP="004B559B">
            <w:pPr>
              <w:snapToGrid w:val="0"/>
              <w:rPr>
                <w:b/>
              </w:rPr>
            </w:pPr>
            <w:r w:rsidRPr="00EA2FE3">
              <w:rPr>
                <w:b/>
              </w:rPr>
              <w:t>Nombre de contrats en cours à l'ouverture de l'exercice N</w:t>
            </w:r>
          </w:p>
        </w:tc>
        <w:tc>
          <w:tcPr>
            <w:tcW w:w="998" w:type="dxa"/>
          </w:tcPr>
          <w:p w:rsidR="009D7561" w:rsidRPr="00EA2FE3" w:rsidRDefault="009D7561" w:rsidP="004B559B">
            <w:pPr>
              <w:snapToGrid w:val="0"/>
            </w:pPr>
            <w:r w:rsidRPr="00EA2FE3">
              <w:t>C0130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rsidR="009D7561" w:rsidRPr="00EA2FE3" w:rsidRDefault="009D7561" w:rsidP="004B559B">
            <w:pPr>
              <w:snapToGrid w:val="0"/>
            </w:pPr>
          </w:p>
          <w:p w:rsidR="003520DF" w:rsidRPr="00EA2FE3" w:rsidRDefault="009D7561" w:rsidP="004B559B">
            <w:pPr>
              <w:snapToGrid w:val="0"/>
            </w:pPr>
            <w:r w:rsidRPr="00EA2FE3">
              <w:t xml:space="preserve">NB : </w:t>
            </w:r>
          </w:p>
          <w:p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rsidR="002F66B5" w:rsidRPr="00EA2FE3" w:rsidRDefault="002F66B5" w:rsidP="002F66B5">
            <w:pPr>
              <w:snapToGrid w:val="0"/>
            </w:pPr>
          </w:p>
          <w:p w:rsidR="00BF2D25" w:rsidRPr="00EA2FE3" w:rsidRDefault="00BF2D25" w:rsidP="00D93190">
            <w:pPr>
              <w:snapToGrid w:val="0"/>
            </w:pPr>
          </w:p>
        </w:tc>
        <w:tc>
          <w:tcPr>
            <w:tcW w:w="2126" w:type="dxa"/>
          </w:tcPr>
          <w:p w:rsidR="009D7561" w:rsidRPr="00EA2FE3" w:rsidRDefault="009D7561" w:rsidP="003520DF">
            <w:pPr>
              <w:snapToGrid w:val="0"/>
              <w:rPr>
                <w:i/>
              </w:rPr>
            </w:pPr>
            <w:r w:rsidRPr="00EA2FE3">
              <w:rPr>
                <w:i/>
              </w:rPr>
              <w:t>133</w:t>
            </w:r>
          </w:p>
        </w:tc>
        <w:tc>
          <w:tcPr>
            <w:tcW w:w="3686" w:type="dxa"/>
          </w:tcPr>
          <w:p w:rsidR="009D7561" w:rsidRPr="00EA2FE3" w:rsidRDefault="009D7561" w:rsidP="004B559B">
            <w:pPr>
              <w:snapToGrid w:val="0"/>
            </w:pPr>
            <w:r w:rsidRPr="00EA2FE3">
              <w:t>Évaluer le nombre de contrat</w:t>
            </w:r>
            <w:r w:rsidR="002934CC">
              <w:t>s</w:t>
            </w:r>
            <w:r w:rsidRPr="00EA2FE3">
              <w:t xml:space="preserve"> à l'ouverture l’exercice N.</w:t>
            </w:r>
          </w:p>
          <w:p w:rsidR="009D7561" w:rsidRPr="00EA2FE3" w:rsidRDefault="009D7561" w:rsidP="004B559B">
            <w:pPr>
              <w:snapToGrid w:val="0"/>
            </w:pPr>
          </w:p>
        </w:tc>
      </w:tr>
      <w:tr w:rsidR="009D7561" w:rsidRPr="00EA2FE3" w:rsidTr="00232C20">
        <w:trPr>
          <w:trHeight w:val="825"/>
        </w:trPr>
        <w:tc>
          <w:tcPr>
            <w:tcW w:w="2093" w:type="dxa"/>
          </w:tcPr>
          <w:p w:rsidR="009D7561" w:rsidRPr="00EA2FE3" w:rsidRDefault="009D7561" w:rsidP="004B559B">
            <w:pPr>
              <w:snapToGrid w:val="0"/>
              <w:rPr>
                <w:b/>
              </w:rPr>
            </w:pPr>
            <w:r w:rsidRPr="00EA2FE3">
              <w:rPr>
                <w:b/>
              </w:rPr>
              <w:t>Nombre de nouvelles souscriptions de contrats (yc contrats transférés) au cours de l'exercice N</w:t>
            </w:r>
          </w:p>
        </w:tc>
        <w:tc>
          <w:tcPr>
            <w:tcW w:w="998" w:type="dxa"/>
          </w:tcPr>
          <w:p w:rsidR="009D7561" w:rsidRPr="00EA2FE3" w:rsidRDefault="009D7561" w:rsidP="004B559B">
            <w:pPr>
              <w:snapToGrid w:val="0"/>
            </w:pPr>
            <w:r w:rsidRPr="00EA2FE3">
              <w:t>C0140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rsidR="009D7561" w:rsidRPr="00EA2FE3" w:rsidRDefault="000C5D28" w:rsidP="004B559B">
            <w:pPr>
              <w:snapToGrid w:val="0"/>
            </w:pPr>
            <w:r>
              <w:t>Lorsque les Provisions Mathématiques d’un même assuré sont réparties sur plusieurs versions d’un même contrat, compter l’assuré pour 1 sur la ligne portant la majorité de ses encours et 0 sur les autres lignes.</w:t>
            </w:r>
          </w:p>
          <w:p w:rsidR="009D7561" w:rsidRPr="00EA2FE3" w:rsidRDefault="009D7561" w:rsidP="004B559B">
            <w:pPr>
              <w:snapToGrid w:val="0"/>
            </w:pPr>
          </w:p>
          <w:p w:rsidR="00FF4FAE" w:rsidRPr="00EA2FE3" w:rsidRDefault="009D7561" w:rsidP="00A25EA7">
            <w:pPr>
              <w:snapToGrid w:val="0"/>
            </w:pPr>
            <w:r w:rsidRPr="00EA2FE3">
              <w:t xml:space="preserve">NB : </w:t>
            </w:r>
          </w:p>
          <w:p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rsidR="002F66B5" w:rsidRPr="00EA2FE3" w:rsidRDefault="002F66B5" w:rsidP="002F66B5">
            <w:pPr>
              <w:snapToGrid w:val="0"/>
            </w:pPr>
          </w:p>
          <w:p w:rsidR="002F66B5" w:rsidRPr="00EA2FE3" w:rsidRDefault="002F66B5" w:rsidP="002F66B5">
            <w:pPr>
              <w:snapToGrid w:val="0"/>
            </w:pPr>
          </w:p>
        </w:tc>
        <w:tc>
          <w:tcPr>
            <w:tcW w:w="2126" w:type="dxa"/>
          </w:tcPr>
          <w:p w:rsidR="009D7561" w:rsidRPr="00EA2FE3" w:rsidRDefault="009D7561" w:rsidP="004B559B">
            <w:pPr>
              <w:snapToGrid w:val="0"/>
              <w:rPr>
                <w:i/>
              </w:rPr>
            </w:pPr>
            <w:r w:rsidRPr="00EA2FE3">
              <w:rPr>
                <w:i/>
              </w:rPr>
              <w:t>1</w:t>
            </w:r>
            <w:r w:rsidR="0011149D">
              <w:rPr>
                <w:i/>
              </w:rPr>
              <w:t>7</w:t>
            </w:r>
          </w:p>
          <w:p w:rsidR="009D7561" w:rsidRPr="00EA2FE3" w:rsidRDefault="009D7561" w:rsidP="00433317">
            <w:pPr>
              <w:snapToGrid w:val="0"/>
              <w:jc w:val="left"/>
            </w:pPr>
            <w:r w:rsidRPr="00EA2FE3">
              <w:t>(N’indique</w:t>
            </w:r>
            <w:r w:rsidR="00433317" w:rsidRPr="00EA2FE3">
              <w:t>r</w:t>
            </w:r>
            <w:r w:rsidRPr="00EA2FE3">
              <w:t xml:space="preserve"> le nombre “1” en aucun cas pour désigner les contrats collectifs </w:t>
            </w:r>
            <w:r w:rsidR="00A343F9">
              <w:t xml:space="preserve">à adhésion facultative </w:t>
            </w:r>
            <w:r w:rsidRPr="00EA2FE3">
              <w:t>ou individuels groupe ouvert)</w:t>
            </w:r>
          </w:p>
        </w:tc>
        <w:tc>
          <w:tcPr>
            <w:tcW w:w="3686" w:type="dxa"/>
          </w:tcPr>
          <w:p w:rsidR="009D7561" w:rsidRPr="00EA2FE3" w:rsidRDefault="009D7561" w:rsidP="004B559B">
            <w:pPr>
              <w:snapToGrid w:val="0"/>
            </w:pPr>
            <w:r w:rsidRPr="00EA2FE3">
              <w:t>Évaluer le nombre de nouveaux contrats au cours de l’exercice N.</w:t>
            </w:r>
          </w:p>
          <w:p w:rsidR="009D7561" w:rsidRPr="00EA2FE3" w:rsidRDefault="009D7561" w:rsidP="004B559B">
            <w:pPr>
              <w:snapToGrid w:val="0"/>
            </w:pPr>
          </w:p>
          <w:p w:rsidR="009D7561" w:rsidRPr="00EA2FE3" w:rsidRDefault="009D7561" w:rsidP="004B559B">
            <w:pPr>
              <w:snapToGrid w:val="0"/>
            </w:pPr>
          </w:p>
        </w:tc>
      </w:tr>
      <w:tr w:rsidR="009D7561" w:rsidRPr="00EA2FE3" w:rsidTr="00232C20">
        <w:trPr>
          <w:trHeight w:val="825"/>
        </w:trPr>
        <w:tc>
          <w:tcPr>
            <w:tcW w:w="2093" w:type="dxa"/>
          </w:tcPr>
          <w:p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rsidR="009D7561" w:rsidRPr="00EA2FE3" w:rsidRDefault="009D7561" w:rsidP="004B559B">
            <w:pPr>
              <w:snapToGrid w:val="0"/>
            </w:pPr>
            <w:r w:rsidRPr="00EA2FE3">
              <w:t>C0150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rsidR="009D7561" w:rsidRPr="00EA2FE3" w:rsidRDefault="009D7561" w:rsidP="004B559B">
            <w:pPr>
              <w:snapToGrid w:val="0"/>
            </w:pPr>
          </w:p>
          <w:p w:rsidR="00FF4FAE" w:rsidRPr="00EA2FE3" w:rsidRDefault="009D7561" w:rsidP="00FF4FAE">
            <w:pPr>
              <w:snapToGrid w:val="0"/>
            </w:pPr>
            <w:r w:rsidRPr="00EA2FE3">
              <w:t xml:space="preserve">NB : </w:t>
            </w:r>
          </w:p>
          <w:p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Les arrivées à terme et passages en rente sont exclus de cette catégorie.</w:t>
            </w:r>
          </w:p>
          <w:p w:rsidR="002F66B5" w:rsidRPr="00EA2FE3" w:rsidRDefault="002F66B5" w:rsidP="00A33DBB"/>
        </w:tc>
        <w:tc>
          <w:tcPr>
            <w:tcW w:w="2126" w:type="dxa"/>
          </w:tcPr>
          <w:p w:rsidR="009D7561" w:rsidRPr="00EA2FE3" w:rsidRDefault="0011149D" w:rsidP="004B559B">
            <w:pPr>
              <w:snapToGrid w:val="0"/>
              <w:rPr>
                <w:i/>
              </w:rPr>
            </w:pPr>
            <w:r>
              <w:rPr>
                <w:i/>
              </w:rPr>
              <w:t>20</w:t>
            </w:r>
          </w:p>
          <w:p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t>ou individuels groupe ouvert)</w:t>
            </w:r>
          </w:p>
        </w:tc>
        <w:tc>
          <w:tcPr>
            <w:tcW w:w="3686" w:type="dxa"/>
          </w:tcPr>
          <w:p w:rsidR="009D7561" w:rsidRPr="00EA2FE3" w:rsidRDefault="009D7561" w:rsidP="004B559B">
            <w:pPr>
              <w:snapToGrid w:val="0"/>
            </w:pPr>
            <w:r w:rsidRPr="00EA2FE3">
              <w:t>Évaluer le nombre de rachats de contrats au cours de l’exercice N</w:t>
            </w:r>
          </w:p>
        </w:tc>
      </w:tr>
      <w:tr w:rsidR="006C50B7" w:rsidRPr="00EA2FE3" w:rsidTr="00232C20">
        <w:trPr>
          <w:trHeight w:val="825"/>
        </w:trPr>
        <w:tc>
          <w:tcPr>
            <w:tcW w:w="2093" w:type="dxa"/>
          </w:tcPr>
          <w:p w:rsidR="006C50B7" w:rsidRPr="00EA2FE3" w:rsidRDefault="006C50B7" w:rsidP="004B559B">
            <w:pPr>
              <w:snapToGrid w:val="0"/>
              <w:rPr>
                <w:b/>
              </w:rPr>
            </w:pPr>
            <w:r w:rsidRPr="00D93190">
              <w:rPr>
                <w:b/>
              </w:rPr>
              <w:t>Autres variations du nombre de contrats (décès, conversion en rente…)</w:t>
            </w:r>
          </w:p>
        </w:tc>
        <w:tc>
          <w:tcPr>
            <w:tcW w:w="998" w:type="dxa"/>
          </w:tcPr>
          <w:p w:rsidR="006C50B7" w:rsidRPr="00EA2FE3" w:rsidRDefault="006C50B7" w:rsidP="006C50B7">
            <w:pPr>
              <w:snapToGrid w:val="0"/>
            </w:pPr>
            <w:r w:rsidRPr="00EA2FE3">
              <w:t>C0</w:t>
            </w:r>
            <w:r>
              <w:t>155</w:t>
            </w:r>
          </w:p>
        </w:tc>
        <w:tc>
          <w:tcPr>
            <w:tcW w:w="4530" w:type="dxa"/>
          </w:tcPr>
          <w:p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rsidR="006C50B7" w:rsidRPr="00EA2FE3" w:rsidRDefault="006C50B7" w:rsidP="00B75113">
            <w:pPr>
              <w:snapToGrid w:val="0"/>
            </w:pPr>
          </w:p>
          <w:p w:rsidR="006C50B7" w:rsidRPr="00EA2FE3" w:rsidRDefault="006C50B7" w:rsidP="00B75113">
            <w:pPr>
              <w:snapToGrid w:val="0"/>
            </w:pPr>
            <w:r w:rsidRPr="00EA2FE3">
              <w:t xml:space="preserve">NB : </w:t>
            </w:r>
          </w:p>
          <w:p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rsidR="006C50B7" w:rsidRPr="00EA2FE3" w:rsidRDefault="006C50B7" w:rsidP="00B75113">
            <w:pPr>
              <w:snapToGrid w:val="0"/>
            </w:pPr>
          </w:p>
          <w:p w:rsidR="006C50B7" w:rsidRPr="00EA2FE3" w:rsidRDefault="006C50B7" w:rsidP="004B559B">
            <w:pPr>
              <w:snapToGrid w:val="0"/>
            </w:pPr>
          </w:p>
        </w:tc>
        <w:tc>
          <w:tcPr>
            <w:tcW w:w="2126" w:type="dxa"/>
          </w:tcPr>
          <w:p w:rsidR="006C50B7" w:rsidRPr="00EA2FE3" w:rsidDel="0011149D" w:rsidRDefault="006C50B7" w:rsidP="004B559B">
            <w:pPr>
              <w:snapToGrid w:val="0"/>
              <w:rPr>
                <w:i/>
              </w:rPr>
            </w:pPr>
            <w:r>
              <w:t>-10</w:t>
            </w:r>
          </w:p>
        </w:tc>
        <w:tc>
          <w:tcPr>
            <w:tcW w:w="3686" w:type="dxa"/>
          </w:tcPr>
          <w:p w:rsidR="006C50B7" w:rsidRPr="00EA2FE3" w:rsidRDefault="006C50B7" w:rsidP="004B559B">
            <w:pPr>
              <w:snapToGrid w:val="0"/>
            </w:pPr>
            <w:r>
              <w:t>Assurer le suivi du nombre de contrats en portefeuille.</w:t>
            </w:r>
          </w:p>
        </w:tc>
      </w:tr>
      <w:tr w:rsidR="006C50B7" w:rsidRPr="00EA2FE3" w:rsidTr="00232C20">
        <w:trPr>
          <w:trHeight w:val="825"/>
        </w:trPr>
        <w:tc>
          <w:tcPr>
            <w:tcW w:w="2093" w:type="dxa"/>
          </w:tcPr>
          <w:p w:rsidR="006C50B7" w:rsidRPr="00EA2FE3" w:rsidRDefault="006C50B7" w:rsidP="004B559B">
            <w:pPr>
              <w:snapToGrid w:val="0"/>
              <w:rPr>
                <w:b/>
              </w:rPr>
            </w:pPr>
            <w:r w:rsidRPr="00EA2FE3">
              <w:rPr>
                <w:b/>
              </w:rPr>
              <w:t>Nombre de contrats en cours à la clôture de l'exercice N</w:t>
            </w:r>
          </w:p>
        </w:tc>
        <w:tc>
          <w:tcPr>
            <w:tcW w:w="998" w:type="dxa"/>
          </w:tcPr>
          <w:p w:rsidR="006C50B7" w:rsidRPr="00EA2FE3" w:rsidRDefault="006C50B7" w:rsidP="004B559B">
            <w:pPr>
              <w:snapToGrid w:val="0"/>
            </w:pPr>
            <w:r w:rsidRPr="00EA2FE3">
              <w:t>C0160</w:t>
            </w:r>
          </w:p>
        </w:tc>
        <w:tc>
          <w:tcPr>
            <w:tcW w:w="4530" w:type="dxa"/>
          </w:tcPr>
          <w:p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rsidR="006C50B7" w:rsidRPr="00EA2FE3" w:rsidRDefault="006C50B7" w:rsidP="004B559B">
            <w:pPr>
              <w:snapToGrid w:val="0"/>
            </w:pPr>
          </w:p>
          <w:p w:rsidR="006C50B7" w:rsidRPr="00EA2FE3" w:rsidRDefault="006C50B7" w:rsidP="008B3834">
            <w:pPr>
              <w:snapToGrid w:val="0"/>
            </w:pPr>
            <w:r w:rsidRPr="00EA2FE3">
              <w:t xml:space="preserve">NB : </w:t>
            </w:r>
          </w:p>
          <w:p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rsidR="006C50B7" w:rsidRPr="00EA2FE3" w:rsidRDefault="006C50B7" w:rsidP="004B559B">
            <w:pPr>
              <w:snapToGrid w:val="0"/>
              <w:rPr>
                <w:i/>
              </w:rPr>
            </w:pPr>
            <w:r w:rsidRPr="00EA2FE3">
              <w:rPr>
                <w:i/>
              </w:rPr>
              <w:t>1</w:t>
            </w:r>
            <w:r>
              <w:rPr>
                <w:i/>
              </w:rPr>
              <w:t>20</w:t>
            </w:r>
          </w:p>
          <w:p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rsidR="006C50B7" w:rsidRPr="00EA2FE3" w:rsidRDefault="006C50B7" w:rsidP="004B559B">
            <w:pPr>
              <w:snapToGrid w:val="0"/>
            </w:pPr>
            <w:r w:rsidRPr="00EA2FE3">
              <w:t>Évaluer le nombre de contrat</w:t>
            </w:r>
            <w:r>
              <w:t>s</w:t>
            </w:r>
            <w:r w:rsidRPr="00EA2FE3">
              <w:t xml:space="preserve"> en stock à la fin de l’exercice N.</w:t>
            </w:r>
          </w:p>
          <w:p w:rsidR="006C50B7" w:rsidRPr="00EA2FE3" w:rsidRDefault="006C50B7" w:rsidP="004B559B">
            <w:pPr>
              <w:snapToGrid w:val="0"/>
            </w:pPr>
          </w:p>
        </w:tc>
      </w:tr>
      <w:tr w:rsidR="0026525A" w:rsidRPr="00EA2FE3" w:rsidTr="00232C20">
        <w:trPr>
          <w:trHeight w:val="825"/>
        </w:trPr>
        <w:tc>
          <w:tcPr>
            <w:tcW w:w="2093" w:type="dxa"/>
          </w:tcPr>
          <w:p w:rsidR="0026525A" w:rsidRPr="00EA2FE3" w:rsidRDefault="0026525A" w:rsidP="004B559B">
            <w:pPr>
              <w:snapToGrid w:val="0"/>
              <w:rPr>
                <w:b/>
              </w:rPr>
            </w:pPr>
            <w:r>
              <w:rPr>
                <w:b/>
              </w:rPr>
              <w:t>Nature du nombre de contrats</w:t>
            </w:r>
          </w:p>
        </w:tc>
        <w:tc>
          <w:tcPr>
            <w:tcW w:w="998" w:type="dxa"/>
          </w:tcPr>
          <w:p w:rsidR="0026525A" w:rsidRPr="00EA2FE3" w:rsidRDefault="0026525A" w:rsidP="004B559B">
            <w:r>
              <w:t>C0165</w:t>
            </w:r>
          </w:p>
        </w:tc>
        <w:tc>
          <w:tcPr>
            <w:tcW w:w="4530" w:type="dxa"/>
          </w:tcPr>
          <w:p w:rsidR="0026525A" w:rsidRDefault="005F20D0" w:rsidP="004B559B">
            <w:pPr>
              <w:snapToGrid w:val="0"/>
            </w:pPr>
            <w:r>
              <w:t>Nature du nombre de contrats reportés dans les champs C0130 à C0160. Il convient de choisir parmi les deux occurrences suivantes proposées :</w:t>
            </w:r>
          </w:p>
          <w:p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rsidR="0026525A" w:rsidRDefault="0026525A" w:rsidP="0026525A">
            <w:pPr>
              <w:snapToGrid w:val="0"/>
            </w:pPr>
            <w:r>
              <w:t>Permettre l’interprétation des nombres de contrats reportés dans les champs précédents.</w:t>
            </w:r>
          </w:p>
          <w:p w:rsidR="005F20D0" w:rsidRDefault="005F20D0" w:rsidP="0026525A">
            <w:pPr>
              <w:snapToGrid w:val="0"/>
            </w:pPr>
          </w:p>
          <w:p w:rsidR="005F20D0" w:rsidRPr="00EA2FE3" w:rsidRDefault="005F20D0" w:rsidP="0026525A">
            <w:pPr>
              <w:snapToGrid w:val="0"/>
            </w:pPr>
            <w:r>
              <w:t>Lorsque le chiffre 1 est rempli, comprendre s’il s’agit d’1 entreprise avec un contrat en masse ou d’1 assuré individuel</w:t>
            </w:r>
          </w:p>
        </w:tc>
      </w:tr>
      <w:tr w:rsidR="006C50B7" w:rsidRPr="00EA2FE3" w:rsidTr="00232C20">
        <w:trPr>
          <w:trHeight w:val="825"/>
        </w:trPr>
        <w:tc>
          <w:tcPr>
            <w:tcW w:w="2093" w:type="dxa"/>
          </w:tcPr>
          <w:p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rsidR="006C50B7" w:rsidRPr="00EA2FE3" w:rsidRDefault="006C50B7" w:rsidP="004B559B">
            <w:r w:rsidRPr="00EA2FE3">
              <w:t>C0170</w:t>
            </w:r>
          </w:p>
        </w:tc>
        <w:tc>
          <w:tcPr>
            <w:tcW w:w="4530" w:type="dxa"/>
          </w:tcPr>
          <w:p w:rsidR="006C50B7" w:rsidRPr="00EA2FE3" w:rsidRDefault="006C50B7" w:rsidP="004B559B">
            <w:pPr>
              <w:snapToGrid w:val="0"/>
            </w:pPr>
            <w:r w:rsidRPr="00EA2FE3">
              <w:t xml:space="preserve">Taux de revalorisation (en %),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rsidR="006C50B7" w:rsidRPr="00EA2FE3" w:rsidRDefault="006C50B7" w:rsidP="004B559B">
            <w:pPr>
              <w:snapToGrid w:val="0"/>
            </w:pPr>
          </w:p>
          <w:p w:rsidR="006C50B7" w:rsidRPr="00EA2FE3" w:rsidRDefault="006C50B7" w:rsidP="004B559B">
            <w:pPr>
              <w:snapToGrid w:val="0"/>
            </w:pPr>
            <w:r w:rsidRPr="00EA2FE3">
              <w:t xml:space="preserve">NB : </w:t>
            </w:r>
          </w:p>
          <w:p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rsidR="006C50B7" w:rsidRPr="00EA2FE3" w:rsidRDefault="006C50B7" w:rsidP="002F66B5">
            <w:pPr>
              <w:rPr>
                <w:szCs w:val="22"/>
              </w:rPr>
            </w:pPr>
          </w:p>
          <w:p w:rsidR="006C50B7" w:rsidRPr="00EA2FE3" w:rsidRDefault="006C50B7" w:rsidP="00FA1DE5">
            <w:pPr>
              <w:snapToGrid w:val="0"/>
            </w:pPr>
          </w:p>
        </w:tc>
        <w:tc>
          <w:tcPr>
            <w:tcW w:w="2126" w:type="dxa"/>
          </w:tcPr>
          <w:p w:rsidR="006C50B7" w:rsidRPr="00EA2FE3" w:rsidRDefault="006C50B7" w:rsidP="004B559B">
            <w:pPr>
              <w:rPr>
                <w:i/>
              </w:rPr>
            </w:pPr>
            <w:r w:rsidRPr="00EA2FE3">
              <w:rPr>
                <w:i/>
              </w:rPr>
              <w:t>3%</w:t>
            </w:r>
          </w:p>
          <w:p w:rsidR="006C50B7" w:rsidRPr="00EA2FE3" w:rsidRDefault="006C50B7" w:rsidP="004B559B"/>
          <w:p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le taux de revalorisation brut sera de 3,5% et le taux net de chargement de gestion de 3%).</w:t>
            </w:r>
          </w:p>
        </w:tc>
        <w:tc>
          <w:tcPr>
            <w:tcW w:w="3686" w:type="dxa"/>
          </w:tcPr>
          <w:p w:rsidR="006C50B7" w:rsidRPr="00EA2FE3" w:rsidRDefault="006C50B7" w:rsidP="004B559B">
            <w:pPr>
              <w:snapToGrid w:val="0"/>
            </w:pPr>
            <w:r w:rsidRPr="00EA2FE3">
              <w:t>Permettre de faire un suivi des taux de revalorisation</w:t>
            </w:r>
            <w:r>
              <w:t xml:space="preserve"> des</w:t>
            </w:r>
            <w:r w:rsidRPr="00EA2FE3">
              <w:t xml:space="preserve"> provisions mathématiques accordés au titre de l’exercice N</w:t>
            </w:r>
          </w:p>
          <w:p w:rsidR="006C50B7" w:rsidRPr="00EA2FE3" w:rsidRDefault="006C50B7" w:rsidP="004B559B">
            <w:pPr>
              <w:snapToGrid w:val="0"/>
            </w:pPr>
          </w:p>
        </w:tc>
      </w:tr>
      <w:tr w:rsidR="006C50B7" w:rsidRPr="00EA2FE3" w:rsidTr="00232C20">
        <w:trPr>
          <w:trHeight w:val="1554"/>
        </w:trPr>
        <w:tc>
          <w:tcPr>
            <w:tcW w:w="2093" w:type="dxa"/>
          </w:tcPr>
          <w:p w:rsidR="006C50B7" w:rsidRPr="00EA2FE3" w:rsidRDefault="006C50B7" w:rsidP="004B559B">
            <w:pPr>
              <w:rPr>
                <w:b/>
              </w:rPr>
            </w:pPr>
            <w:r>
              <w:rPr>
                <w:b/>
              </w:rPr>
              <w:t>Taux de chargement</w:t>
            </w:r>
            <w:r w:rsidRPr="00D93190">
              <w:rPr>
                <w:b/>
              </w:rPr>
              <w:t xml:space="preserve"> de gestion pour l'exercice N</w:t>
            </w:r>
          </w:p>
        </w:tc>
        <w:tc>
          <w:tcPr>
            <w:tcW w:w="998" w:type="dxa"/>
          </w:tcPr>
          <w:p w:rsidR="006C50B7" w:rsidRPr="00EA2FE3" w:rsidRDefault="006C50B7" w:rsidP="00A63CDA">
            <w:r w:rsidRPr="00EA2FE3">
              <w:t>C0</w:t>
            </w:r>
            <w:r w:rsidR="00A63CDA">
              <w:t>175</w:t>
            </w:r>
          </w:p>
        </w:tc>
        <w:tc>
          <w:tcPr>
            <w:tcW w:w="4530" w:type="dxa"/>
          </w:tcPr>
          <w:p w:rsidR="006C50B7" w:rsidRDefault="006C50B7" w:rsidP="00B75113">
            <w:pPr>
              <w:snapToGrid w:val="0"/>
            </w:pPr>
            <w:r>
              <w:t>Taux (en %) de chargements de gestion prélevés par l’organisme au titre de l’année N.</w:t>
            </w:r>
          </w:p>
          <w:p w:rsidR="006C50B7" w:rsidRPr="00EA2FE3" w:rsidRDefault="006C50B7" w:rsidP="00B75113">
            <w:pPr>
              <w:snapToGrid w:val="0"/>
            </w:pPr>
          </w:p>
          <w:p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rsidR="006C50B7" w:rsidRPr="00EA2FE3" w:rsidDel="0011149D" w:rsidRDefault="006C50B7" w:rsidP="004B559B">
            <w:pPr>
              <w:rPr>
                <w:i/>
              </w:rPr>
            </w:pPr>
            <w:r>
              <w:t>0,6%</w:t>
            </w:r>
          </w:p>
        </w:tc>
        <w:tc>
          <w:tcPr>
            <w:tcW w:w="3686" w:type="dxa"/>
          </w:tcPr>
          <w:p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rsidTr="00232C20">
        <w:trPr>
          <w:trHeight w:val="1554"/>
        </w:trPr>
        <w:tc>
          <w:tcPr>
            <w:tcW w:w="2093" w:type="dxa"/>
          </w:tcPr>
          <w:p w:rsidR="006C50B7" w:rsidRPr="00EA2FE3" w:rsidRDefault="006C50B7" w:rsidP="004B559B">
            <w:pPr>
              <w:rPr>
                <w:b/>
              </w:rPr>
            </w:pPr>
            <w:r w:rsidRPr="00EA2FE3">
              <w:rPr>
                <w:b/>
              </w:rPr>
              <w:t xml:space="preserve">Taux servi net de chargement de gestion retenu pour l'exercice N-1 </w:t>
            </w:r>
          </w:p>
          <w:p w:rsidR="006C50B7" w:rsidRPr="00EA2FE3" w:rsidRDefault="006C50B7" w:rsidP="004B559B"/>
        </w:tc>
        <w:tc>
          <w:tcPr>
            <w:tcW w:w="998" w:type="dxa"/>
          </w:tcPr>
          <w:p w:rsidR="006C50B7" w:rsidRPr="00EA2FE3" w:rsidRDefault="006C50B7" w:rsidP="004B559B">
            <w:r w:rsidRPr="00EA2FE3">
              <w:t>C0180</w:t>
            </w:r>
          </w:p>
        </w:tc>
        <w:tc>
          <w:tcPr>
            <w:tcW w:w="4530" w:type="dxa"/>
          </w:tcPr>
          <w:p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rsidR="006C50B7" w:rsidRPr="00EA2FE3" w:rsidRDefault="006C50B7" w:rsidP="009B63FA"/>
          <w:p w:rsidR="006C50B7" w:rsidRPr="00EA2FE3" w:rsidRDefault="006C50B7" w:rsidP="009E290A">
            <w:pPr>
              <w:snapToGrid w:val="0"/>
            </w:pPr>
          </w:p>
        </w:tc>
        <w:tc>
          <w:tcPr>
            <w:tcW w:w="2126" w:type="dxa"/>
          </w:tcPr>
          <w:p w:rsidR="006C50B7" w:rsidRPr="00EA2FE3" w:rsidRDefault="006C50B7" w:rsidP="004B559B">
            <w:pPr>
              <w:rPr>
                <w:i/>
              </w:rPr>
            </w:pPr>
            <w:r>
              <w:rPr>
                <w:i/>
              </w:rPr>
              <w:t>3,5</w:t>
            </w:r>
            <w:r w:rsidRPr="00EA2FE3">
              <w:rPr>
                <w:i/>
              </w:rPr>
              <w:t>%</w:t>
            </w:r>
          </w:p>
        </w:tc>
        <w:tc>
          <w:tcPr>
            <w:tcW w:w="3686" w:type="dxa"/>
          </w:tcPr>
          <w:p w:rsidR="006C50B7" w:rsidRPr="00EA2FE3" w:rsidRDefault="006C50B7" w:rsidP="004B559B">
            <w:pPr>
              <w:snapToGrid w:val="0"/>
            </w:pPr>
            <w:r w:rsidRPr="00EA2FE3">
              <w:t>Permettre de faire un suivi des taux de revalorisation des provisions mathématiques accordés au titre de l’exercice N-1</w:t>
            </w:r>
          </w:p>
          <w:p w:rsidR="006C50B7" w:rsidRPr="00EA2FE3" w:rsidRDefault="006C50B7" w:rsidP="004B559B">
            <w:pPr>
              <w:snapToGrid w:val="0"/>
            </w:pPr>
          </w:p>
        </w:tc>
      </w:tr>
      <w:tr w:rsidR="006C50B7" w:rsidRPr="00EA2FE3" w:rsidTr="00232C20">
        <w:tc>
          <w:tcPr>
            <w:tcW w:w="2093" w:type="dxa"/>
          </w:tcPr>
          <w:p w:rsidR="00B75113" w:rsidRPr="00B75113" w:rsidRDefault="00B75113" w:rsidP="00B75113">
            <w:pPr>
              <w:rPr>
                <w:b/>
              </w:rPr>
            </w:pPr>
            <w:r w:rsidRPr="00B75113">
              <w:rPr>
                <w:b/>
              </w:rPr>
              <w:t>Taux non-discrétionnaire (y compris intérêts techniques) net de chargement de gestion pour l'exercice N</w:t>
            </w:r>
          </w:p>
          <w:p w:rsidR="006C50B7" w:rsidRPr="00EA2FE3" w:rsidRDefault="006C50B7" w:rsidP="00A13D17">
            <w:pPr>
              <w:rPr>
                <w:b/>
              </w:rPr>
            </w:pPr>
          </w:p>
        </w:tc>
        <w:tc>
          <w:tcPr>
            <w:tcW w:w="998" w:type="dxa"/>
          </w:tcPr>
          <w:p w:rsidR="006C50B7" w:rsidRPr="00EA2FE3" w:rsidRDefault="006C50B7" w:rsidP="004B559B">
            <w:r w:rsidRPr="00EA2FE3">
              <w:t>C019</w:t>
            </w:r>
            <w:ins w:id="15" w:author="CAPITAINE Gaëlle (UA 2771)" w:date="2019-11-15T15:46:00Z">
              <w:r w:rsidR="000509EF">
                <w:t>5</w:t>
              </w:r>
            </w:ins>
            <w:del w:id="16" w:author="CAPITAINE Gaëlle (UA 2771)" w:date="2019-11-15T15:46:00Z">
              <w:r w:rsidRPr="00EA2FE3" w:rsidDel="000509EF">
                <w:delText>0</w:delText>
              </w:r>
            </w:del>
          </w:p>
        </w:tc>
        <w:tc>
          <w:tcPr>
            <w:tcW w:w="4530" w:type="dxa"/>
          </w:tcPr>
          <w:p w:rsidR="006C50B7" w:rsidRPr="00EA2FE3" w:rsidRDefault="006C50B7" w:rsidP="004B559B">
            <w:r>
              <w:t>Taux</w:t>
            </w:r>
            <w:r w:rsidRPr="00EA2FE3">
              <w:t xml:space="preserve"> (en </w:t>
            </w:r>
            <w:r>
              <w:t>%</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rsidR="006C50B7" w:rsidRPr="00EA2FE3" w:rsidRDefault="006C50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rsidR="006C50B7" w:rsidRPr="00EA2FE3" w:rsidRDefault="006C50B7" w:rsidP="004B559B">
            <w:r>
              <w:t>C</w:t>
            </w:r>
            <w:r w:rsidRPr="00EA2FE3">
              <w:t xml:space="preserve">e </w:t>
            </w:r>
            <w:r>
              <w:t>taux</w:t>
            </w:r>
            <w:r w:rsidRPr="00EA2FE3">
              <w:t xml:space="preserve"> doit en outre  inclure les montants distribués aux PM qui sont sorties dans l’année (rachat totaux ou partiels, arbitrages, terme, décès …) au titre de la revalorisation garantie selon la définition ci-dessus. </w:t>
            </w:r>
          </w:p>
          <w:p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rsidR="006C50B7" w:rsidRPr="00EA2FE3" w:rsidRDefault="006C50B7" w:rsidP="004B559B">
            <w:pPr>
              <w:autoSpaceDE w:val="0"/>
              <w:autoSpaceDN w:val="0"/>
              <w:adjustRightInd w:val="0"/>
            </w:pPr>
            <w:r w:rsidRPr="00EA2FE3">
              <w:t xml:space="preserve">NB : </w:t>
            </w:r>
          </w:p>
          <w:p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rsidR="006C50B7" w:rsidRDefault="006C50B7" w:rsidP="00BD00B8">
            <w:pPr>
              <w:numPr>
                <w:ilvl w:val="0"/>
                <w:numId w:val="10"/>
              </w:numPr>
              <w:autoSpaceDE w:val="0"/>
              <w:autoSpaceDN w:val="0"/>
              <w:adjustRightInd w:val="0"/>
            </w:pPr>
            <w:r>
              <w:t>du taux technique ;</w:t>
            </w:r>
          </w:p>
          <w:p w:rsidR="006C50B7" w:rsidRPr="00EA2FE3" w:rsidRDefault="006C50B7" w:rsidP="00BD00B8">
            <w:pPr>
              <w:numPr>
                <w:ilvl w:val="0"/>
                <w:numId w:val="10"/>
              </w:numPr>
              <w:autoSpaceDE w:val="0"/>
              <w:autoSpaceDN w:val="0"/>
              <w:adjustRightInd w:val="0"/>
            </w:pPr>
            <w:r w:rsidRPr="00EA2FE3">
              <w:t xml:space="preserve">du taux minimum garanti, au sens des </w:t>
            </w:r>
            <w:hyperlink r:id="rId17" w:history="1">
              <w:r w:rsidRPr="00EA2FE3">
                <w:rPr>
                  <w:rStyle w:val="Lienhypertexte"/>
                </w:rPr>
                <w:t>articles A132-2 et A132-3 du code des Assurances</w:t>
              </w:r>
            </w:hyperlink>
            <w:r w:rsidRPr="00EA2FE3">
              <w:rPr>
                <w:rStyle w:val="Lienhypertexte"/>
              </w:rPr>
              <w:t>, A932-3-3 du code de la Sécurité Sociale</w:t>
            </w:r>
            <w:r w:rsidRPr="00EA2FE3">
              <w:t> ;</w:t>
            </w:r>
          </w:p>
          <w:p w:rsidR="006C50B7" w:rsidRPr="00EA2FE3" w:rsidRDefault="006C50B7" w:rsidP="00BD00B8">
            <w:pPr>
              <w:numPr>
                <w:ilvl w:val="0"/>
                <w:numId w:val="10"/>
              </w:numPr>
              <w:autoSpaceDE w:val="0"/>
              <w:autoSpaceDN w:val="0"/>
              <w:adjustRightInd w:val="0"/>
            </w:pPr>
            <w:r w:rsidRPr="00EA2FE3">
              <w:t>d’un taux promotionnel ;</w:t>
            </w:r>
          </w:p>
          <w:p w:rsidR="006C50B7" w:rsidRPr="00EA2FE3" w:rsidRDefault="006C50B7" w:rsidP="00BD00B8">
            <w:pPr>
              <w:numPr>
                <w:ilvl w:val="0"/>
                <w:numId w:val="10"/>
              </w:numPr>
              <w:autoSpaceDE w:val="0"/>
              <w:autoSpaceDN w:val="0"/>
              <w:adjustRightInd w:val="0"/>
            </w:pPr>
            <w:r w:rsidRPr="00EA2FE3">
              <w:t>d’une bonification contractuelle (fidélité …) ;</w:t>
            </w:r>
          </w:p>
          <w:p w:rsidR="006C50B7" w:rsidRPr="00EA2FE3" w:rsidRDefault="006C50B7" w:rsidP="00BD00B8">
            <w:pPr>
              <w:numPr>
                <w:ilvl w:val="0"/>
                <w:numId w:val="10"/>
              </w:numPr>
              <w:autoSpaceDE w:val="0"/>
              <w:autoSpaceDN w:val="0"/>
              <w:adjustRightInd w:val="0"/>
            </w:pPr>
            <w:r w:rsidRPr="00EA2FE3">
              <w:t>d’une clause contractuelle de participation aux bénéfices.</w:t>
            </w:r>
          </w:p>
          <w:p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rsidR="006C50B7" w:rsidRPr="00BB0767" w:rsidRDefault="006C50B7" w:rsidP="00BB0767">
            <w:pPr>
              <w:rPr>
                <w:szCs w:val="22"/>
              </w:rPr>
            </w:pPr>
          </w:p>
        </w:tc>
        <w:tc>
          <w:tcPr>
            <w:tcW w:w="2126" w:type="dxa"/>
          </w:tcPr>
          <w:p w:rsidR="006C50B7" w:rsidRPr="00EA2FE3" w:rsidRDefault="006C50B7" w:rsidP="004B559B">
            <w:pPr>
              <w:rPr>
                <w:i/>
              </w:rPr>
            </w:pPr>
            <w:r>
              <w:rPr>
                <w:i/>
              </w:rPr>
              <w:t>0,9%</w:t>
            </w:r>
          </w:p>
        </w:tc>
        <w:tc>
          <w:tcPr>
            <w:tcW w:w="3686" w:type="dxa"/>
          </w:tcPr>
          <w:p w:rsidR="006C50B7" w:rsidRPr="00EA2FE3" w:rsidRDefault="006C50B7" w:rsidP="003A1178">
            <w:r w:rsidRPr="00EA2FE3">
              <w:t xml:space="preserve">Avoir le suivi du minimum de revalorisation des contrats que l’assureur doit servir au titre de l’année N </w:t>
            </w:r>
          </w:p>
        </w:tc>
      </w:tr>
      <w:tr w:rsidR="006C50B7" w:rsidRPr="00EA2FE3" w:rsidTr="00232C20">
        <w:tc>
          <w:tcPr>
            <w:tcW w:w="2093" w:type="dxa"/>
          </w:tcPr>
          <w:p w:rsidR="006C50B7" w:rsidRPr="00EA2FE3" w:rsidRDefault="006C50B7" w:rsidP="004B559B">
            <w:pPr>
              <w:rPr>
                <w:b/>
              </w:rPr>
            </w:pPr>
            <w:r w:rsidRPr="00EA2FE3">
              <w:rPr>
                <w:b/>
              </w:rPr>
              <w:t>Montant de primes émises dans l'exercice N, nettes d'annulations</w:t>
            </w:r>
          </w:p>
        </w:tc>
        <w:tc>
          <w:tcPr>
            <w:tcW w:w="998" w:type="dxa"/>
          </w:tcPr>
          <w:p w:rsidR="006C50B7" w:rsidRPr="00EA2FE3" w:rsidRDefault="006C50B7" w:rsidP="004B559B">
            <w:r w:rsidRPr="00EA2FE3">
              <w:t>C0200</w:t>
            </w:r>
          </w:p>
        </w:tc>
        <w:tc>
          <w:tcPr>
            <w:tcW w:w="4530" w:type="dxa"/>
          </w:tcPr>
          <w:p w:rsidR="006C50B7" w:rsidRPr="00EA2FE3" w:rsidRDefault="006C50B7" w:rsidP="00E7438A">
            <w:r w:rsidRPr="00EA2FE3">
              <w:t>Montant de pri</w:t>
            </w:r>
            <w:r>
              <w:t xml:space="preserve">mes émises au cours de </w:t>
            </w:r>
            <w:r w:rsidRPr="00EA2FE3">
              <w:t xml:space="preserve"> l’exercice inventorié N au titre des contrats, nettes d'annulations  </w:t>
            </w:r>
            <w:r>
              <w:t xml:space="preserve">et nettes de chargements sur primes </w:t>
            </w:r>
            <w:r w:rsidRPr="00EA2FE3">
              <w:t>(en euros).</w:t>
            </w:r>
          </w:p>
          <w:p w:rsidR="006C50B7" w:rsidRPr="00EA2FE3" w:rsidRDefault="006C50B7" w:rsidP="00D03E6D"/>
        </w:tc>
        <w:tc>
          <w:tcPr>
            <w:tcW w:w="2126" w:type="dxa"/>
          </w:tcPr>
          <w:p w:rsidR="006C50B7" w:rsidRPr="00EA2FE3" w:rsidRDefault="006C50B7" w:rsidP="004B559B">
            <w:pPr>
              <w:rPr>
                <w:i/>
              </w:rPr>
            </w:pPr>
            <w:r w:rsidRPr="00EA2FE3">
              <w:rPr>
                <w:i/>
              </w:rPr>
              <w:t>42</w:t>
            </w:r>
            <w:r>
              <w:rPr>
                <w:i/>
              </w:rPr>
              <w:t>0000</w:t>
            </w:r>
          </w:p>
        </w:tc>
        <w:tc>
          <w:tcPr>
            <w:tcW w:w="3686" w:type="dxa"/>
          </w:tcPr>
          <w:p w:rsidR="006C50B7" w:rsidRPr="00EA2FE3" w:rsidRDefault="006C50B7" w:rsidP="004B559B">
            <w:pPr>
              <w:snapToGrid w:val="0"/>
            </w:pPr>
            <w:r w:rsidRPr="00EA2FE3">
              <w:t>Évaluer le montant des pri</w:t>
            </w:r>
            <w:r>
              <w:t>mes par contrat</w:t>
            </w:r>
            <w:r w:rsidRPr="00EA2FE3">
              <w:t xml:space="preserve"> pour l’exercice N.</w:t>
            </w:r>
          </w:p>
          <w:p w:rsidR="006C50B7" w:rsidRPr="00EA2FE3" w:rsidRDefault="006C50B7" w:rsidP="004B559B">
            <w:pPr>
              <w:snapToGrid w:val="0"/>
            </w:pPr>
          </w:p>
          <w:p w:rsidR="006C50B7" w:rsidRPr="00EA2FE3" w:rsidRDefault="006C50B7" w:rsidP="004B559B">
            <w:pPr>
              <w:snapToGrid w:val="0"/>
            </w:pPr>
          </w:p>
        </w:tc>
      </w:tr>
      <w:tr w:rsidR="006C50B7" w:rsidRPr="00EA2FE3" w:rsidTr="00232C20">
        <w:tc>
          <w:tcPr>
            <w:tcW w:w="2093" w:type="dxa"/>
          </w:tcPr>
          <w:p w:rsidR="006C50B7" w:rsidRPr="00EA2FE3" w:rsidRDefault="006C50B7" w:rsidP="004B559B">
            <w:pPr>
              <w:rPr>
                <w:b/>
              </w:rPr>
            </w:pPr>
            <w:r w:rsidRPr="00EA2FE3">
              <w:rPr>
                <w:b/>
              </w:rPr>
              <w:t>Montant des arbitrages entrants au cours de l'exercice N</w:t>
            </w:r>
          </w:p>
        </w:tc>
        <w:tc>
          <w:tcPr>
            <w:tcW w:w="998" w:type="dxa"/>
          </w:tcPr>
          <w:p w:rsidR="006C50B7" w:rsidRPr="00EA2FE3" w:rsidRDefault="006C50B7" w:rsidP="004B559B">
            <w:r w:rsidRPr="00EA2FE3">
              <w:t>C0210</w:t>
            </w:r>
          </w:p>
        </w:tc>
        <w:tc>
          <w:tcPr>
            <w:tcW w:w="4530" w:type="dxa"/>
          </w:tcPr>
          <w:p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rsidR="006C50B7" w:rsidRPr="00EA2FE3" w:rsidRDefault="006C50B7" w:rsidP="00D03E6D">
            <w:pPr>
              <w:pStyle w:val="Paragraphedeliste"/>
              <w:snapToGrid w:val="0"/>
            </w:pPr>
          </w:p>
        </w:tc>
        <w:tc>
          <w:tcPr>
            <w:tcW w:w="2126" w:type="dxa"/>
          </w:tcPr>
          <w:p w:rsidR="006C50B7" w:rsidRPr="00EA2FE3" w:rsidRDefault="006C50B7" w:rsidP="002934CC">
            <w:pPr>
              <w:rPr>
                <w:i/>
              </w:rPr>
            </w:pPr>
            <w:r w:rsidRPr="00EA2FE3">
              <w:rPr>
                <w:i/>
              </w:rPr>
              <w:t>1</w:t>
            </w:r>
            <w:r>
              <w:rPr>
                <w:i/>
              </w:rPr>
              <w:t>0000</w:t>
            </w:r>
          </w:p>
        </w:tc>
        <w:tc>
          <w:tcPr>
            <w:tcW w:w="3686" w:type="dxa"/>
          </w:tcPr>
          <w:p w:rsidR="006C50B7" w:rsidRPr="00EA2FE3" w:rsidRDefault="006C50B7" w:rsidP="004B559B">
            <w:pPr>
              <w:snapToGrid w:val="0"/>
            </w:pPr>
            <w:r w:rsidRPr="00EA2FE3">
              <w:t>Identifier les modifications de répartition entre les supports d’épargne.</w:t>
            </w:r>
          </w:p>
        </w:tc>
      </w:tr>
      <w:tr w:rsidR="006C50B7" w:rsidRPr="00EA2FE3" w:rsidTr="00232C20">
        <w:tc>
          <w:tcPr>
            <w:tcW w:w="2093" w:type="dxa"/>
          </w:tcPr>
          <w:p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rsidR="006C50B7" w:rsidRPr="00EA2FE3" w:rsidRDefault="006C50B7" w:rsidP="004B559B">
            <w:r w:rsidRPr="00EA2FE3">
              <w:t>C0220</w:t>
            </w:r>
          </w:p>
        </w:tc>
        <w:tc>
          <w:tcPr>
            <w:tcW w:w="4530" w:type="dxa"/>
          </w:tcPr>
          <w:p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rsidR="006C50B7" w:rsidRPr="00EA2FE3" w:rsidRDefault="006C50B7" w:rsidP="00D03E6D">
            <w:pPr>
              <w:pStyle w:val="Paragraphedeliste"/>
            </w:pPr>
          </w:p>
        </w:tc>
        <w:tc>
          <w:tcPr>
            <w:tcW w:w="2126" w:type="dxa"/>
          </w:tcPr>
          <w:p w:rsidR="006C50B7" w:rsidRPr="00EA2FE3" w:rsidRDefault="006C50B7" w:rsidP="004B559B">
            <w:pPr>
              <w:rPr>
                <w:i/>
              </w:rPr>
            </w:pPr>
            <w:r>
              <w:rPr>
                <w:i/>
              </w:rPr>
              <w:t>70000</w:t>
            </w:r>
          </w:p>
        </w:tc>
        <w:tc>
          <w:tcPr>
            <w:tcW w:w="3686" w:type="dxa"/>
          </w:tcPr>
          <w:p w:rsidR="006C50B7" w:rsidRPr="00EA2FE3" w:rsidRDefault="006C50B7" w:rsidP="004B559B">
            <w:pPr>
              <w:snapToGrid w:val="0"/>
            </w:pPr>
            <w:r w:rsidRPr="00EA2FE3">
              <w:t>Identifier les modifications de répartition entre les supports d’épargne.</w:t>
            </w:r>
          </w:p>
        </w:tc>
      </w:tr>
      <w:tr w:rsidR="006C50B7" w:rsidRPr="00EA2FE3" w:rsidTr="00232C20">
        <w:tc>
          <w:tcPr>
            <w:tcW w:w="2093" w:type="dxa"/>
          </w:tcPr>
          <w:p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rsidR="006C50B7" w:rsidRPr="00EA2FE3" w:rsidRDefault="006C50B7" w:rsidP="004B559B">
            <w:r w:rsidRPr="00EA2FE3">
              <w:t>C0230</w:t>
            </w:r>
          </w:p>
        </w:tc>
        <w:tc>
          <w:tcPr>
            <w:tcW w:w="4530" w:type="dxa"/>
          </w:tcPr>
          <w:p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rsidR="006C50B7" w:rsidRPr="00EA2FE3" w:rsidRDefault="006C50B7" w:rsidP="004B559B">
            <w:r w:rsidRPr="00EA2FE3">
              <w:t>NB :</w:t>
            </w:r>
          </w:p>
          <w:p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Les arrivées à terme et passages en rente sont exclus de cette catégorie</w:t>
            </w:r>
          </w:p>
          <w:p w:rsidR="006C50B7" w:rsidRPr="00EA2FE3" w:rsidRDefault="006C50B7" w:rsidP="00856BC7">
            <w:pPr>
              <w:rPr>
                <w:szCs w:val="22"/>
              </w:rPr>
            </w:pPr>
          </w:p>
          <w:p w:rsidR="006C50B7" w:rsidRPr="00EA2FE3" w:rsidRDefault="006C50B7" w:rsidP="005A1F96">
            <w:pPr>
              <w:rPr>
                <w:szCs w:val="22"/>
              </w:rPr>
            </w:pPr>
          </w:p>
        </w:tc>
        <w:tc>
          <w:tcPr>
            <w:tcW w:w="2126" w:type="dxa"/>
          </w:tcPr>
          <w:p w:rsidR="006C50B7" w:rsidRPr="00EA2FE3" w:rsidRDefault="006C50B7" w:rsidP="004B559B">
            <w:r>
              <w:t>60000</w:t>
            </w:r>
          </w:p>
        </w:tc>
        <w:tc>
          <w:tcPr>
            <w:tcW w:w="3686" w:type="dxa"/>
          </w:tcPr>
          <w:p w:rsidR="006C50B7" w:rsidRPr="00EA2FE3" w:rsidRDefault="006C50B7" w:rsidP="004B559B">
            <w:pPr>
              <w:snapToGrid w:val="0"/>
            </w:pPr>
            <w:r w:rsidRPr="00EA2FE3">
              <w:t xml:space="preserve">Évaluer le montant des rachats par contrats pour l’exercice N. </w:t>
            </w:r>
          </w:p>
          <w:p w:rsidR="006C50B7" w:rsidRPr="00EA2FE3" w:rsidRDefault="006C50B7" w:rsidP="004B559B"/>
        </w:tc>
      </w:tr>
      <w:tr w:rsidR="006C50B7" w:rsidRPr="00EA2FE3" w:rsidTr="00232C20">
        <w:tc>
          <w:tcPr>
            <w:tcW w:w="2093" w:type="dxa"/>
          </w:tcPr>
          <w:p w:rsidR="006C50B7" w:rsidRPr="00EA2FE3" w:rsidRDefault="006C50B7" w:rsidP="009B346F">
            <w:pPr>
              <w:rPr>
                <w:b/>
              </w:rPr>
            </w:pPr>
            <w:r w:rsidRPr="00EA2FE3">
              <w:rPr>
                <w:b/>
              </w:rPr>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rsidR="006C50B7" w:rsidRPr="00EA2FE3" w:rsidRDefault="006C50B7" w:rsidP="004B559B">
            <w:r w:rsidRPr="00EA2FE3">
              <w:t>C0240</w:t>
            </w:r>
          </w:p>
        </w:tc>
        <w:tc>
          <w:tcPr>
            <w:tcW w:w="4530" w:type="dxa"/>
          </w:tcPr>
          <w:p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prélèvements fiscaux et sociaux et </w:t>
            </w:r>
            <w:r>
              <w:t xml:space="preserve">net </w:t>
            </w:r>
            <w:r w:rsidRPr="00EA2FE3">
              <w:t>de frais de sortie.</w:t>
            </w:r>
          </w:p>
          <w:p w:rsidR="006C50B7" w:rsidRPr="00EA2FE3" w:rsidRDefault="006C50B7" w:rsidP="00E7438A"/>
          <w:p w:rsidR="006C50B7" w:rsidRPr="00EA2FE3" w:rsidRDefault="006C50B7" w:rsidP="005A1F96"/>
        </w:tc>
        <w:tc>
          <w:tcPr>
            <w:tcW w:w="2126" w:type="dxa"/>
          </w:tcPr>
          <w:p w:rsidR="006C50B7" w:rsidRPr="00EA2FE3" w:rsidRDefault="006C50B7" w:rsidP="004B559B">
            <w:r>
              <w:t>50000</w:t>
            </w:r>
          </w:p>
        </w:tc>
        <w:tc>
          <w:tcPr>
            <w:tcW w:w="3686" w:type="dxa"/>
          </w:tcPr>
          <w:p w:rsidR="006C50B7" w:rsidRPr="00EA2FE3" w:rsidRDefault="006C50B7" w:rsidP="004B559B">
            <w:r w:rsidRPr="00EA2FE3">
              <w:t>Évaluer le montant des contrats arrivés à terme dans l'exercice N</w:t>
            </w:r>
          </w:p>
        </w:tc>
      </w:tr>
      <w:tr w:rsidR="00D70291" w:rsidRPr="00EA2FE3" w:rsidTr="00232C20">
        <w:tc>
          <w:tcPr>
            <w:tcW w:w="2093" w:type="dxa"/>
          </w:tcPr>
          <w:p w:rsidR="00D70291" w:rsidRPr="00EA2FE3" w:rsidRDefault="00D70291" w:rsidP="009B346F">
            <w:pPr>
              <w:rPr>
                <w:b/>
              </w:rPr>
            </w:pPr>
            <w:r>
              <w:rPr>
                <w:b/>
              </w:rPr>
              <w:t>Autres variations des Provisions Mathématiques au cours de l’exercice N</w:t>
            </w:r>
          </w:p>
        </w:tc>
        <w:tc>
          <w:tcPr>
            <w:tcW w:w="998" w:type="dxa"/>
          </w:tcPr>
          <w:p w:rsidR="00D70291" w:rsidRPr="00EA2FE3" w:rsidRDefault="00D70291" w:rsidP="004B559B">
            <w:r>
              <w:t>C0245</w:t>
            </w:r>
          </w:p>
        </w:tc>
        <w:tc>
          <w:tcPr>
            <w:tcW w:w="4530" w:type="dxa"/>
          </w:tcPr>
          <w:p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rsidR="00D70291" w:rsidRPr="00EA2FE3" w:rsidRDefault="00D70291" w:rsidP="00D70291">
            <w:r>
              <w:t>Cette catégorie comprend notamment les provisions passées en phase de rente courant N.</w:t>
            </w:r>
          </w:p>
          <w:p w:rsidR="00D70291" w:rsidRPr="00EA2FE3" w:rsidRDefault="00D70291" w:rsidP="00E7438A"/>
        </w:tc>
        <w:tc>
          <w:tcPr>
            <w:tcW w:w="2126" w:type="dxa"/>
          </w:tcPr>
          <w:p w:rsidR="00D70291" w:rsidRPr="00EA2FE3" w:rsidDel="002934CC" w:rsidRDefault="00FF76C1" w:rsidP="004B559B">
            <w:r>
              <w:t>250000</w:t>
            </w:r>
          </w:p>
        </w:tc>
        <w:tc>
          <w:tcPr>
            <w:tcW w:w="3686" w:type="dxa"/>
          </w:tcPr>
          <w:p w:rsidR="00D70291" w:rsidRPr="00EA2FE3" w:rsidRDefault="00FF76C1" w:rsidP="004B559B">
            <w:r>
              <w:t>Pouvoir reconstituer les mouvements de provision</w:t>
            </w:r>
          </w:p>
        </w:tc>
      </w:tr>
      <w:tr w:rsidR="006C50B7" w:rsidRPr="00EA2FE3" w:rsidTr="00232C20">
        <w:tc>
          <w:tcPr>
            <w:tcW w:w="2093" w:type="dxa"/>
          </w:tcPr>
          <w:p w:rsidR="006C50B7" w:rsidRPr="00EA2FE3" w:rsidRDefault="006C50B7" w:rsidP="00BD00B8">
            <w:pPr>
              <w:rPr>
                <w:b/>
              </w:rPr>
            </w:pPr>
            <w:r w:rsidRPr="00EA2FE3">
              <w:rPr>
                <w:b/>
              </w:rPr>
              <w:t xml:space="preserve">Montant des valeurs de rachat à la clôture de l’exercice N </w:t>
            </w:r>
          </w:p>
        </w:tc>
        <w:tc>
          <w:tcPr>
            <w:tcW w:w="998" w:type="dxa"/>
          </w:tcPr>
          <w:p w:rsidR="006C50B7" w:rsidRPr="00EA2FE3" w:rsidRDefault="006C50B7" w:rsidP="004B559B">
            <w:r w:rsidRPr="00EA2FE3">
              <w:t>C0250</w:t>
            </w:r>
          </w:p>
        </w:tc>
        <w:tc>
          <w:tcPr>
            <w:tcW w:w="4530" w:type="dxa"/>
          </w:tcPr>
          <w:p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rsidR="00E81464" w:rsidRDefault="00E81464" w:rsidP="00E7438A"/>
          <w:p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certains contrats </w:t>
            </w:r>
            <w:r w:rsidR="00E33A8F" w:rsidRPr="00A000C4">
              <w:rPr>
                <w:rFonts w:ascii="Times New Roman" w:hAnsi="Times New Roman"/>
                <w:sz w:val="22"/>
                <w:szCs w:val="22"/>
              </w:rPr>
              <w:t xml:space="preserve">prévues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E33A8F" w:rsidRPr="00A000C4">
              <w:rPr>
                <w:rFonts w:ascii="Times New Roman" w:hAnsi="Times New Roman"/>
                <w:color w:val="404041"/>
                <w:sz w:val="22"/>
                <w:szCs w:val="22"/>
              </w:rPr>
              <w:t xml:space="preserve"> </w:t>
            </w:r>
            <w:r w:rsidR="004B63A8" w:rsidRPr="00A000C4">
              <w:rPr>
                <w:rFonts w:ascii="Times New Roman" w:hAnsi="Times New Roman"/>
                <w:sz w:val="22"/>
                <w:szCs w:val="22"/>
              </w:rPr>
              <w:t>donnent lieu à des valeurs de rachat non nulles à hauteur des sommes pouvant être rachetées.</w:t>
            </w:r>
          </w:p>
          <w:p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ne donnent pas lieu à des valeurs de rachat non nulles.</w:t>
            </w:r>
          </w:p>
          <w:p w:rsidR="006C50B7" w:rsidRPr="00EA2FE3" w:rsidRDefault="006C50B7" w:rsidP="00E80677"/>
        </w:tc>
        <w:tc>
          <w:tcPr>
            <w:tcW w:w="2126" w:type="dxa"/>
          </w:tcPr>
          <w:p w:rsidR="006C50B7" w:rsidRPr="00EA2FE3" w:rsidRDefault="00E81464" w:rsidP="004B559B">
            <w:r>
              <w:t>10000</w:t>
            </w:r>
          </w:p>
        </w:tc>
        <w:tc>
          <w:tcPr>
            <w:tcW w:w="3686" w:type="dxa"/>
          </w:tcPr>
          <w:p w:rsidR="006C50B7" w:rsidRPr="00EA2FE3" w:rsidRDefault="006C50B7" w:rsidP="00222E94">
            <w:r w:rsidRPr="00EA2FE3">
              <w:t xml:space="preserve"> Évaluer le montant des valeurs de rachat à la clôture de l'exercice N</w:t>
            </w:r>
          </w:p>
        </w:tc>
      </w:tr>
      <w:tr w:rsidR="006C50B7" w:rsidRPr="00EA2FE3" w:rsidTr="00232C20">
        <w:tc>
          <w:tcPr>
            <w:tcW w:w="2093" w:type="dxa"/>
          </w:tcPr>
          <w:p w:rsidR="006C50B7" w:rsidRPr="00EA2FE3" w:rsidRDefault="006C50B7" w:rsidP="004B559B">
            <w:pPr>
              <w:rPr>
                <w:b/>
              </w:rPr>
            </w:pPr>
            <w:r w:rsidRPr="00EA2FE3">
              <w:rPr>
                <w:b/>
              </w:rPr>
              <w:t xml:space="preserve">Montant des Provisions Mathématiques à la clôture de l’exercice N </w:t>
            </w:r>
          </w:p>
        </w:tc>
        <w:tc>
          <w:tcPr>
            <w:tcW w:w="998" w:type="dxa"/>
          </w:tcPr>
          <w:p w:rsidR="006C50B7" w:rsidRPr="00EA2FE3" w:rsidRDefault="006C50B7" w:rsidP="004B559B">
            <w:r w:rsidRPr="00EA2FE3">
              <w:t>C0270</w:t>
            </w:r>
          </w:p>
        </w:tc>
        <w:tc>
          <w:tcPr>
            <w:tcW w:w="4530" w:type="dxa"/>
          </w:tcPr>
          <w:p w:rsidR="006C50B7" w:rsidRPr="00EA2FE3" w:rsidRDefault="006C50B7" w:rsidP="004B559B">
            <w:pPr>
              <w:snapToGrid w:val="0"/>
            </w:pPr>
            <w:r w:rsidRPr="00EA2FE3">
              <w:t xml:space="preserve">La provision mathématique (en euros) est calculée version de contrat par version de contrat. </w:t>
            </w:r>
          </w:p>
          <w:p w:rsidR="006C50B7" w:rsidRDefault="006C50B7" w:rsidP="004B559B">
            <w:pPr>
              <w:snapToGrid w:val="0"/>
            </w:pPr>
            <w:r w:rsidRPr="00EA2FE3">
              <w:t>Elle ne peut être ni négative ni inférieure à la valeur de rachat du contrat dans le cas des supports euros.</w:t>
            </w:r>
          </w:p>
          <w:p w:rsidR="006C50B7" w:rsidRDefault="006C50B7" w:rsidP="004B559B">
            <w:pPr>
              <w:snapToGrid w:val="0"/>
            </w:pPr>
          </w:p>
          <w:p w:rsidR="006C50B7" w:rsidRPr="00EA2FE3" w:rsidRDefault="006C50B7" w:rsidP="004B559B">
            <w:pPr>
              <w:snapToGrid w:val="0"/>
            </w:pPr>
            <w:r>
              <w:t>Pour les contrats de catégorie 10 (article L441-1), les Provisions Mathématiques attendues correspondent aux Provisions Mathématiques Théoriques.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rsidR="006C50B7" w:rsidRPr="00EA2FE3" w:rsidRDefault="006C50B7" w:rsidP="004B559B">
            <w:pPr>
              <w:snapToGrid w:val="0"/>
            </w:pPr>
          </w:p>
          <w:p w:rsidR="006C50B7" w:rsidRPr="00EA2FE3" w:rsidRDefault="006C50B7" w:rsidP="005A1F96">
            <w:pPr>
              <w:snapToGrid w:val="0"/>
            </w:pPr>
          </w:p>
        </w:tc>
        <w:tc>
          <w:tcPr>
            <w:tcW w:w="2126" w:type="dxa"/>
          </w:tcPr>
          <w:p w:rsidR="006C50B7" w:rsidRPr="00EA2FE3" w:rsidRDefault="006C50B7" w:rsidP="00FF76C1">
            <w:r>
              <w:t>42</w:t>
            </w:r>
            <w:r w:rsidR="00FF76C1">
              <w:t>25</w:t>
            </w:r>
            <w:r>
              <w:t>000</w:t>
            </w:r>
          </w:p>
        </w:tc>
        <w:tc>
          <w:tcPr>
            <w:tcW w:w="3686" w:type="dxa"/>
          </w:tcPr>
          <w:p w:rsidR="006C50B7" w:rsidRPr="00EA2FE3" w:rsidRDefault="006C50B7" w:rsidP="004B559B">
            <w:r w:rsidRPr="00EA2FE3">
              <w:t>Évaluer le montant des PM par contrats à la clôture de l’exercice N.</w:t>
            </w:r>
          </w:p>
          <w:p w:rsidR="006C50B7" w:rsidRPr="00EA2FE3" w:rsidRDefault="006C50B7" w:rsidP="004B559B"/>
          <w:p w:rsidR="006C50B7" w:rsidRPr="00EA2FE3" w:rsidRDefault="006C50B7" w:rsidP="004B559B">
            <w:r w:rsidRPr="00EA2FE3">
              <w:t>PM utilisées dans les comptes sociaux.</w:t>
            </w:r>
          </w:p>
        </w:tc>
      </w:tr>
      <w:tr w:rsidR="006C50B7" w:rsidRPr="00EA2FE3" w:rsidTr="005A1F96">
        <w:tc>
          <w:tcPr>
            <w:tcW w:w="2093" w:type="dxa"/>
            <w:tcBorders>
              <w:bottom w:val="single" w:sz="4" w:space="0" w:color="auto"/>
            </w:tcBorders>
          </w:tcPr>
          <w:p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rsidR="006C50B7" w:rsidRPr="00EA2FE3" w:rsidRDefault="006C50B7" w:rsidP="004B559B">
            <w:r w:rsidRPr="00EA2FE3">
              <w:t>C0280</w:t>
            </w:r>
          </w:p>
        </w:tc>
        <w:tc>
          <w:tcPr>
            <w:tcW w:w="4530" w:type="dxa"/>
            <w:tcBorders>
              <w:bottom w:val="single" w:sz="4" w:space="0" w:color="auto"/>
            </w:tcBorders>
          </w:tcPr>
          <w:p w:rsidR="006C50B7" w:rsidRDefault="006C50B7" w:rsidP="004B559B">
            <w:pPr>
              <w:snapToGrid w:val="0"/>
            </w:pPr>
            <w:r w:rsidRPr="00EA2FE3">
              <w:t>Idem que la définition précédente, appliquée à l’exercice N-1.</w:t>
            </w:r>
          </w:p>
          <w:p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rsidR="006C50B7" w:rsidRPr="00EA2FE3" w:rsidRDefault="006C50B7" w:rsidP="004B559B">
            <w:pPr>
              <w:snapToGrid w:val="0"/>
            </w:pPr>
          </w:p>
          <w:p w:rsidR="006C50B7" w:rsidRPr="00EA2FE3" w:rsidRDefault="006C50B7" w:rsidP="005A1F96">
            <w:pPr>
              <w:snapToGrid w:val="0"/>
            </w:pPr>
          </w:p>
        </w:tc>
        <w:tc>
          <w:tcPr>
            <w:tcW w:w="2126" w:type="dxa"/>
            <w:tcBorders>
              <w:bottom w:val="single" w:sz="4" w:space="0" w:color="auto"/>
            </w:tcBorders>
          </w:tcPr>
          <w:p w:rsidR="006C50B7" w:rsidRPr="00EA2FE3" w:rsidRDefault="006C50B7">
            <w:r w:rsidRPr="00EA2FE3">
              <w:t>3</w:t>
            </w:r>
            <w:r>
              <w:t>950000</w:t>
            </w:r>
          </w:p>
        </w:tc>
        <w:tc>
          <w:tcPr>
            <w:tcW w:w="3686" w:type="dxa"/>
            <w:tcBorders>
              <w:bottom w:val="single" w:sz="4" w:space="0" w:color="auto"/>
            </w:tcBorders>
          </w:tcPr>
          <w:p w:rsidR="006C50B7" w:rsidRPr="00EA2FE3" w:rsidRDefault="006C50B7" w:rsidP="004B559B">
            <w:pPr>
              <w:snapToGrid w:val="0"/>
            </w:pPr>
            <w:r w:rsidRPr="00EA2FE3">
              <w:t>Évaluer le montant des PM par contrats à la clôture de l’exercice N-1.</w:t>
            </w:r>
          </w:p>
          <w:p w:rsidR="006C50B7" w:rsidRPr="00EA2FE3" w:rsidRDefault="006C50B7" w:rsidP="004B559B">
            <w:pPr>
              <w:snapToGrid w:val="0"/>
            </w:pPr>
          </w:p>
          <w:p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N-1</w:t>
            </w:r>
          </w:p>
        </w:tc>
      </w:tr>
      <w:tr w:rsidR="006C50B7" w:rsidRPr="00EA2FE3" w:rsidTr="005A1F96">
        <w:tc>
          <w:tcPr>
            <w:tcW w:w="2093" w:type="dxa"/>
            <w:tcBorders>
              <w:bottom w:val="single" w:sz="4" w:space="0" w:color="auto"/>
            </w:tcBorders>
          </w:tcPr>
          <w:p w:rsidR="006C50B7" w:rsidRPr="00EA2FE3" w:rsidRDefault="006C50B7" w:rsidP="004B559B">
            <w:pPr>
              <w:rPr>
                <w:b/>
              </w:rPr>
            </w:pPr>
            <w:r w:rsidRPr="00EA2FE3">
              <w:rPr>
                <w:b/>
              </w:rPr>
              <w:t xml:space="preserve">Montant des Provisions Mathématiques à la clôture de l’exercice N-2 </w:t>
            </w:r>
          </w:p>
          <w:p w:rsidR="006C50B7" w:rsidRPr="00EA2FE3" w:rsidRDefault="006C50B7" w:rsidP="004B559B">
            <w:pPr>
              <w:rPr>
                <w:b/>
              </w:rPr>
            </w:pPr>
          </w:p>
        </w:tc>
        <w:tc>
          <w:tcPr>
            <w:tcW w:w="998" w:type="dxa"/>
            <w:tcBorders>
              <w:bottom w:val="single" w:sz="4" w:space="0" w:color="auto"/>
            </w:tcBorders>
          </w:tcPr>
          <w:p w:rsidR="006C50B7" w:rsidRPr="00EA2FE3" w:rsidRDefault="006C50B7" w:rsidP="004B559B">
            <w:r w:rsidRPr="00EA2FE3">
              <w:t>C0290</w:t>
            </w:r>
          </w:p>
        </w:tc>
        <w:tc>
          <w:tcPr>
            <w:tcW w:w="4530" w:type="dxa"/>
            <w:tcBorders>
              <w:bottom w:val="single" w:sz="4" w:space="0" w:color="auto"/>
            </w:tcBorders>
          </w:tcPr>
          <w:p w:rsidR="006C50B7" w:rsidRPr="00EA2FE3" w:rsidRDefault="006C50B7" w:rsidP="004B559B">
            <w:pPr>
              <w:snapToGrid w:val="0"/>
            </w:pPr>
            <w:r w:rsidRPr="00EA2FE3">
              <w:t>Idem que la définition précédente, appliquée à l’exercice N-</w:t>
            </w:r>
            <w:r>
              <w:t>2.</w:t>
            </w:r>
          </w:p>
          <w:p w:rsidR="006C50B7" w:rsidRPr="00EA2FE3" w:rsidRDefault="006C50B7" w:rsidP="004B559B">
            <w:pPr>
              <w:snapToGrid w:val="0"/>
            </w:pPr>
          </w:p>
          <w:p w:rsidR="006C50B7" w:rsidRPr="00EA2FE3" w:rsidRDefault="006C50B7" w:rsidP="004B559B">
            <w:pPr>
              <w:snapToGrid w:val="0"/>
            </w:pPr>
          </w:p>
          <w:p w:rsidR="006C50B7" w:rsidRPr="00EA2FE3" w:rsidRDefault="006C50B7" w:rsidP="005A1F96">
            <w:pPr>
              <w:snapToGrid w:val="0"/>
            </w:pPr>
          </w:p>
        </w:tc>
        <w:tc>
          <w:tcPr>
            <w:tcW w:w="2126" w:type="dxa"/>
            <w:tcBorders>
              <w:bottom w:val="single" w:sz="4" w:space="0" w:color="auto"/>
            </w:tcBorders>
          </w:tcPr>
          <w:p w:rsidR="006C50B7" w:rsidRPr="00EA2FE3" w:rsidRDefault="006C50B7">
            <w:r w:rsidRPr="00EA2FE3">
              <w:t>3</w:t>
            </w:r>
            <w:r>
              <w:t>700000</w:t>
            </w:r>
          </w:p>
        </w:tc>
        <w:tc>
          <w:tcPr>
            <w:tcW w:w="3686" w:type="dxa"/>
            <w:tcBorders>
              <w:bottom w:val="single" w:sz="4" w:space="0" w:color="auto"/>
            </w:tcBorders>
          </w:tcPr>
          <w:p w:rsidR="006C50B7" w:rsidRPr="00EA2FE3" w:rsidRDefault="006C50B7" w:rsidP="004B559B">
            <w:pPr>
              <w:snapToGrid w:val="0"/>
            </w:pPr>
            <w:r w:rsidRPr="00EA2FE3">
              <w:t>Évaluer le montant des PM par contrats à la clôture de l’exercice N-2.</w:t>
            </w:r>
          </w:p>
          <w:p w:rsidR="006C50B7" w:rsidRPr="00EA2FE3" w:rsidRDefault="006C50B7" w:rsidP="004B559B">
            <w:pPr>
              <w:snapToGrid w:val="0"/>
            </w:pPr>
          </w:p>
          <w:p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N-2.</w:t>
            </w:r>
          </w:p>
        </w:tc>
      </w:tr>
      <w:tr w:rsidR="009661A9" w:rsidRPr="00EA2FE3" w:rsidTr="00B75113">
        <w:tc>
          <w:tcPr>
            <w:tcW w:w="2093" w:type="dxa"/>
          </w:tcPr>
          <w:p w:rsidR="009661A9" w:rsidRPr="00EA2FE3" w:rsidRDefault="009661A9" w:rsidP="00B75113">
            <w:pPr>
              <w:rPr>
                <w:b/>
              </w:rPr>
            </w:pPr>
            <w:r w:rsidRPr="00222E94">
              <w:rPr>
                <w:b/>
              </w:rPr>
              <w:t>Encours moyen par assuré à la clôture de l’exercice N</w:t>
            </w:r>
          </w:p>
        </w:tc>
        <w:tc>
          <w:tcPr>
            <w:tcW w:w="998" w:type="dxa"/>
          </w:tcPr>
          <w:p w:rsidR="009661A9" w:rsidRPr="00EA2FE3" w:rsidRDefault="009661A9" w:rsidP="00E81464">
            <w:r w:rsidRPr="00EA2FE3">
              <w:t>C0</w:t>
            </w:r>
            <w:r w:rsidR="00E81464">
              <w:t>300</w:t>
            </w:r>
          </w:p>
        </w:tc>
        <w:tc>
          <w:tcPr>
            <w:tcW w:w="4530" w:type="dxa"/>
          </w:tcPr>
          <w:p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rsidR="009661A9" w:rsidRPr="00EA2FE3" w:rsidRDefault="009661A9" w:rsidP="00B75113"/>
        </w:tc>
        <w:tc>
          <w:tcPr>
            <w:tcW w:w="2126" w:type="dxa"/>
          </w:tcPr>
          <w:p w:rsidR="009661A9" w:rsidRPr="00EA2FE3" w:rsidRDefault="009661A9" w:rsidP="00B75113">
            <w:r>
              <w:t>25000</w:t>
            </w:r>
          </w:p>
        </w:tc>
        <w:tc>
          <w:tcPr>
            <w:tcW w:w="3686" w:type="dxa"/>
          </w:tcPr>
          <w:p w:rsidR="009661A9" w:rsidRPr="00EA2FE3" w:rsidRDefault="009661A9" w:rsidP="00B75113">
            <w:r w:rsidRPr="00EA2FE3">
              <w:t xml:space="preserve"> Évaluer </w:t>
            </w:r>
            <w:r>
              <w:t>le montant moyen détenu par assuré sur la version ou le support</w:t>
            </w:r>
          </w:p>
        </w:tc>
      </w:tr>
    </w:tbl>
    <w:p w:rsidR="00FC5BAC" w:rsidRPr="00EA2FE3" w:rsidRDefault="00FC5BAC" w:rsidP="00FC5BAC">
      <w:pPr>
        <w:pStyle w:val="Paragraphedeliste"/>
        <w:rPr>
          <w:rFonts w:ascii="Times New Roman" w:hAnsi="Times New Roman"/>
          <w:b/>
          <w:bCs/>
          <w:color w:val="345A8A"/>
          <w:sz w:val="28"/>
          <w:szCs w:val="32"/>
        </w:rPr>
      </w:pPr>
    </w:p>
    <w:p w:rsidR="003520DF" w:rsidRPr="00EA2FE3" w:rsidRDefault="003520DF">
      <w:pPr>
        <w:jc w:val="left"/>
        <w:rPr>
          <w:rFonts w:eastAsia="Cambria"/>
          <w:b/>
          <w:bCs/>
          <w:color w:val="345A8A"/>
          <w:sz w:val="28"/>
          <w:szCs w:val="32"/>
          <w:lang w:eastAsia="en-US"/>
        </w:rPr>
      </w:pPr>
    </w:p>
    <w:p w:rsidR="00352387" w:rsidRDefault="00352387">
      <w:pPr>
        <w:jc w:val="left"/>
        <w:rPr>
          <w:rFonts w:eastAsia="Cambria"/>
          <w:b/>
          <w:bCs/>
          <w:color w:val="345A8A"/>
          <w:sz w:val="28"/>
          <w:szCs w:val="32"/>
          <w:lang w:eastAsia="en-US"/>
        </w:rPr>
      </w:pPr>
      <w:r>
        <w:rPr>
          <w:b/>
          <w:bCs/>
          <w:color w:val="345A8A"/>
          <w:sz w:val="28"/>
          <w:szCs w:val="32"/>
        </w:rPr>
        <w:br w:type="page"/>
      </w:r>
    </w:p>
    <w:p w:rsidR="003C3EDE" w:rsidRPr="00EA2FE3" w:rsidRDefault="000838EC" w:rsidP="007D60EC">
      <w:pPr>
        <w:pStyle w:val="Paragraphedeliste"/>
        <w:numPr>
          <w:ilvl w:val="0"/>
          <w:numId w:val="23"/>
        </w:numPr>
        <w:rPr>
          <w:rFonts w:ascii="Times New Roman" w:hAnsi="Times New Roman"/>
          <w:b/>
          <w:bCs/>
          <w:color w:val="345A8A"/>
          <w:sz w:val="28"/>
          <w:szCs w:val="32"/>
        </w:rPr>
      </w:pPr>
      <w:r w:rsidRPr="00EA2FE3">
        <w:rPr>
          <w:rFonts w:ascii="Times New Roman" w:hAnsi="Times New Roman"/>
          <w:b/>
          <w:bCs/>
          <w:color w:val="345A8A"/>
          <w:sz w:val="28"/>
          <w:szCs w:val="32"/>
        </w:rPr>
        <w:t xml:space="preserve">Maquette </w:t>
      </w:r>
      <w:r w:rsidR="00B300A0" w:rsidRPr="00EA2FE3">
        <w:rPr>
          <w:rFonts w:ascii="Times New Roman" w:hAnsi="Times New Roman"/>
          <w:b/>
          <w:bCs/>
          <w:color w:val="345A8A"/>
          <w:sz w:val="28"/>
          <w:szCs w:val="32"/>
        </w:rPr>
        <w:t xml:space="preserve">de l’état </w:t>
      </w:r>
      <w:r w:rsidR="002B674C" w:rsidRPr="00EA2FE3">
        <w:rPr>
          <w:rFonts w:ascii="Times New Roman" w:hAnsi="Times New Roman"/>
          <w:b/>
          <w:bCs/>
          <w:color w:val="345A8A"/>
          <w:sz w:val="28"/>
          <w:szCs w:val="32"/>
        </w:rPr>
        <w:t>FR.20.01</w:t>
      </w:r>
    </w:p>
    <w:p w:rsidR="003C3EDE" w:rsidRPr="00B75113" w:rsidRDefault="00B75113" w:rsidP="00B75113">
      <w:pPr>
        <w:rPr>
          <w:b/>
          <w:bCs/>
          <w:color w:val="345A8A"/>
          <w:sz w:val="28"/>
          <w:szCs w:val="32"/>
        </w:rPr>
      </w:pPr>
      <w:del w:id="17" w:author="Gaëlle CAPITAINE" w:date="2019-11-08T10:58:00Z">
        <w:r w:rsidDel="00A8398E">
          <w:rPr>
            <w:noProof/>
          </w:rPr>
          <w:drawing>
            <wp:inline distT="0" distB="0" distL="0" distR="0" wp14:anchorId="2486F145" wp14:editId="67E2A926">
              <wp:extent cx="8669020" cy="138366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69020" cy="1383665"/>
                      </a:xfrm>
                      <a:prstGeom prst="rect">
                        <a:avLst/>
                      </a:prstGeom>
                      <a:noFill/>
                    </pic:spPr>
                  </pic:pic>
                </a:graphicData>
              </a:graphic>
            </wp:inline>
          </w:drawing>
        </w:r>
      </w:del>
    </w:p>
    <w:p w:rsidR="00C729D1" w:rsidRDefault="009C6FCF" w:rsidP="00A14D96">
      <w:pPr>
        <w:jc w:val="center"/>
        <w:rPr>
          <w:b/>
          <w:bCs/>
          <w:color w:val="345A8A"/>
          <w:sz w:val="28"/>
          <w:szCs w:val="32"/>
        </w:rPr>
      </w:pPr>
      <w:ins w:id="18" w:author="Gaëlle CAPITAINE" w:date="2019-11-08T11:20:00Z">
        <w:r w:rsidRPr="009C6FCF">
          <w:rPr>
            <w:noProof/>
          </w:rPr>
          <w:drawing>
            <wp:inline distT="0" distB="0" distL="0" distR="0" wp14:anchorId="4DF1C6FC" wp14:editId="4F6B9401">
              <wp:extent cx="8892540" cy="1276831"/>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2540" cy="1276831"/>
                      </a:xfrm>
                      <a:prstGeom prst="rect">
                        <a:avLst/>
                      </a:prstGeom>
                      <a:noFill/>
                      <a:ln>
                        <a:noFill/>
                      </a:ln>
                    </pic:spPr>
                  </pic:pic>
                </a:graphicData>
              </a:graphic>
            </wp:inline>
          </w:drawing>
        </w:r>
      </w:ins>
    </w:p>
    <w:p w:rsidR="00546A61" w:rsidRDefault="00272CF7" w:rsidP="00A14D96">
      <w:pPr>
        <w:jc w:val="center"/>
        <w:rPr>
          <w:ins w:id="19" w:author="Gaëlle CAPITAINE" w:date="2019-11-08T11:20:00Z"/>
          <w:b/>
          <w:bCs/>
          <w:color w:val="345A8A"/>
          <w:sz w:val="28"/>
          <w:szCs w:val="32"/>
        </w:rPr>
      </w:pPr>
      <w:del w:id="20" w:author="Gaëlle CAPITAINE" w:date="2019-11-08T11:20:00Z">
        <w:r w:rsidRPr="00272CF7" w:rsidDel="009C6FCF">
          <w:rPr>
            <w:noProof/>
          </w:rPr>
          <w:drawing>
            <wp:inline distT="0" distB="0" distL="0" distR="0" wp14:anchorId="0EABA609" wp14:editId="6A0D53DA">
              <wp:extent cx="8892540" cy="1748897"/>
              <wp:effectExtent l="0" t="0" r="3810"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1748897"/>
                      </a:xfrm>
                      <a:prstGeom prst="rect">
                        <a:avLst/>
                      </a:prstGeom>
                      <a:noFill/>
                      <a:ln>
                        <a:noFill/>
                      </a:ln>
                    </pic:spPr>
                  </pic:pic>
                </a:graphicData>
              </a:graphic>
            </wp:inline>
          </w:drawing>
        </w:r>
      </w:del>
    </w:p>
    <w:p w:rsidR="009C6FCF" w:rsidRDefault="009C6FCF" w:rsidP="00A14D96">
      <w:pPr>
        <w:jc w:val="center"/>
        <w:rPr>
          <w:b/>
          <w:bCs/>
          <w:color w:val="345A8A"/>
          <w:sz w:val="28"/>
          <w:szCs w:val="32"/>
        </w:rPr>
      </w:pPr>
      <w:ins w:id="21" w:author="Gaëlle CAPITAINE" w:date="2019-11-08T11:20:00Z">
        <w:r w:rsidRPr="009C6FCF">
          <w:rPr>
            <w:noProof/>
          </w:rPr>
          <w:drawing>
            <wp:inline distT="0" distB="0" distL="0" distR="0" wp14:anchorId="3FDED2D1" wp14:editId="624A6970">
              <wp:extent cx="8892540" cy="1965052"/>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540" cy="1965052"/>
                      </a:xfrm>
                      <a:prstGeom prst="rect">
                        <a:avLst/>
                      </a:prstGeom>
                      <a:noFill/>
                      <a:ln>
                        <a:noFill/>
                      </a:ln>
                    </pic:spPr>
                  </pic:pic>
                </a:graphicData>
              </a:graphic>
            </wp:inline>
          </w:drawing>
        </w:r>
      </w:ins>
    </w:p>
    <w:p w:rsidR="00546A61" w:rsidRDefault="00546A61" w:rsidP="00A14D96">
      <w:pPr>
        <w:jc w:val="center"/>
        <w:rPr>
          <w:b/>
          <w:bCs/>
          <w:color w:val="345A8A"/>
          <w:sz w:val="28"/>
          <w:szCs w:val="32"/>
        </w:rPr>
      </w:pPr>
      <w:del w:id="22" w:author="Gaëlle CAPITAINE" w:date="2019-11-08T11:20:00Z">
        <w:r w:rsidRPr="00546A61" w:rsidDel="009C6FCF">
          <w:rPr>
            <w:noProof/>
          </w:rPr>
          <w:drawing>
            <wp:inline distT="0" distB="0" distL="0" distR="0" wp14:anchorId="503B1CAF" wp14:editId="06C85406">
              <wp:extent cx="8892540" cy="1636346"/>
              <wp:effectExtent l="0" t="0" r="3810"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2540" cy="1636346"/>
                      </a:xfrm>
                      <a:prstGeom prst="rect">
                        <a:avLst/>
                      </a:prstGeom>
                      <a:noFill/>
                      <a:ln>
                        <a:noFill/>
                      </a:ln>
                    </pic:spPr>
                  </pic:pic>
                </a:graphicData>
              </a:graphic>
            </wp:inline>
          </w:drawing>
        </w:r>
      </w:del>
    </w:p>
    <w:p w:rsidR="0078417E" w:rsidRPr="00EA2FE3" w:rsidRDefault="007A392C" w:rsidP="00A14D96">
      <w:pPr>
        <w:jc w:val="center"/>
        <w:rPr>
          <w:b/>
          <w:bCs/>
          <w:color w:val="345A8A"/>
          <w:sz w:val="28"/>
          <w:szCs w:val="32"/>
        </w:rPr>
      </w:pPr>
      <w:ins w:id="23" w:author="CAPITAINE Gaëlle (UA 2771)" w:date="2019-11-15T15:46:00Z">
        <w:r w:rsidRPr="007A392C">
          <w:drawing>
            <wp:inline distT="0" distB="0" distL="0" distR="0">
              <wp:extent cx="8892540" cy="1491793"/>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1491793"/>
                      </a:xfrm>
                      <a:prstGeom prst="rect">
                        <a:avLst/>
                      </a:prstGeom>
                      <a:noFill/>
                      <a:ln>
                        <a:noFill/>
                      </a:ln>
                    </pic:spPr>
                  </pic:pic>
                </a:graphicData>
              </a:graphic>
            </wp:inline>
          </w:drawing>
        </w:r>
      </w:ins>
      <w:bookmarkStart w:id="24" w:name="_GoBack"/>
      <w:bookmarkEnd w:id="24"/>
      <w:ins w:id="25" w:author="Gaëlle CAPITAINE" w:date="2019-11-08T11:20:00Z">
        <w:del w:id="26" w:author="CAPITAINE Gaëlle (UA 2771)" w:date="2019-11-15T15:46:00Z">
          <w:r w:rsidR="009C6FCF" w:rsidRPr="009C6FCF" w:rsidDel="007A392C">
            <w:rPr>
              <w:noProof/>
            </w:rPr>
            <w:drawing>
              <wp:inline distT="0" distB="0" distL="0" distR="0" wp14:anchorId="4BFCAF93" wp14:editId="37E87032">
                <wp:extent cx="8892540" cy="1491793"/>
                <wp:effectExtent l="0" t="0" r="381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2540" cy="1491793"/>
                        </a:xfrm>
                        <a:prstGeom prst="rect">
                          <a:avLst/>
                        </a:prstGeom>
                        <a:noFill/>
                        <a:ln>
                          <a:noFill/>
                        </a:ln>
                      </pic:spPr>
                    </pic:pic>
                  </a:graphicData>
                </a:graphic>
              </wp:inline>
            </w:drawing>
          </w:r>
        </w:del>
      </w:ins>
    </w:p>
    <w:p w:rsidR="002B674C" w:rsidRPr="00EA2FE3" w:rsidRDefault="002B674C" w:rsidP="00A14D96">
      <w:pPr>
        <w:jc w:val="center"/>
        <w:rPr>
          <w:b/>
          <w:bCs/>
          <w:color w:val="345A8A"/>
          <w:sz w:val="28"/>
          <w:szCs w:val="32"/>
        </w:rPr>
        <w:sectPr w:rsidR="002B674C" w:rsidRPr="00EA2FE3" w:rsidSect="00E733A4">
          <w:pgSz w:w="16838" w:h="11906" w:orient="landscape"/>
          <w:pgMar w:top="1417" w:right="1417" w:bottom="1417" w:left="1417" w:header="720" w:footer="720" w:gutter="0"/>
          <w:cols w:space="720"/>
          <w:docGrid w:linePitch="299"/>
        </w:sectPr>
      </w:pPr>
    </w:p>
    <w:p w:rsidR="001D1D2D" w:rsidRPr="00EA2FE3" w:rsidRDefault="00B300A0" w:rsidP="007D60EC">
      <w:pPr>
        <w:pStyle w:val="Paragraphedeliste"/>
        <w:numPr>
          <w:ilvl w:val="0"/>
          <w:numId w:val="23"/>
        </w:numPr>
        <w:rPr>
          <w:rFonts w:ascii="Times New Roman" w:hAnsi="Times New Roman"/>
          <w:b/>
          <w:bCs/>
          <w:color w:val="345A8A"/>
          <w:sz w:val="28"/>
          <w:szCs w:val="32"/>
        </w:rPr>
      </w:pPr>
      <w:r w:rsidRPr="00EA2FE3">
        <w:rPr>
          <w:rFonts w:ascii="Times New Roman" w:hAnsi="Times New Roman"/>
          <w:b/>
          <w:bCs/>
          <w:color w:val="345A8A"/>
          <w:sz w:val="28"/>
          <w:szCs w:val="32"/>
        </w:rPr>
        <w:t>Annexe</w:t>
      </w:r>
      <w:r w:rsidR="00396B2C" w:rsidRPr="00EA2FE3">
        <w:rPr>
          <w:rFonts w:ascii="Times New Roman" w:hAnsi="Times New Roman"/>
          <w:b/>
          <w:bCs/>
          <w:color w:val="345A8A"/>
          <w:sz w:val="28"/>
          <w:szCs w:val="32"/>
        </w:rPr>
        <w:t>s</w:t>
      </w:r>
    </w:p>
    <w:p w:rsidR="001D1D2D" w:rsidRPr="00EA2FE3" w:rsidRDefault="001D1D2D" w:rsidP="001D1D2D">
      <w:pPr>
        <w:pStyle w:val="Paragraphedeliste"/>
        <w:rPr>
          <w:rFonts w:ascii="Times New Roman" w:hAnsi="Times New Roman"/>
          <w:b/>
          <w:bCs/>
          <w:color w:val="345A8A"/>
          <w:sz w:val="28"/>
          <w:szCs w:val="32"/>
        </w:rPr>
      </w:pPr>
    </w:p>
    <w:p w:rsidR="00396B2C" w:rsidRPr="00EA2FE3" w:rsidRDefault="00396B2C"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t xml:space="preserve">Annexe 1 : Articles </w:t>
      </w:r>
      <w:r w:rsidR="00CC3C57" w:rsidRPr="00EA2FE3">
        <w:rPr>
          <w:rFonts w:ascii="Times New Roman" w:hAnsi="Times New Roman"/>
          <w:b/>
          <w:bCs/>
          <w:color w:val="345A8A"/>
          <w:sz w:val="28"/>
          <w:szCs w:val="32"/>
        </w:rPr>
        <w:t>du Code des Assurances</w:t>
      </w:r>
      <w:r w:rsidRPr="00EA2FE3">
        <w:rPr>
          <w:rFonts w:ascii="Times New Roman" w:hAnsi="Times New Roman"/>
          <w:b/>
          <w:bCs/>
          <w:color w:val="345A8A"/>
          <w:sz w:val="28"/>
          <w:szCs w:val="32"/>
        </w:rPr>
        <w:t xml:space="preserve"> mentionnés dans le texte</w:t>
      </w:r>
    </w:p>
    <w:p w:rsidR="00396B2C" w:rsidRPr="00EA2FE3" w:rsidRDefault="00396B2C" w:rsidP="003520DF">
      <w:pPr>
        <w:spacing w:line="360" w:lineRule="auto"/>
        <w:ind w:left="1070"/>
      </w:pPr>
    </w:p>
    <w:p w:rsidR="000E0969" w:rsidRPr="005A1F96" w:rsidRDefault="000E0969" w:rsidP="005A1F96">
      <w:pPr>
        <w:rPr>
          <w:b/>
        </w:rPr>
      </w:pPr>
      <w:r w:rsidRPr="005A1F96">
        <w:rPr>
          <w:b/>
        </w:rPr>
        <w:t xml:space="preserve">Article A344-2 (Modifié par </w:t>
      </w:r>
      <w:hyperlink r:id="rId25" w:anchor="LEGIARTI000035513391" w:history="1">
        <w:r w:rsidRPr="005A1F96">
          <w:rPr>
            <w:rStyle w:val="Lienhypertexte"/>
            <w:b/>
          </w:rPr>
          <w:t>Arrêté du 14 août 2017 - art. 3</w:t>
        </w:r>
      </w:hyperlink>
      <w:r w:rsidRPr="005A1F96">
        <w:rPr>
          <w:b/>
        </w:rPr>
        <w:t xml:space="preserve"> )</w:t>
      </w:r>
    </w:p>
    <w:p w:rsidR="000E0969" w:rsidRDefault="000E0969" w:rsidP="000E0969">
      <w:pPr>
        <w:pStyle w:val="NormalWeb"/>
      </w:pPr>
      <w:r>
        <w:t xml:space="preserve">Les opérations effectuées par les entreprises soumises au contrôle de l'Etat en vertu de </w:t>
      </w:r>
      <w:hyperlink r:id="rId26" w:history="1">
        <w:r>
          <w:rPr>
            <w:rStyle w:val="Lienhypertexte"/>
          </w:rPr>
          <w:t xml:space="preserve">l'article L. 310-1 </w:t>
        </w:r>
      </w:hyperlink>
      <w:r>
        <w:t xml:space="preserve">ou du 1° du III de </w:t>
      </w:r>
      <w:hyperlink r:id="rId27" w:history="1">
        <w:r>
          <w:rPr>
            <w:rStyle w:val="Lienhypertexte"/>
          </w:rPr>
          <w:t xml:space="preserve">l'article L. 310-1-1 </w:t>
        </w:r>
      </w:hyperlink>
      <w:r>
        <w:t xml:space="preserve">et par les fonds de retraite professionnelle supplémentaire mentionnés à l'article </w:t>
      </w:r>
      <w:hyperlink r:id="rId28" w:history="1">
        <w:r>
          <w:rPr>
            <w:rStyle w:val="Lienhypertexte"/>
          </w:rPr>
          <w:t xml:space="preserve">L. 381-1 </w:t>
        </w:r>
      </w:hyperlink>
      <w:r>
        <w:t>sont réparties entre les catégories d'opérations suivantes :</w:t>
      </w:r>
    </w:p>
    <w:p w:rsidR="000E0969" w:rsidRDefault="000E0969" w:rsidP="000E0969">
      <w:pPr>
        <w:pStyle w:val="NormalWeb"/>
      </w:pPr>
      <w:r>
        <w:t>1 Contrats de capitalisation à prime unique (ou versements libres) ;</w:t>
      </w:r>
    </w:p>
    <w:p w:rsidR="000E0969" w:rsidRDefault="000E0969" w:rsidP="000E0969">
      <w:pPr>
        <w:pStyle w:val="NormalWeb"/>
      </w:pPr>
      <w:r>
        <w:t>2 Contrats de capitalisation à primes périodiques ;</w:t>
      </w:r>
    </w:p>
    <w:p w:rsidR="000E0969" w:rsidRDefault="000E0969" w:rsidP="000E0969">
      <w:pPr>
        <w:pStyle w:val="NormalWeb"/>
      </w:pPr>
      <w:r>
        <w:t>3 Contrats individuels d'assurance temporaire décès (y compris groupes ouverts) ;</w:t>
      </w:r>
    </w:p>
    <w:p w:rsidR="000E0969" w:rsidRDefault="000E0969" w:rsidP="000E0969">
      <w:pPr>
        <w:pStyle w:val="NormalWeb"/>
      </w:pPr>
      <w:r>
        <w:t>4 Autres contrats individuels d'assurance vie à prime unique (ou versements libres) (y compris groupes ouverts) ;</w:t>
      </w:r>
    </w:p>
    <w:p w:rsidR="000E0969" w:rsidRDefault="000E0969" w:rsidP="000E0969">
      <w:pPr>
        <w:pStyle w:val="NormalWeb"/>
      </w:pPr>
      <w:r>
        <w:t>5 Autres contrats individuels d'assurance vie à primes périodiques (y compris groupes ouverts) ;</w:t>
      </w:r>
    </w:p>
    <w:p w:rsidR="000E0969" w:rsidRDefault="000E0969" w:rsidP="000E0969">
      <w:pPr>
        <w:pStyle w:val="NormalWeb"/>
      </w:pPr>
      <w:r>
        <w:t>6 Contrats collectifs d'assurance en cas de décès ;</w:t>
      </w:r>
    </w:p>
    <w:p w:rsidR="000E0969" w:rsidRDefault="000E0969" w:rsidP="000E0969">
      <w:pPr>
        <w:pStyle w:val="NormalWeb"/>
      </w:pPr>
      <w:r>
        <w:t>7 Contrats collectifs d'assurance en cas de vie ;</w:t>
      </w:r>
    </w:p>
    <w:p w:rsidR="000E0969" w:rsidRDefault="000E0969" w:rsidP="000E0969">
      <w:pPr>
        <w:pStyle w:val="NormalWeb"/>
      </w:pPr>
      <w:r>
        <w:t>8 Contrats d'assurance vie ou de capitalisation en unités de compte à prime unique (ou versements libres) ;</w:t>
      </w:r>
    </w:p>
    <w:p w:rsidR="000E0969" w:rsidRDefault="000E0969" w:rsidP="000E0969">
      <w:pPr>
        <w:pStyle w:val="NormalWeb"/>
      </w:pPr>
      <w:r>
        <w:t>9 Contrats d'assurance vie ou de capitalisation en unités de compte à primes périodiques ;</w:t>
      </w:r>
    </w:p>
    <w:p w:rsidR="000E0969" w:rsidRDefault="000E0969" w:rsidP="000E0969">
      <w:pPr>
        <w:pStyle w:val="NormalWeb"/>
      </w:pPr>
      <w:r>
        <w:t xml:space="preserve">10 Contrats collectifs relevant de </w:t>
      </w:r>
      <w:hyperlink r:id="rId29" w:history="1">
        <w:r>
          <w:rPr>
            <w:rStyle w:val="Lienhypertexte"/>
          </w:rPr>
          <w:t xml:space="preserve">l'article L. 441-1 </w:t>
        </w:r>
      </w:hyperlink>
      <w:r>
        <w:t xml:space="preserve">mais ne relevant pas des articles L. 143-1 et </w:t>
      </w:r>
      <w:hyperlink r:id="rId30" w:history="1">
        <w:r>
          <w:rPr>
            <w:rStyle w:val="Lienhypertexte"/>
          </w:rPr>
          <w:t>L. 144-2</w:t>
        </w:r>
      </w:hyperlink>
      <w:r>
        <w:t xml:space="preserve"> ;</w:t>
      </w:r>
    </w:p>
    <w:p w:rsidR="000E0969" w:rsidRDefault="000E0969" w:rsidP="000E0969">
      <w:pPr>
        <w:pStyle w:val="NormalWeb"/>
      </w:pPr>
      <w:r>
        <w:t>11. Contrats relevant de l'article L. 144-2 ;</w:t>
      </w:r>
    </w:p>
    <w:p w:rsidR="000E0969" w:rsidRDefault="000E0969" w:rsidP="000E0969">
      <w:pPr>
        <w:pStyle w:val="NormalWeb"/>
      </w:pPr>
      <w: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rsidR="000E0969" w:rsidRDefault="000E0969" w:rsidP="000E0969">
      <w:pPr>
        <w:pStyle w:val="NormalWeb"/>
      </w:pPr>
      <w:r>
        <w:t xml:space="preserve">13 Opérations relevant de </w:t>
      </w:r>
      <w:hyperlink r:id="rId31" w:history="1">
        <w:r>
          <w:rPr>
            <w:rStyle w:val="Lienhypertexte"/>
          </w:rPr>
          <w:t xml:space="preserve">l'article L. 134-1 </w:t>
        </w:r>
      </w:hyperlink>
      <w:r>
        <w:t xml:space="preserve">mais ne relevant pas des articles </w:t>
      </w:r>
      <w:hyperlink r:id="rId32" w:history="1">
        <w:r>
          <w:rPr>
            <w:rStyle w:val="Lienhypertexte"/>
          </w:rPr>
          <w:t xml:space="preserve">L. 143-1 </w:t>
        </w:r>
      </w:hyperlink>
      <w:r>
        <w:t>et L. 144-2 ;</w:t>
      </w:r>
    </w:p>
    <w:p w:rsidR="006D41ED" w:rsidRPr="00EA2FE3" w:rsidRDefault="000E0969" w:rsidP="006D41ED">
      <w:pPr>
        <w:pStyle w:val="NormalSansRetrait"/>
        <w:rPr>
          <w:rFonts w:ascii="Times New Roman" w:hAnsi="Times New Roman"/>
          <w:b/>
          <w:sz w:val="22"/>
          <w:szCs w:val="22"/>
        </w:rPr>
      </w:pPr>
      <w:r w:rsidDel="000E0969">
        <w:t xml:space="preserve"> </w:t>
      </w:r>
    </w:p>
    <w:p w:rsidR="00D66FBB" w:rsidRPr="00EA2FE3" w:rsidRDefault="00D66FBB" w:rsidP="00D66FBB">
      <w:pPr>
        <w:pStyle w:val="NormalSansRetrait"/>
        <w:ind w:left="284" w:hanging="284"/>
        <w:rPr>
          <w:rFonts w:ascii="Times New Roman" w:hAnsi="Times New Roman"/>
          <w:b/>
          <w:sz w:val="22"/>
          <w:szCs w:val="22"/>
        </w:rPr>
      </w:pP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 </w:t>
      </w:r>
      <w:r w:rsidR="00800272" w:rsidRPr="00EA2FE3">
        <w:rPr>
          <w:b/>
          <w:bCs/>
          <w:color w:val="4F81BD" w:themeColor="accent1"/>
        </w:rPr>
        <w:t>du Code des Assurances</w:t>
      </w:r>
      <w:r w:rsidR="00800272" w:rsidRPr="00EA2FE3" w:rsidDel="00800272">
        <w:rPr>
          <w:b/>
          <w:bCs/>
          <w:color w:val="4F81BD" w:themeColor="accent1"/>
        </w:rPr>
        <w:t xml:space="preserve"> </w:t>
      </w:r>
    </w:p>
    <w:p w:rsidR="00D702B0" w:rsidRDefault="00D702B0" w:rsidP="005A1F96">
      <w:pPr>
        <w:spacing w:before="100" w:beforeAutospacing="1" w:after="100" w:afterAutospacing="1"/>
        <w:jc w:val="left"/>
      </w:pPr>
      <w:r>
        <w:t xml:space="preserve">Modifié par </w:t>
      </w:r>
      <w:hyperlink r:id="rId33" w:anchor="LEGIARTI000035513387" w:history="1">
        <w:r>
          <w:rPr>
            <w:rStyle w:val="Lienhypertexte"/>
          </w:rPr>
          <w:t>Arrêté du 14 août 2017 - art. 1</w:t>
        </w:r>
      </w:hyperlink>
      <w:r>
        <w:t xml:space="preserve"> </w:t>
      </w:r>
    </w:p>
    <w:p w:rsidR="00D702B0" w:rsidRDefault="00D702B0" w:rsidP="00D702B0">
      <w:pPr>
        <w:pStyle w:val="NormalWeb"/>
      </w:pPr>
      <w:r>
        <w:t xml:space="preserve">Les tarifs pratiqués par les entreprises pratiquant des opérations mentionnées au 1° de </w:t>
      </w:r>
      <w:hyperlink r:id="rId34" w:history="1">
        <w:r>
          <w:rPr>
            <w:rStyle w:val="Lienhypertexte"/>
          </w:rPr>
          <w:t xml:space="preserve">l'article L. 310-1, </w:t>
        </w:r>
      </w:hyperlink>
      <w:r>
        <w:t xml:space="preserve">en ce compris celles mentionnées à l'article </w:t>
      </w:r>
      <w:hyperlink r:id="rId35" w:history="1">
        <w:r>
          <w:rPr>
            <w:rStyle w:val="Lienhypertexte"/>
          </w:rPr>
          <w:t xml:space="preserve">L. 143-1 </w:t>
        </w:r>
      </w:hyperlink>
      <w:r>
        <w:t xml:space="preserve">et par les fonds de retraite professionnelle supplémentaire mentionnés à l'article </w:t>
      </w:r>
      <w:hyperlink r:id="rId36" w:history="1">
        <w:r>
          <w:rPr>
            <w:rStyle w:val="Lienhypertexte"/>
          </w:rPr>
          <w:t>L. 381-1</w:t>
        </w:r>
      </w:hyperlink>
      <w:r>
        <w:t xml:space="preserve"> doivent être établis d'après un taux au plus égal à 75 % du taux moyen des emprunts de l'Etat français calculé sur une base semestrielle sans pouvoir dépasser, au-delà de huit ans, le plus bas des deux taux suivants : 3,5 % ou 60 % du taux moyen indiqué ci-dessus. Pour les contrats à primes périodiques ou à capital variable, quelle que soit leur durée, ce taux ne peut excéder le plus bas des deux taux suivants : 3,5 % ou 60 % du taux moyen indiqué ci-dessus. </w:t>
      </w:r>
    </w:p>
    <w:p w:rsidR="00D702B0" w:rsidRDefault="00D702B0" w:rsidP="00D702B0">
      <w:pPr>
        <w:pStyle w:val="NormalWeb"/>
      </w:pPr>
      <w:r>
        <w:t xml:space="preserve">En ce qui concerne les contrats libellés en devises étrangères, le taux d'intérêt technique ne sera pas supérieur à 75 % du taux moyen des emprunts d'Etat à long terme du pays de la devise concernée calculé sur base semestrielle ou, à défaut, de la référence du taux à long terme pertinente pour la devise concernée et équivalente à la référence retenue pour l'euro. </w:t>
      </w:r>
    </w:p>
    <w:p w:rsidR="00D702B0" w:rsidRDefault="00D702B0" w:rsidP="00D702B0">
      <w:pPr>
        <w:pStyle w:val="NormalWeb"/>
      </w:pPr>
      <w:r>
        <w:t xml:space="preserve">Pour les contrats au-delà de huit ans, le taux du tarif ne pourra en outre être supérieur au plafond établi par les réglementations en vigueur dans le pays de chaque devise concernée, pour les garanties de même durée, sans pouvoir excéder 60 % du taux moyen visé à l'alinéa précédent. Il en est de même pour les contrats à primes périodiques. </w:t>
      </w:r>
    </w:p>
    <w:p w:rsidR="00D702B0" w:rsidRDefault="00D702B0" w:rsidP="00D702B0">
      <w:pPr>
        <w:pStyle w:val="NormalWeb"/>
      </w:pPr>
      <w:r>
        <w:t xml:space="preserve">Le taux moyen des emprunts d'Etat à retenir est le plus élevé des deux taux suivants : taux à l'émission et taux de rendement sur le marché secondaire. </w:t>
      </w:r>
    </w:p>
    <w:p w:rsidR="00D702B0" w:rsidRDefault="00D702B0" w:rsidP="00D702B0">
      <w:pPr>
        <w:pStyle w:val="NormalWeb"/>
      </w:pPr>
      <w:r>
        <w:t>Les règles définies au présent article sont à appliquer en fonction des taux en vigueur au moment de la souscription et ne sont pas applicables aux opérations de prévoyance collective visées au chapitre Ier du titre IV du livre IV du code des assurances. Dans le cas de versements non programmés aux termes du contrat, ces règles sont à apprécier au moment de chaque versement.</w:t>
      </w:r>
    </w:p>
    <w:p w:rsidR="00DE0220" w:rsidRPr="00EA2FE3" w:rsidRDefault="00DE0220" w:rsidP="00800272">
      <w:pPr>
        <w:spacing w:line="276" w:lineRule="auto"/>
        <w:ind w:firstLine="708"/>
      </w:pPr>
    </w:p>
    <w:p w:rsidR="00DE0220" w:rsidRPr="00EA2FE3" w:rsidRDefault="00DE0220" w:rsidP="00DE0220">
      <w:pPr>
        <w:jc w:val="left"/>
      </w:pPr>
    </w:p>
    <w:p w:rsidR="00DE0220" w:rsidRPr="00EA2FE3" w:rsidRDefault="00DE0220" w:rsidP="00DE0220">
      <w:pPr>
        <w:jc w:val="left"/>
      </w:pPr>
      <w:r w:rsidRPr="00EA2FE3">
        <w:t xml:space="preserve"> </w:t>
      </w: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A132-1-1 </w:t>
      </w:r>
      <w:r w:rsidR="00800272" w:rsidRPr="00EA2FE3">
        <w:rPr>
          <w:b/>
          <w:bCs/>
          <w:color w:val="4F81BD" w:themeColor="accent1"/>
        </w:rPr>
        <w:t>du Code des Assurances</w:t>
      </w:r>
      <w:r w:rsidR="00800272" w:rsidRPr="00EA2FE3" w:rsidDel="00800272">
        <w:rPr>
          <w:b/>
          <w:bCs/>
          <w:color w:val="4F81BD" w:themeColor="accent1"/>
        </w:rPr>
        <w:t xml:space="preserve"> </w:t>
      </w:r>
    </w:p>
    <w:p w:rsidR="00DE0220" w:rsidRPr="00EA2FE3" w:rsidRDefault="00DE0220" w:rsidP="00800272">
      <w:pPr>
        <w:spacing w:line="276" w:lineRule="auto"/>
        <w:ind w:firstLine="708"/>
      </w:pPr>
      <w:r w:rsidRPr="00EA2FE3">
        <w:t xml:space="preserve">Modifié par Arrêté 2007-04-23 art. 1 JORF 2 mai 2007 </w:t>
      </w:r>
    </w:p>
    <w:p w:rsidR="00DE0220" w:rsidRPr="00EA2FE3" w:rsidRDefault="00DE0220" w:rsidP="00DE0220">
      <w:pPr>
        <w:jc w:val="left"/>
      </w:pPr>
    </w:p>
    <w:p w:rsidR="00DE0220" w:rsidRPr="00EA2FE3" w:rsidRDefault="00DE0220" w:rsidP="00800272">
      <w:pPr>
        <w:spacing w:line="276" w:lineRule="auto"/>
        <w:ind w:firstLine="708"/>
      </w:pPr>
      <w:r w:rsidRPr="00EA2FE3">
        <w:t xml:space="preserve">Pour l'application de l'article A. 132-1, le taux moyen des emprunts d'Etat sur base semestrielle est déterminé en effectuant la moyenne arithmétique sur les six derniers mois des taux observés sur les marchés primaire et secondaire. Le résultat de la multiplication par 60 % ou 75 % de cette moyenne est dénommé " taux de référence mensuel ". </w:t>
      </w:r>
    </w:p>
    <w:p w:rsidR="00DE0220" w:rsidRPr="00EA2FE3" w:rsidRDefault="00DE0220" w:rsidP="00800272">
      <w:pPr>
        <w:spacing w:line="276" w:lineRule="auto"/>
        <w:ind w:firstLine="708"/>
      </w:pPr>
      <w:r w:rsidRPr="00EA2FE3">
        <w:t>Le taux d'intérêt technique maximal applicable aux tarifs est fixé sur une échelle de taux d'origine 0 et de pas de 0,25 point. Il évolue selon la position du taux de référence mensuel par rapport au dernier taux technique maximal en vigueur :</w:t>
      </w:r>
    </w:p>
    <w:p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tant que le taux de référence mensuel n'a pas diminué d'au moins 0,1 point ou augmenté d'au moins 0,35 point par rapport au dernier taux technique maximal en vigueur, ce dernier demeure inchangé ;</w:t>
      </w:r>
    </w:p>
    <w:p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 xml:space="preserve">si le taux de référence mensuel sort des limites précédemment définies, le nouveau taux technique maximal devient le taux immédiatement inférieur au taux de référence mensuel sur l'échelle de pas de 0,25 point. </w:t>
      </w:r>
    </w:p>
    <w:p w:rsidR="00DE0220" w:rsidRPr="00EA2FE3" w:rsidRDefault="00DE0220" w:rsidP="00800272">
      <w:pPr>
        <w:spacing w:line="276" w:lineRule="auto"/>
        <w:ind w:firstLine="708"/>
      </w:pPr>
      <w:r w:rsidRPr="00EA2FE3">
        <w:t>Lorsqu'un nouveau taux d'intérêt technique maximal est applicable, les entreprises disposent de trois mois pour opérer cette modification.</w:t>
      </w:r>
    </w:p>
    <w:p w:rsidR="00DE0220" w:rsidRPr="00EA2FE3" w:rsidRDefault="00DE0220" w:rsidP="00DE0220">
      <w:pPr>
        <w:jc w:val="left"/>
      </w:pPr>
    </w:p>
    <w:p w:rsidR="00DE0220" w:rsidRPr="00EA2FE3" w:rsidRDefault="00DE0220" w:rsidP="00DE0220">
      <w:pPr>
        <w:jc w:val="left"/>
      </w:pP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A132-2 </w:t>
      </w:r>
      <w:r w:rsidR="00800272" w:rsidRPr="00EA2FE3">
        <w:rPr>
          <w:b/>
          <w:bCs/>
          <w:color w:val="4F81BD" w:themeColor="accent1"/>
        </w:rPr>
        <w:t>du Code des Assurances</w:t>
      </w:r>
    </w:p>
    <w:p w:rsidR="00D702B0" w:rsidRDefault="00D702B0" w:rsidP="005A1F96">
      <w:pPr>
        <w:spacing w:before="100" w:beforeAutospacing="1" w:after="100" w:afterAutospacing="1"/>
        <w:ind w:left="720"/>
        <w:jc w:val="left"/>
      </w:pPr>
      <w:r>
        <w:t xml:space="preserve">Modifié par </w:t>
      </w:r>
      <w:hyperlink r:id="rId37" w:anchor="LEGIARTI000035513387" w:history="1">
        <w:r>
          <w:rPr>
            <w:rStyle w:val="Lienhypertexte"/>
          </w:rPr>
          <w:t>Arrêté du 14 août 2017 - art. 1</w:t>
        </w:r>
      </w:hyperlink>
      <w:r>
        <w:t xml:space="preserve"> </w:t>
      </w:r>
    </w:p>
    <w:p w:rsidR="00D702B0" w:rsidRDefault="00D702B0" w:rsidP="00D702B0">
      <w:pPr>
        <w:pStyle w:val="NormalWeb"/>
      </w:pPr>
      <w:r>
        <w:t xml:space="preserve">Les entreprises pratiquant des opérations mentionnées au 1° de l'article </w:t>
      </w:r>
      <w:hyperlink r:id="rId38" w:history="1">
        <w:r>
          <w:rPr>
            <w:rStyle w:val="Lienhypertexte"/>
          </w:rPr>
          <w:t xml:space="preserve">L. 310-1 </w:t>
        </w:r>
      </w:hyperlink>
      <w:r>
        <w:t xml:space="preserve">et les fonds de retraite professionnelle supplémentaire mentionnés à l'article </w:t>
      </w:r>
      <w:hyperlink r:id="rId39" w:history="1">
        <w:r>
          <w:rPr>
            <w:rStyle w:val="Lienhypertexte"/>
          </w:rPr>
          <w:t>L. 381-1</w:t>
        </w:r>
      </w:hyperlink>
      <w:r>
        <w:t xml:space="preserve"> peuvent, dans les conditions fixées à l'article A. 132-3, garantir dans leurs contrats un montant total d'intérêts techniques et de participations aux bénéfices qui, rapporté à la fraction des provisions mathématiques desdits contrats sur laquelle prend effet la garantie, ne sera pas inférieur à des taux minima garantis.</w:t>
      </w:r>
    </w:p>
    <w:p w:rsidR="00800272" w:rsidRPr="00EA2FE3" w:rsidRDefault="00D702B0" w:rsidP="00800272">
      <w:pPr>
        <w:spacing w:line="360" w:lineRule="auto"/>
        <w:ind w:left="1070"/>
        <w:rPr>
          <w:b/>
          <w:bCs/>
          <w:color w:val="4F81BD" w:themeColor="accent1"/>
        </w:rPr>
      </w:pPr>
      <w:r w:rsidRPr="00EA2FE3" w:rsidDel="00D702B0">
        <w:t xml:space="preserve"> </w:t>
      </w:r>
    </w:p>
    <w:p w:rsidR="00DE0220" w:rsidRPr="00EA2FE3" w:rsidRDefault="00DE0220" w:rsidP="00800272">
      <w:pPr>
        <w:spacing w:line="360" w:lineRule="auto"/>
        <w:ind w:left="1070"/>
      </w:pPr>
      <w:r w:rsidRPr="00EA2FE3">
        <w:rPr>
          <w:b/>
          <w:bCs/>
          <w:color w:val="4F81BD" w:themeColor="accent1"/>
        </w:rPr>
        <w:t xml:space="preserve">Article A132-3 </w:t>
      </w:r>
      <w:r w:rsidR="00800272" w:rsidRPr="00EA2FE3">
        <w:rPr>
          <w:b/>
          <w:bCs/>
          <w:color w:val="4F81BD" w:themeColor="accent1"/>
        </w:rPr>
        <w:t>du Code des Assurances</w:t>
      </w:r>
    </w:p>
    <w:p w:rsidR="00D702B0" w:rsidRDefault="00D702B0" w:rsidP="00D702B0">
      <w:pPr>
        <w:numPr>
          <w:ilvl w:val="0"/>
          <w:numId w:val="29"/>
        </w:numPr>
        <w:spacing w:before="100" w:beforeAutospacing="1" w:after="100" w:afterAutospacing="1"/>
        <w:jc w:val="left"/>
      </w:pPr>
      <w:r>
        <w:t xml:space="preserve">Modifié par </w:t>
      </w:r>
      <w:hyperlink r:id="rId40" w:anchor="LEGIARTI000035513387" w:history="1">
        <w:r>
          <w:rPr>
            <w:rStyle w:val="Lienhypertexte"/>
          </w:rPr>
          <w:t>Arrêté du 14 août 2017 - art. 1</w:t>
        </w:r>
      </w:hyperlink>
      <w:r>
        <w:t xml:space="preserve"> </w:t>
      </w:r>
    </w:p>
    <w:p w:rsidR="00D702B0" w:rsidRDefault="00D702B0" w:rsidP="00D702B0">
      <w:pPr>
        <w:pStyle w:val="NormalWeb"/>
      </w:pPr>
      <w:r>
        <w:t xml:space="preserve">I. ― Pour un exercice donné, le montant total de participations aux bénéfices garanti par l'entreprise ou le fonds de retraite professionnelle supplémentaire au titre de l'article </w:t>
      </w:r>
      <w:hyperlink r:id="rId41" w:history="1">
        <w:r>
          <w:rPr>
            <w:rStyle w:val="Lienhypertexte"/>
          </w:rPr>
          <w:t>A. 132-2</w:t>
        </w:r>
      </w:hyperlink>
      <w:r>
        <w:t xml:space="preserve"> devra être inférieur à un plafond calculé comme la différence, lorsqu'elle est positive, entre :</w:t>
      </w:r>
    </w:p>
    <w:p w:rsidR="00D702B0" w:rsidRDefault="00D702B0" w:rsidP="00D702B0">
      <w:pPr>
        <w:pStyle w:val="NormalWeb"/>
      </w:pPr>
      <w:r>
        <w:t xml:space="preserve">― 80 % du produit de la moyenne des taux de rendement des actifs de l'entreprise calculée pour les deux derniers exercices, par les provisions mathématiques des contrats relevant des catégories 1, 2, 3, 4, 5, 7, 12 et 16 mentionnées à l'article </w:t>
      </w:r>
      <w:hyperlink r:id="rId42" w:history="1">
        <w:r>
          <w:rPr>
            <w:rStyle w:val="Lienhypertexte"/>
          </w:rPr>
          <w:t xml:space="preserve">A. 344-2 </w:t>
        </w:r>
      </w:hyperlink>
      <w:r>
        <w:t>au 31 décembre de l'exercice précédent ; et</w:t>
      </w:r>
    </w:p>
    <w:p w:rsidR="00D702B0" w:rsidRDefault="00D702B0" w:rsidP="00D702B0">
      <w:pPr>
        <w:pStyle w:val="NormalWeb"/>
      </w:pPr>
      <w:r>
        <w:t>― la somme des intérêts techniques attribués aux contrats mentionnés au tiret précédent lors de l'exercice précédent.</w:t>
      </w:r>
    </w:p>
    <w:p w:rsidR="00D702B0" w:rsidRDefault="00D702B0" w:rsidP="00D702B0">
      <w:pPr>
        <w:pStyle w:val="NormalWeb"/>
      </w:pPr>
      <w:r>
        <w:t>Pour le calcul mentionné au premier tiret, l'entreprise substitue aux provisions mathématiques au 31 décembre de l'exercice précédent les provisions mathématiques estimées au 31 décembre de l'exercice si celles-ci apparaissent devoir être plus faibles. L'entreprise substitue alors pour le même calcul la somme des intérêts techniques estimée au 31 décembre de l'exercice à la somme des intérêts techniques lors de l'exercice précédent.</w:t>
      </w:r>
    </w:p>
    <w:p w:rsidR="00D702B0" w:rsidRDefault="00D702B0" w:rsidP="00D702B0">
      <w:pPr>
        <w:pStyle w:val="NormalWeb"/>
      </w:pPr>
      <w:r>
        <w:t>II. ― Les taux garantis mentionnés à l'article A. 132-2 sont exprimés sur une base annuelle et sont fixés sur une durée continue au moins égale à six mois et au plus égale à la période séparant la date d'effet de la garantie de la fin de l'exercice suivant.</w:t>
      </w:r>
    </w:p>
    <w:p w:rsidR="00D702B0" w:rsidRDefault="00D702B0" w:rsidP="00D702B0">
      <w:pPr>
        <w:pStyle w:val="NormalWeb"/>
      </w:pPr>
      <w:r>
        <w:t>Toutefois cette durée peut être inférieure à six mois pour un souscripteur ou adhérent donné, dès lors que l'ensemble des assurés d'un contrat collectif ou de contrats individuels ayant les mêmes conditions d'affectation de la participation aux bénéfices bénéficie de cette garantie depuis le début de l'exercice.</w:t>
      </w:r>
    </w:p>
    <w:p w:rsidR="00D702B0" w:rsidRDefault="00D702B0" w:rsidP="00D702B0">
      <w:pPr>
        <w:pStyle w:val="NormalWeb"/>
      </w:pPr>
      <w:r>
        <w:t xml:space="preserve">III. ― Les taux garantis mentionnés au II ne peuvent excéder le minimum entre 150 % du taux d'intérêt technique maximal défini aux articles </w:t>
      </w:r>
      <w:hyperlink r:id="rId43" w:history="1">
        <w:r>
          <w:rPr>
            <w:rStyle w:val="Lienhypertexte"/>
          </w:rPr>
          <w:t xml:space="preserve">A. 132-1 </w:t>
        </w:r>
      </w:hyperlink>
      <w:r>
        <w:t xml:space="preserve">et </w:t>
      </w:r>
      <w:hyperlink r:id="rId44" w:history="1">
        <w:r>
          <w:rPr>
            <w:rStyle w:val="Lienhypertexte"/>
          </w:rPr>
          <w:t xml:space="preserve">A. 132-1-1 </w:t>
        </w:r>
      </w:hyperlink>
      <w:r>
        <w:t>par référence à 75 % du taux moyen des emprunts d'Etat à la date d'effet de la garantie et le plus élevé des deux taux suivants :</w:t>
      </w:r>
    </w:p>
    <w:p w:rsidR="00D702B0" w:rsidRDefault="00D702B0" w:rsidP="00D702B0">
      <w:pPr>
        <w:pStyle w:val="NormalWeb"/>
      </w:pPr>
      <w:r>
        <w:t>120 % de ce même taux d'intérêt technique maximal et</w:t>
      </w:r>
    </w:p>
    <w:p w:rsidR="00D702B0" w:rsidRDefault="00D702B0" w:rsidP="00D702B0">
      <w:pPr>
        <w:pStyle w:val="NormalWeb"/>
      </w:pPr>
      <w:r>
        <w:t>110 % de la moyenne des taux moyens servis aux assurés lors des deux derniers exercices précédant immédiatement la date d'effet de la garantie.</w:t>
      </w:r>
    </w:p>
    <w:p w:rsidR="00D702B0" w:rsidRDefault="00D702B0" w:rsidP="00D702B0">
      <w:pPr>
        <w:pStyle w:val="NormalWeb"/>
      </w:pPr>
      <w:r>
        <w:t>Le taux moyen servi aux assurés est défini à chaque exercice pour l'ensemble des contrats relevant des catégories 1, 2, 3, 4, 5, 7, 12 et 16 mentionnées à l'article A. 344-2 comme le montant cumulé des intérêts techniques et des participations aux bénéfices attribuées aux assurés rapporté à la moyenne annuelle des provisions mathématiques.</w:t>
      </w:r>
    </w:p>
    <w:p w:rsidR="00D702B0" w:rsidRDefault="00D702B0" w:rsidP="00D702B0">
      <w:pPr>
        <w:pStyle w:val="NormalWeb"/>
      </w:pPr>
      <w:r>
        <w:t>IV. ― Par dérogation aux dispositions des I et III, jusqu'à la clôture du deuxième exercice suivant la délivrance de son agrément, une entreprise peut proposer des taux d'intérêt tels que ceux mentionnés au II qui ne doivent pas excéder 120 % du taux d'intérêt technique maximal défini aux articles A. 132-1 et A. 132-1-1 par référence à 75 % du taux moyen des emprunts d'Etat à la date d'effet de la garantie.</w:t>
      </w:r>
    </w:p>
    <w:p w:rsidR="00D702B0" w:rsidRDefault="00D702B0" w:rsidP="00D702B0">
      <w:pPr>
        <w:pStyle w:val="NormalWeb"/>
      </w:pPr>
      <w:r>
        <w:t>V. ― Le montant total de participations aux bénéfices garanti au titre de l'article A. 132-2 pour l'exercice en cours mais également le cas échéant pour l'exercice suivant doit être imputé sur le montant mentionné au premier alinéa du I.</w:t>
      </w:r>
    </w:p>
    <w:p w:rsidR="00D702B0" w:rsidRDefault="00D702B0" w:rsidP="00D702B0">
      <w:pPr>
        <w:pStyle w:val="NormalWeb"/>
      </w:pPr>
      <w:r>
        <w:t>Toutefois, seul le montant de participations aux bénéfices garanti au titre de l'exercice en cours s'impute sur le montant mentionné au premier alinéa du I lorsque l'entreprise propose un taux dont elle n'a pas fixé explicitement la valeur.</w:t>
      </w:r>
    </w:p>
    <w:p w:rsidR="00B23EF9" w:rsidRPr="00EA2FE3" w:rsidRDefault="00D702B0" w:rsidP="00800272">
      <w:pPr>
        <w:rPr>
          <w:rFonts w:eastAsia="Arial Unicode MS"/>
          <w:szCs w:val="22"/>
        </w:rPr>
      </w:pPr>
      <w:r w:rsidRPr="00EA2FE3" w:rsidDel="00D702B0">
        <w:t xml:space="preserve"> </w:t>
      </w:r>
      <w:r w:rsidR="00B23EF9" w:rsidRPr="00EA2FE3">
        <w:br w:type="page"/>
      </w:r>
    </w:p>
    <w:p w:rsidR="00D66FBB" w:rsidRPr="00EA2FE3" w:rsidRDefault="00B23EF9"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t>Annexe 2</w:t>
      </w:r>
      <w:r w:rsidR="006B4E99" w:rsidRPr="00EA2FE3">
        <w:rPr>
          <w:rFonts w:ascii="Times New Roman" w:hAnsi="Times New Roman"/>
          <w:b/>
          <w:bCs/>
          <w:color w:val="345A8A"/>
          <w:sz w:val="28"/>
          <w:szCs w:val="32"/>
        </w:rPr>
        <w:t> :</w:t>
      </w:r>
      <w:r w:rsidRPr="00EA2FE3">
        <w:rPr>
          <w:rFonts w:ascii="Times New Roman" w:hAnsi="Times New Roman"/>
          <w:b/>
          <w:bCs/>
          <w:color w:val="345A8A"/>
          <w:sz w:val="28"/>
          <w:szCs w:val="32"/>
        </w:rPr>
        <w:t xml:space="preserve"> </w:t>
      </w:r>
      <w:r w:rsidR="00191C8B" w:rsidRPr="00EA2FE3">
        <w:rPr>
          <w:rFonts w:ascii="Times New Roman" w:hAnsi="Times New Roman"/>
          <w:b/>
          <w:bCs/>
          <w:color w:val="345A8A"/>
          <w:sz w:val="28"/>
          <w:szCs w:val="32"/>
        </w:rPr>
        <w:t>Classification</w:t>
      </w:r>
      <w:r w:rsidRPr="00EA2FE3">
        <w:rPr>
          <w:rFonts w:ascii="Times New Roman" w:hAnsi="Times New Roman"/>
          <w:b/>
          <w:bCs/>
          <w:color w:val="345A8A"/>
          <w:sz w:val="28"/>
          <w:szCs w:val="32"/>
        </w:rPr>
        <w:t xml:space="preserve"> des principaux types de contrats selon les catégories comptables</w:t>
      </w:r>
    </w:p>
    <w:p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45"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(rappelé en Annexe 1)</w:t>
      </w:r>
      <w:r w:rsidR="00D702B0">
        <w:rPr>
          <w:rFonts w:ascii="Times New Roman" w:hAnsi="Times New Roman"/>
        </w:rPr>
        <w:t xml:space="preserve"> et utilisées dans l’état FR13.01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rsidR="00CF4335" w:rsidRPr="00EA2FE3" w:rsidRDefault="00CF4335" w:rsidP="00CF4335">
      <w:pPr>
        <w:pStyle w:val="newid"/>
        <w:spacing w:before="0"/>
        <w:ind w:left="0" w:firstLine="601"/>
        <w:rPr>
          <w:rFonts w:ascii="Times New Roman" w:hAnsi="Times New Roman"/>
        </w:rPr>
      </w:pPr>
    </w:p>
    <w:p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rsidR="00191C8B" w:rsidRPr="00EA2FE3" w:rsidRDefault="00191C8B" w:rsidP="00CF4335">
      <w:pPr>
        <w:pStyle w:val="newid"/>
        <w:spacing w:before="0"/>
        <w:ind w:left="0" w:firstLine="601"/>
        <w:rPr>
          <w:rFonts w:ascii="Times New Roman" w:hAnsi="Times New Roman"/>
        </w:rPr>
      </w:pPr>
    </w:p>
    <w:p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rsidR="00501CF3" w:rsidRPr="00EA2FE3" w:rsidRDefault="00501CF3" w:rsidP="00501CF3">
      <w:pPr>
        <w:pStyle w:val="Paragraphedeliste"/>
        <w:ind w:left="388"/>
        <w:rPr>
          <w:rFonts w:ascii="Times New Roman" w:eastAsia="Arial Unicode MS" w:hAnsi="Times New Roman"/>
          <w:b/>
          <w:sz w:val="22"/>
          <w:szCs w:val="22"/>
          <w:lang w:eastAsia="fr-FR"/>
        </w:rPr>
      </w:pPr>
    </w:p>
    <w:p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xml:space="preserve"> entre </w:t>
      </w:r>
      <w:r w:rsidR="004A4B81" w:rsidRPr="00EA2FE3">
        <w:rPr>
          <w:rFonts w:ascii="Times New Roman" w:hAnsi="Times New Roman"/>
        </w:rPr>
        <w:t xml:space="preserve"> autres</w:t>
      </w:r>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rsidR="00B82936" w:rsidRPr="00EA2FE3" w:rsidRDefault="00B82936" w:rsidP="00B82936">
      <w:pPr>
        <w:pStyle w:val="newid"/>
        <w:numPr>
          <w:ilvl w:val="1"/>
          <w:numId w:val="14"/>
        </w:numPr>
        <w:rPr>
          <w:rFonts w:ascii="Times New Roman" w:hAnsi="Times New Roman"/>
        </w:rPr>
      </w:pPr>
      <w:r w:rsidRPr="00EA2FE3">
        <w:rPr>
          <w:rFonts w:ascii="Times New Roman" w:hAnsi="Times New Roman"/>
        </w:rPr>
        <w:t>des articles « article 39 »</w:t>
      </w:r>
      <w:r w:rsidR="00236615" w:rsidRPr="00EA2FE3">
        <w:rPr>
          <w:rFonts w:ascii="Times New Roman" w:hAnsi="Times New Roman"/>
        </w:rPr>
        <w:t xml:space="preserve"> : </w:t>
      </w:r>
      <w:r w:rsidRPr="00EA2FE3">
        <w:rPr>
          <w:rFonts w:ascii="Times New Roman" w:hAnsi="Times New Roman"/>
        </w:rPr>
        <w:t>contrat</w:t>
      </w:r>
      <w:r w:rsidR="00236615" w:rsidRPr="00EA2FE3">
        <w:rPr>
          <w:rFonts w:ascii="Times New Roman" w:hAnsi="Times New Roman"/>
        </w:rPr>
        <w:t>s</w:t>
      </w:r>
      <w:r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 xml:space="preserve">es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es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rsidR="00C9337E" w:rsidRPr="00EA2FE3" w:rsidRDefault="0010317D" w:rsidP="00E40BEE">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mais ne relevant </w:t>
      </w:r>
      <w:r w:rsidR="003170DF" w:rsidRPr="00EA2FE3">
        <w:rPr>
          <w:rFonts w:ascii="Times New Roman" w:hAnsi="Times New Roman"/>
          <w:u w:val="single"/>
        </w:rPr>
        <w:t>pas</w:t>
      </w:r>
      <w:r w:rsidR="003170DF" w:rsidRPr="00EA2FE3">
        <w:rPr>
          <w:rFonts w:ascii="Times New Roman" w:hAnsi="Times New Roman"/>
        </w:rPr>
        <w:t xml:space="preserve"> des articles L. 143-1 et L. 144-2 </w:t>
      </w:r>
      <w:r w:rsidRPr="00EA2FE3">
        <w:rPr>
          <w:rFonts w:ascii="Times New Roman" w:hAnsi="Times New Roman"/>
        </w:rPr>
        <w:t xml:space="preserve"> (</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concernent:</w:t>
      </w:r>
    </w:p>
    <w:p w:rsidR="001C1CB4" w:rsidRPr="00EA2FE3" w:rsidRDefault="00C9337E" w:rsidP="003840FC">
      <w:pPr>
        <w:pStyle w:val="newid"/>
        <w:numPr>
          <w:ilvl w:val="1"/>
          <w:numId w:val="14"/>
        </w:numPr>
        <w:rPr>
          <w:rFonts w:ascii="Times New Roman" w:hAnsi="Times New Roman"/>
        </w:rPr>
      </w:pPr>
      <w:r w:rsidRPr="00EA2FE3">
        <w:rPr>
          <w:rFonts w:ascii="Times New Roman" w:hAnsi="Times New Roman"/>
        </w:rPr>
        <w:t>l</w:t>
      </w:r>
      <w:r w:rsidR="0010317D" w:rsidRPr="00EA2FE3">
        <w:rPr>
          <w:rFonts w:ascii="Times New Roman" w:hAnsi="Times New Roman"/>
        </w:rPr>
        <w:t>es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rsidR="0054568D" w:rsidRPr="00EA2FE3" w:rsidRDefault="00FB0F34" w:rsidP="00E40BEE">
      <w:pPr>
        <w:pStyle w:val="newid"/>
        <w:numPr>
          <w:ilvl w:val="1"/>
          <w:numId w:val="14"/>
        </w:numPr>
        <w:rPr>
          <w:rFonts w:ascii="Times New Roman" w:hAnsi="Times New Roman"/>
        </w:rPr>
      </w:pPr>
      <w:r w:rsidRPr="00EA2FE3">
        <w:rPr>
          <w:rFonts w:ascii="Times New Roman" w:hAnsi="Times New Roman"/>
        </w:rPr>
        <w:t>l</w:t>
      </w:r>
      <w:r w:rsidR="001C1CB4" w:rsidRPr="00EA2FE3">
        <w:rPr>
          <w:rFonts w:ascii="Times New Roman" w:hAnsi="Times New Roman"/>
        </w:rPr>
        <w:t>es contrats destinés aux fonctionnaires et élus locaux (PREFON, COREM, CRH, FONPEL, CAREL)</w:t>
      </w:r>
      <w:r w:rsidR="0054568D" w:rsidRPr="00EA2FE3">
        <w:rPr>
          <w:rFonts w:ascii="Times New Roman" w:hAnsi="Times New Roman"/>
        </w:rPr>
        <w:t>.</w:t>
      </w:r>
    </w:p>
    <w:p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 xml:space="preserve">Les contrats relevant de l’article L 144-2 </w:t>
      </w:r>
      <w:r w:rsidR="003170DF" w:rsidRPr="00EA2FE3">
        <w:rPr>
          <w:rFonts w:ascii="Times New Roman" w:hAnsi="Times New Roman"/>
        </w:rPr>
        <w:t xml:space="preserve">mais ne relevant </w:t>
      </w:r>
      <w:r w:rsidR="003170DF" w:rsidRPr="00EA2FE3">
        <w:rPr>
          <w:rFonts w:ascii="Times New Roman" w:hAnsi="Times New Roman"/>
          <w:u w:val="single"/>
        </w:rPr>
        <w:t>pas</w:t>
      </w:r>
      <w:r w:rsidR="003170DF" w:rsidRPr="00EA2FE3">
        <w:rPr>
          <w:rFonts w:ascii="Times New Roman" w:hAnsi="Times New Roman"/>
        </w:rPr>
        <w:t xml:space="preserve"> de l'article L. 143-1 </w:t>
      </w:r>
      <w:r w:rsidRPr="00EA2FE3">
        <w:rPr>
          <w:rFonts w:ascii="Times New Roman" w:hAnsi="Times New Roman"/>
        </w:rPr>
        <w:t>(</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rsidR="00236615" w:rsidRPr="00EA2FE3" w:rsidRDefault="003840FC" w:rsidP="003170DF">
      <w:pPr>
        <w:pStyle w:val="newid"/>
        <w:numPr>
          <w:ilvl w:val="1"/>
          <w:numId w:val="14"/>
        </w:numPr>
        <w:rPr>
          <w:rFonts w:ascii="Times New Roman" w:hAnsi="Times New Roman"/>
        </w:rPr>
      </w:pPr>
      <w:r w:rsidRPr="00EA2FE3">
        <w:rPr>
          <w:rFonts w:ascii="Times New Roman" w:hAnsi="Times New Roman"/>
        </w:rPr>
        <w:t>l</w:t>
      </w:r>
      <w:r w:rsidR="00E8029A" w:rsidRPr="00EA2FE3">
        <w:rPr>
          <w:rFonts w:ascii="Times New Roman" w:hAnsi="Times New Roman"/>
        </w:rPr>
        <w:t xml:space="preserve">es contrats </w:t>
      </w:r>
      <w:r w:rsidRPr="00EA2FE3">
        <w:rPr>
          <w:rFonts w:ascii="Times New Roman" w:hAnsi="Times New Roman"/>
        </w:rPr>
        <w:t>« </w:t>
      </w:r>
      <w:r w:rsidR="00236615" w:rsidRPr="00EA2FE3">
        <w:rPr>
          <w:rFonts w:ascii="Times New Roman" w:hAnsi="Times New Roman"/>
        </w:rPr>
        <w:t>PERP</w:t>
      </w:r>
      <w:r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rsidR="00E40BEE" w:rsidRPr="00EA2FE3" w:rsidRDefault="00E40BEE" w:rsidP="00E40BEE">
      <w:pPr>
        <w:pStyle w:val="newid"/>
        <w:numPr>
          <w:ilvl w:val="1"/>
          <w:numId w:val="14"/>
        </w:numPr>
        <w:rPr>
          <w:rFonts w:ascii="Times New Roman" w:hAnsi="Times New Roman"/>
        </w:rPr>
      </w:pPr>
      <w:r w:rsidRPr="00EA2FE3">
        <w:rPr>
          <w:rFonts w:ascii="Times New Roman" w:hAnsi="Times New Roman"/>
        </w:rPr>
        <w:t>des régimes « branches 26 » et des opérations prévoyant des engagements qui donnent lieu à la constitution d'une provision de diversification, et qui sont internalisés dans un PERP.</w:t>
      </w:r>
    </w:p>
    <w:p w:rsidR="0010317D" w:rsidRPr="00EA2FE3" w:rsidRDefault="0010317D" w:rsidP="0010317D">
      <w:pPr>
        <w:pStyle w:val="newid"/>
        <w:numPr>
          <w:ilvl w:val="0"/>
          <w:numId w:val="14"/>
        </w:numPr>
        <w:rPr>
          <w:rFonts w:ascii="Times New Roman" w:hAnsi="Times New Roman"/>
        </w:rPr>
      </w:pPr>
      <w:r w:rsidRPr="00EA2FE3">
        <w:rPr>
          <w:rFonts w:ascii="Times New Roman" w:hAnsi="Times New Roman"/>
        </w:rPr>
        <w:t>Les contrats de retraite professionnelle régis par l'article L. 143-1 (</w:t>
      </w:r>
      <w:r w:rsidRPr="00EA2FE3">
        <w:rPr>
          <w:rFonts w:ascii="Times New Roman" w:hAnsi="Times New Roman"/>
          <w:b/>
        </w:rPr>
        <w:t>catégorie 12</w:t>
      </w:r>
      <w:r w:rsidRPr="00EA2FE3">
        <w:rPr>
          <w:rFonts w:ascii="Times New Roman" w:hAnsi="Times New Roman"/>
        </w:rPr>
        <w:t xml:space="preserve">) correspondent à des </w:t>
      </w:r>
      <w:r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33317" w:rsidRPr="00EA2FE3">
        <w:rPr>
          <w:rFonts w:ascii="Times New Roman" w:hAnsi="Times New Roman"/>
          <w:b/>
        </w:rPr>
        <w:t xml:space="preserve">, </w:t>
      </w:r>
      <w:r w:rsidR="00433317" w:rsidRPr="00EA2FE3">
        <w:rPr>
          <w:rFonts w:ascii="Times New Roman" w:hAnsi="Times New Roman"/>
        </w:rPr>
        <w:t>en particulier</w:t>
      </w:r>
      <w:r w:rsidR="00E8029A" w:rsidRPr="00EA2FE3">
        <w:rPr>
          <w:rFonts w:ascii="Times New Roman" w:hAnsi="Times New Roman"/>
        </w:rPr>
        <w:t> :</w:t>
      </w:r>
    </w:p>
    <w:p w:rsidR="00C9337E" w:rsidRPr="00EA2FE3" w:rsidRDefault="00C9337E" w:rsidP="00C9337E">
      <w:pPr>
        <w:pStyle w:val="newid"/>
        <w:numPr>
          <w:ilvl w:val="1"/>
          <w:numId w:val="14"/>
        </w:numPr>
        <w:rPr>
          <w:rFonts w:ascii="Times New Roman" w:hAnsi="Times New Roman"/>
        </w:rPr>
      </w:pPr>
      <w:r w:rsidRPr="00EA2FE3">
        <w:rPr>
          <w:rFonts w:ascii="Times New Roman" w:hAnsi="Times New Roman"/>
        </w:rPr>
        <w:t xml:space="preserve">Ne peuvent entrer dans cette catégorie que des contrats d'assurance sur la vie dont les prestations sont liées à la cessation d'activité professionnelle et sont versées en supplément des prestations servies par les régimes de base et complémentaires légalement obligatoires. Ces contrats sont souscrits : </w:t>
      </w:r>
    </w:p>
    <w:p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Par un employeur ou un groupe d'employeurs au profit de leurs salariés ou anciens salariés, ou par un groupe professionnel représentatif d'employeurs au profit des salariés ou anciens salariés de ceux-ci. Ils revêtent un caractère collectif déterminé dans le cadre d'une des procédures mentionnées à l'article L. 911-1 du code de la sécurité sociale ; </w:t>
      </w:r>
    </w:p>
    <w:p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Ou par une association mentionnée à l'article L. 144-1. </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 xml:space="preserve">Cette catégorie concerne les régimes dits « RPS », c’est-à-dire des opérations pratiquées par les entreprises d'assurance dans le cadre de l'agrément administratif accordé pour les activités de retraite professionnelle supplémentaire. </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Cette catégorie peut inclure des régimes branche 26 et théoriquement des PERP voire des contrats contenant des engagements qui donnent lieu à la constitution d'une provision de diversification (si caractère professionnel).</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Elle peut contenir des engagements en euro et/ou UC relevant notamment de l’article 39 ou 83.</w:t>
      </w:r>
    </w:p>
    <w:p w:rsidR="0010317D" w:rsidRPr="00EA2FE3" w:rsidRDefault="0010317D" w:rsidP="00C9337E">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relevant de l'article L. 134-1 mais ne relevant pas des articles L. 143-1 et L. 144-2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Eurocroissance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 xml:space="preserve">les engagements qui donnent lieu à la constitution d'une provision de diversification qui ne </w:t>
      </w:r>
      <w:r w:rsidR="00433317" w:rsidRPr="00EA2FE3">
        <w:rPr>
          <w:rFonts w:ascii="Times New Roman" w:hAnsi="Times New Roman"/>
        </w:rPr>
        <w:t xml:space="preserve">sont </w:t>
      </w:r>
      <w:r w:rsidRPr="00EA2FE3">
        <w:rPr>
          <w:rFonts w:ascii="Times New Roman" w:hAnsi="Times New Roman"/>
        </w:rPr>
        <w:t>pas dans un RPS ou un PERP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 xml:space="preserve">les engagements qui donnent lieu à la constitution d'une provision de diversification qui peuvent être des engagements en cas de vie ou en cas de décès, à l'exception d'engagements d'assurance temporaire en cas de décès. Ces engagements peuvent comprendre la garantie d'une rente ou un capital à échéance dans des conditions précisées par un décret en Conseil d'Etat. Ils donnent lieu à la constitution d'une provision de diversification destinée à absorber les fluctuations des actifs en représentation. La rente ou le capital garantis sont exprimés en euros et en parts de provisions de diversification ;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le</w:t>
      </w:r>
      <w:r w:rsidR="004D0C48" w:rsidRPr="00EA2FE3">
        <w:rPr>
          <w:rFonts w:ascii="Times New Roman" w:hAnsi="Times New Roman"/>
        </w:rPr>
        <w:t>s</w:t>
      </w:r>
      <w:r w:rsidRPr="00EA2FE3">
        <w:rPr>
          <w:rFonts w:ascii="Times New Roman" w:hAnsi="Times New Roman"/>
        </w:rPr>
        <w:t xml:space="preserve"> versement</w:t>
      </w:r>
      <w:r w:rsidR="004D0C48" w:rsidRPr="00EA2FE3">
        <w:rPr>
          <w:rFonts w:ascii="Times New Roman" w:hAnsi="Times New Roman"/>
        </w:rPr>
        <w:t>s</w:t>
      </w:r>
      <w:r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Pr="00EA2FE3">
        <w:rPr>
          <w:rFonts w:ascii="Times New Roman" w:hAnsi="Times New Roman"/>
        </w:rPr>
        <w:t>peu</w:t>
      </w:r>
      <w:r w:rsidR="004D0C48" w:rsidRPr="00EA2FE3">
        <w:rPr>
          <w:rFonts w:ascii="Times New Roman" w:hAnsi="Times New Roman"/>
        </w:rPr>
        <w:t>ven</w:t>
      </w:r>
      <w:r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rsidR="00236615" w:rsidRPr="00EA2FE3" w:rsidRDefault="004D0C48"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rsidR="00191C8B" w:rsidRPr="00EA2FE3"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sectPr w:rsidR="00191C8B"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DFB" w:rsidRDefault="00946DFB" w:rsidP="007D16A8">
      <w:r>
        <w:separator/>
      </w:r>
    </w:p>
  </w:endnote>
  <w:endnote w:type="continuationSeparator" w:id="0">
    <w:p w:rsidR="00946DFB" w:rsidRDefault="00946DFB"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2141"/>
      <w:docPartObj>
        <w:docPartGallery w:val="Page Numbers (Bottom of Page)"/>
        <w:docPartUnique/>
      </w:docPartObj>
    </w:sdtPr>
    <w:sdtEndPr/>
    <w:sdtContent>
      <w:p w:rsidR="00946DFB" w:rsidRDefault="00946DFB"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7A392C">
          <w:rPr>
            <w:noProof/>
          </w:rPr>
          <w:t>22</w:t>
        </w:r>
        <w:r>
          <w:rPr>
            <w:noProof/>
          </w:rPr>
          <w:fldChar w:fldCharType="end"/>
        </w:r>
      </w:p>
    </w:sdtContent>
  </w:sdt>
  <w:p w:rsidR="00946DFB" w:rsidRDefault="00946D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DFB" w:rsidRDefault="00946DFB" w:rsidP="007D16A8">
      <w:r>
        <w:separator/>
      </w:r>
    </w:p>
  </w:footnote>
  <w:footnote w:type="continuationSeparator" w:id="0">
    <w:p w:rsidR="00946DFB" w:rsidRDefault="00946DFB" w:rsidP="007D16A8">
      <w:r>
        <w:continuationSeparator/>
      </w:r>
    </w:p>
  </w:footnote>
  <w:footnote w:id="1">
    <w:p w:rsidR="00946DFB" w:rsidRDefault="00946DFB"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4"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DD5064"/>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0"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2"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376BF6"/>
    <w:multiLevelType w:val="multilevel"/>
    <w:tmpl w:val="C0B6861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16"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8D329E9"/>
    <w:multiLevelType w:val="multilevel"/>
    <w:tmpl w:val="CF3CDE36"/>
    <w:lvl w:ilvl="0">
      <w:start w:val="1"/>
      <w:numFmt w:val="decimal"/>
      <w:pStyle w:val="Titre10"/>
      <w:suff w:val="space"/>
      <w:lvlText w:val="%1."/>
      <w:lvlJc w:val="left"/>
      <w:pPr>
        <w:ind w:left="0" w:firstLine="0"/>
      </w:pPr>
    </w:lvl>
    <w:lvl w:ilvl="1">
      <w:start w:val="1"/>
      <w:numFmt w:val="decimal"/>
      <w:pStyle w:val="Titre20"/>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1"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20"/>
  </w:num>
  <w:num w:numId="2">
    <w:abstractNumId w:val="20"/>
  </w:num>
  <w:num w:numId="3">
    <w:abstractNumId w:val="20"/>
  </w:num>
  <w:num w:numId="4">
    <w:abstractNumId w:val="20"/>
  </w:num>
  <w:num w:numId="5">
    <w:abstractNumId w:val="20"/>
  </w:num>
  <w:num w:numId="6">
    <w:abstractNumId w:val="8"/>
  </w:num>
  <w:num w:numId="7">
    <w:abstractNumId w:val="15"/>
  </w:num>
  <w:num w:numId="8">
    <w:abstractNumId w:val="2"/>
  </w:num>
  <w:num w:numId="9">
    <w:abstractNumId w:val="4"/>
  </w:num>
  <w:num w:numId="10">
    <w:abstractNumId w:val="18"/>
  </w:num>
  <w:num w:numId="11">
    <w:abstractNumId w:val="14"/>
  </w:num>
  <w:num w:numId="12">
    <w:abstractNumId w:val="6"/>
  </w:num>
  <w:num w:numId="13">
    <w:abstractNumId w:val="3"/>
  </w:num>
  <w:num w:numId="14">
    <w:abstractNumId w:val="9"/>
  </w:num>
  <w:num w:numId="15">
    <w:abstractNumId w:val="1"/>
  </w:num>
  <w:num w:numId="16">
    <w:abstractNumId w:val="19"/>
  </w:num>
  <w:num w:numId="17">
    <w:abstractNumId w:val="5"/>
  </w:num>
  <w:num w:numId="18">
    <w:abstractNumId w:val="7"/>
  </w:num>
  <w:num w:numId="19">
    <w:abstractNumId w:val="11"/>
  </w:num>
  <w:num w:numId="20">
    <w:abstractNumId w:val="13"/>
  </w:num>
  <w:num w:numId="21">
    <w:abstractNumId w:val="23"/>
  </w:num>
  <w:num w:numId="22">
    <w:abstractNumId w:val="10"/>
  </w:num>
  <w:num w:numId="23">
    <w:abstractNumId w:val="12"/>
  </w:num>
  <w:num w:numId="24">
    <w:abstractNumId w:val="24"/>
  </w:num>
  <w:num w:numId="25">
    <w:abstractNumId w:val="22"/>
  </w:num>
  <w:num w:numId="26">
    <w:abstractNumId w:val="21"/>
  </w:num>
  <w:num w:numId="27">
    <w:abstractNumId w:val="16"/>
  </w:num>
  <w:num w:numId="28">
    <w:abstractNumId w:val="17"/>
  </w:num>
  <w:num w:numId="29">
    <w:abstractNumId w:val="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PITAINE Gaëlle (UA 2771)">
    <w15:presenceInfo w15:providerId="AD" w15:userId="S-1-5-21-932784933-1916278750-2019186543-1472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7B124D"/>
    <w:rsid w:val="00005501"/>
    <w:rsid w:val="00005557"/>
    <w:rsid w:val="00016A04"/>
    <w:rsid w:val="00026B0D"/>
    <w:rsid w:val="00034AE3"/>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642C"/>
    <w:rsid w:val="000B0226"/>
    <w:rsid w:val="000C3928"/>
    <w:rsid w:val="000C571B"/>
    <w:rsid w:val="000C5D28"/>
    <w:rsid w:val="000C68DC"/>
    <w:rsid w:val="000C7241"/>
    <w:rsid w:val="000C7C92"/>
    <w:rsid w:val="000D483F"/>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C0B2D"/>
    <w:rsid w:val="001C1CB4"/>
    <w:rsid w:val="001C345A"/>
    <w:rsid w:val="001D1D2D"/>
    <w:rsid w:val="001D2CA7"/>
    <w:rsid w:val="001D305C"/>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7AE6"/>
    <w:rsid w:val="002A2FDB"/>
    <w:rsid w:val="002A4D6C"/>
    <w:rsid w:val="002B45C8"/>
    <w:rsid w:val="002B674C"/>
    <w:rsid w:val="002C5232"/>
    <w:rsid w:val="002C681D"/>
    <w:rsid w:val="002D156C"/>
    <w:rsid w:val="002E1985"/>
    <w:rsid w:val="002F66B5"/>
    <w:rsid w:val="002F75BF"/>
    <w:rsid w:val="003035EF"/>
    <w:rsid w:val="00303EDB"/>
    <w:rsid w:val="0030437F"/>
    <w:rsid w:val="003043A6"/>
    <w:rsid w:val="00304E30"/>
    <w:rsid w:val="003125A8"/>
    <w:rsid w:val="0031663E"/>
    <w:rsid w:val="003170DF"/>
    <w:rsid w:val="00322617"/>
    <w:rsid w:val="00327BB6"/>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92270"/>
    <w:rsid w:val="00396B2C"/>
    <w:rsid w:val="003A1178"/>
    <w:rsid w:val="003A5C83"/>
    <w:rsid w:val="003A6543"/>
    <w:rsid w:val="003B437F"/>
    <w:rsid w:val="003B4C70"/>
    <w:rsid w:val="003C20B6"/>
    <w:rsid w:val="003C3EDE"/>
    <w:rsid w:val="003C60BE"/>
    <w:rsid w:val="003C6A91"/>
    <w:rsid w:val="003D257B"/>
    <w:rsid w:val="003D5407"/>
    <w:rsid w:val="003E1149"/>
    <w:rsid w:val="003E641A"/>
    <w:rsid w:val="003F04AA"/>
    <w:rsid w:val="003F47DC"/>
    <w:rsid w:val="00403ACF"/>
    <w:rsid w:val="00403EEE"/>
    <w:rsid w:val="00417476"/>
    <w:rsid w:val="00424D0C"/>
    <w:rsid w:val="00425C36"/>
    <w:rsid w:val="00430217"/>
    <w:rsid w:val="004320B8"/>
    <w:rsid w:val="00433317"/>
    <w:rsid w:val="0044015C"/>
    <w:rsid w:val="0044155E"/>
    <w:rsid w:val="00445A51"/>
    <w:rsid w:val="00453CB4"/>
    <w:rsid w:val="00462AFD"/>
    <w:rsid w:val="004650E3"/>
    <w:rsid w:val="00466DD4"/>
    <w:rsid w:val="004703D9"/>
    <w:rsid w:val="00473AB2"/>
    <w:rsid w:val="00474009"/>
    <w:rsid w:val="0048358C"/>
    <w:rsid w:val="004873CE"/>
    <w:rsid w:val="00492654"/>
    <w:rsid w:val="004A334C"/>
    <w:rsid w:val="004A4B81"/>
    <w:rsid w:val="004A551E"/>
    <w:rsid w:val="004B2F7A"/>
    <w:rsid w:val="004B3206"/>
    <w:rsid w:val="004B445D"/>
    <w:rsid w:val="004B559B"/>
    <w:rsid w:val="004B63A8"/>
    <w:rsid w:val="004C23AB"/>
    <w:rsid w:val="004C341D"/>
    <w:rsid w:val="004C4AAE"/>
    <w:rsid w:val="004D0C48"/>
    <w:rsid w:val="004D6DCE"/>
    <w:rsid w:val="004E44DE"/>
    <w:rsid w:val="004F342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E1767"/>
    <w:rsid w:val="005E2D17"/>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53F8"/>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4E99"/>
    <w:rsid w:val="006C136D"/>
    <w:rsid w:val="006C50B7"/>
    <w:rsid w:val="006C6022"/>
    <w:rsid w:val="006D0810"/>
    <w:rsid w:val="006D41ED"/>
    <w:rsid w:val="006D4703"/>
    <w:rsid w:val="006D574B"/>
    <w:rsid w:val="006D663E"/>
    <w:rsid w:val="006E07E2"/>
    <w:rsid w:val="006E5177"/>
    <w:rsid w:val="006E631E"/>
    <w:rsid w:val="006F48DE"/>
    <w:rsid w:val="0070163E"/>
    <w:rsid w:val="00721223"/>
    <w:rsid w:val="00722DE2"/>
    <w:rsid w:val="007273B2"/>
    <w:rsid w:val="00727BBC"/>
    <w:rsid w:val="00733456"/>
    <w:rsid w:val="007338AD"/>
    <w:rsid w:val="007342A9"/>
    <w:rsid w:val="00735962"/>
    <w:rsid w:val="0073663C"/>
    <w:rsid w:val="007405C3"/>
    <w:rsid w:val="00741C51"/>
    <w:rsid w:val="00760918"/>
    <w:rsid w:val="0076227F"/>
    <w:rsid w:val="007659C4"/>
    <w:rsid w:val="0077015F"/>
    <w:rsid w:val="0077330B"/>
    <w:rsid w:val="00777E90"/>
    <w:rsid w:val="0078417E"/>
    <w:rsid w:val="00793651"/>
    <w:rsid w:val="00794499"/>
    <w:rsid w:val="007A15AF"/>
    <w:rsid w:val="007A26EB"/>
    <w:rsid w:val="007A392C"/>
    <w:rsid w:val="007A7A34"/>
    <w:rsid w:val="007A7CF7"/>
    <w:rsid w:val="007B124D"/>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2531"/>
    <w:rsid w:val="0081720C"/>
    <w:rsid w:val="008251C1"/>
    <w:rsid w:val="00836B68"/>
    <w:rsid w:val="00837782"/>
    <w:rsid w:val="008454DF"/>
    <w:rsid w:val="008556C2"/>
    <w:rsid w:val="008567A8"/>
    <w:rsid w:val="00856BC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922"/>
    <w:rsid w:val="008B3834"/>
    <w:rsid w:val="008B551A"/>
    <w:rsid w:val="008C2A5E"/>
    <w:rsid w:val="008C31D5"/>
    <w:rsid w:val="008C3898"/>
    <w:rsid w:val="008C6973"/>
    <w:rsid w:val="008D166E"/>
    <w:rsid w:val="008D2AE6"/>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426B"/>
    <w:rsid w:val="00946DFB"/>
    <w:rsid w:val="009526B3"/>
    <w:rsid w:val="00955170"/>
    <w:rsid w:val="009661A9"/>
    <w:rsid w:val="009700BD"/>
    <w:rsid w:val="00971148"/>
    <w:rsid w:val="0097307C"/>
    <w:rsid w:val="0097476D"/>
    <w:rsid w:val="009751CC"/>
    <w:rsid w:val="0097620A"/>
    <w:rsid w:val="00984B31"/>
    <w:rsid w:val="009864B2"/>
    <w:rsid w:val="00990364"/>
    <w:rsid w:val="00997CAE"/>
    <w:rsid w:val="009A3373"/>
    <w:rsid w:val="009A4B92"/>
    <w:rsid w:val="009A6A5C"/>
    <w:rsid w:val="009A6CCA"/>
    <w:rsid w:val="009A7178"/>
    <w:rsid w:val="009B0C6B"/>
    <w:rsid w:val="009B2279"/>
    <w:rsid w:val="009B346F"/>
    <w:rsid w:val="009B63FA"/>
    <w:rsid w:val="009B6E49"/>
    <w:rsid w:val="009C0DA8"/>
    <w:rsid w:val="009C0E37"/>
    <w:rsid w:val="009C2A0D"/>
    <w:rsid w:val="009C6FCF"/>
    <w:rsid w:val="009D1F31"/>
    <w:rsid w:val="009D6E45"/>
    <w:rsid w:val="009D7561"/>
    <w:rsid w:val="009E290A"/>
    <w:rsid w:val="009E5206"/>
    <w:rsid w:val="009E6FE7"/>
    <w:rsid w:val="009F07E8"/>
    <w:rsid w:val="00A000C4"/>
    <w:rsid w:val="00A06D4D"/>
    <w:rsid w:val="00A076BB"/>
    <w:rsid w:val="00A10CFF"/>
    <w:rsid w:val="00A13D17"/>
    <w:rsid w:val="00A14C46"/>
    <w:rsid w:val="00A14D96"/>
    <w:rsid w:val="00A14FB9"/>
    <w:rsid w:val="00A25EA7"/>
    <w:rsid w:val="00A301E7"/>
    <w:rsid w:val="00A318E8"/>
    <w:rsid w:val="00A32377"/>
    <w:rsid w:val="00A33DBB"/>
    <w:rsid w:val="00A343F9"/>
    <w:rsid w:val="00A367A1"/>
    <w:rsid w:val="00A36D09"/>
    <w:rsid w:val="00A442A6"/>
    <w:rsid w:val="00A552E0"/>
    <w:rsid w:val="00A61D2B"/>
    <w:rsid w:val="00A63CDA"/>
    <w:rsid w:val="00A7136D"/>
    <w:rsid w:val="00A73C42"/>
    <w:rsid w:val="00A8398E"/>
    <w:rsid w:val="00A84A12"/>
    <w:rsid w:val="00A84EB2"/>
    <w:rsid w:val="00A909FF"/>
    <w:rsid w:val="00AB213C"/>
    <w:rsid w:val="00AC711B"/>
    <w:rsid w:val="00AC7DEC"/>
    <w:rsid w:val="00AD1B5C"/>
    <w:rsid w:val="00AD5033"/>
    <w:rsid w:val="00AD6654"/>
    <w:rsid w:val="00AE0C74"/>
    <w:rsid w:val="00AE2662"/>
    <w:rsid w:val="00AE300C"/>
    <w:rsid w:val="00AE43A0"/>
    <w:rsid w:val="00AE5F9E"/>
    <w:rsid w:val="00AF0E9C"/>
    <w:rsid w:val="00AF0F7D"/>
    <w:rsid w:val="00B007A4"/>
    <w:rsid w:val="00B110D1"/>
    <w:rsid w:val="00B11373"/>
    <w:rsid w:val="00B20DD7"/>
    <w:rsid w:val="00B23EF9"/>
    <w:rsid w:val="00B24D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936"/>
    <w:rsid w:val="00B8685D"/>
    <w:rsid w:val="00B96F04"/>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3652"/>
    <w:rsid w:val="00BF2D25"/>
    <w:rsid w:val="00BF3314"/>
    <w:rsid w:val="00BF45C9"/>
    <w:rsid w:val="00BF7226"/>
    <w:rsid w:val="00BF7677"/>
    <w:rsid w:val="00C01177"/>
    <w:rsid w:val="00C02DA1"/>
    <w:rsid w:val="00C05DDD"/>
    <w:rsid w:val="00C10927"/>
    <w:rsid w:val="00C158D8"/>
    <w:rsid w:val="00C209FF"/>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4F91"/>
    <w:rsid w:val="00C87378"/>
    <w:rsid w:val="00C928ED"/>
    <w:rsid w:val="00C9337E"/>
    <w:rsid w:val="00C93878"/>
    <w:rsid w:val="00C950AB"/>
    <w:rsid w:val="00CA47DC"/>
    <w:rsid w:val="00CA4C64"/>
    <w:rsid w:val="00CA5F13"/>
    <w:rsid w:val="00CB4307"/>
    <w:rsid w:val="00CB59A1"/>
    <w:rsid w:val="00CB6C3B"/>
    <w:rsid w:val="00CC3C57"/>
    <w:rsid w:val="00CC5EE1"/>
    <w:rsid w:val="00CE054E"/>
    <w:rsid w:val="00CE1C4B"/>
    <w:rsid w:val="00CE44FA"/>
    <w:rsid w:val="00CF176E"/>
    <w:rsid w:val="00CF4335"/>
    <w:rsid w:val="00D0080A"/>
    <w:rsid w:val="00D00CDB"/>
    <w:rsid w:val="00D03E6D"/>
    <w:rsid w:val="00D05B53"/>
    <w:rsid w:val="00D103E9"/>
    <w:rsid w:val="00D12D62"/>
    <w:rsid w:val="00D13C89"/>
    <w:rsid w:val="00D15160"/>
    <w:rsid w:val="00D275A5"/>
    <w:rsid w:val="00D4205B"/>
    <w:rsid w:val="00D42BB9"/>
    <w:rsid w:val="00D43B2A"/>
    <w:rsid w:val="00D502DD"/>
    <w:rsid w:val="00D537F5"/>
    <w:rsid w:val="00D61D28"/>
    <w:rsid w:val="00D63AED"/>
    <w:rsid w:val="00D664D4"/>
    <w:rsid w:val="00D66FBB"/>
    <w:rsid w:val="00D70291"/>
    <w:rsid w:val="00D702B0"/>
    <w:rsid w:val="00D7196D"/>
    <w:rsid w:val="00D76EB6"/>
    <w:rsid w:val="00D7760E"/>
    <w:rsid w:val="00D93190"/>
    <w:rsid w:val="00D95AEB"/>
    <w:rsid w:val="00D978F5"/>
    <w:rsid w:val="00DA09DB"/>
    <w:rsid w:val="00DB0D1B"/>
    <w:rsid w:val="00DB17B5"/>
    <w:rsid w:val="00DB3C04"/>
    <w:rsid w:val="00DB4C16"/>
    <w:rsid w:val="00DB5035"/>
    <w:rsid w:val="00DC3E94"/>
    <w:rsid w:val="00DC5492"/>
    <w:rsid w:val="00DE0220"/>
    <w:rsid w:val="00DE09F9"/>
    <w:rsid w:val="00DE14F7"/>
    <w:rsid w:val="00DE24D0"/>
    <w:rsid w:val="00DE55E1"/>
    <w:rsid w:val="00E0561D"/>
    <w:rsid w:val="00E07654"/>
    <w:rsid w:val="00E10B97"/>
    <w:rsid w:val="00E308E6"/>
    <w:rsid w:val="00E33A8F"/>
    <w:rsid w:val="00E33D15"/>
    <w:rsid w:val="00E366F5"/>
    <w:rsid w:val="00E36875"/>
    <w:rsid w:val="00E40BEE"/>
    <w:rsid w:val="00E473E7"/>
    <w:rsid w:val="00E53AEE"/>
    <w:rsid w:val="00E54822"/>
    <w:rsid w:val="00E61F1A"/>
    <w:rsid w:val="00E62A7E"/>
    <w:rsid w:val="00E633C0"/>
    <w:rsid w:val="00E71342"/>
    <w:rsid w:val="00E733A4"/>
    <w:rsid w:val="00E7438A"/>
    <w:rsid w:val="00E74F0A"/>
    <w:rsid w:val="00E8029A"/>
    <w:rsid w:val="00E80677"/>
    <w:rsid w:val="00E81464"/>
    <w:rsid w:val="00E84E32"/>
    <w:rsid w:val="00E92248"/>
    <w:rsid w:val="00E977BD"/>
    <w:rsid w:val="00EA2FE3"/>
    <w:rsid w:val="00EA3F8C"/>
    <w:rsid w:val="00EA4F6C"/>
    <w:rsid w:val="00EB6FC7"/>
    <w:rsid w:val="00EC04E8"/>
    <w:rsid w:val="00EC0F03"/>
    <w:rsid w:val="00ED75E2"/>
    <w:rsid w:val="00EE2C07"/>
    <w:rsid w:val="00EE707C"/>
    <w:rsid w:val="00EE754D"/>
    <w:rsid w:val="00EF6502"/>
    <w:rsid w:val="00EF72D0"/>
    <w:rsid w:val="00F013E9"/>
    <w:rsid w:val="00F02D79"/>
    <w:rsid w:val="00F0730D"/>
    <w:rsid w:val="00F10C4E"/>
    <w:rsid w:val="00F130EB"/>
    <w:rsid w:val="00F1377A"/>
    <w:rsid w:val="00F15E0B"/>
    <w:rsid w:val="00F229E7"/>
    <w:rsid w:val="00F2679D"/>
    <w:rsid w:val="00F310D0"/>
    <w:rsid w:val="00F31281"/>
    <w:rsid w:val="00F31AD0"/>
    <w:rsid w:val="00F34017"/>
    <w:rsid w:val="00F34843"/>
    <w:rsid w:val="00F42A3A"/>
    <w:rsid w:val="00F464B5"/>
    <w:rsid w:val="00F47F15"/>
    <w:rsid w:val="00F50EF3"/>
    <w:rsid w:val="00F5724F"/>
    <w:rsid w:val="00F57E90"/>
    <w:rsid w:val="00F67EFC"/>
    <w:rsid w:val="00F848A8"/>
    <w:rsid w:val="00F86927"/>
    <w:rsid w:val="00F87C49"/>
    <w:rsid w:val="00F902DC"/>
    <w:rsid w:val="00F91780"/>
    <w:rsid w:val="00F92A3C"/>
    <w:rsid w:val="00F9680B"/>
    <w:rsid w:val="00FA1DE5"/>
    <w:rsid w:val="00FA1FC5"/>
    <w:rsid w:val="00FB08AA"/>
    <w:rsid w:val="00FB0F34"/>
    <w:rsid w:val="00FB53F2"/>
    <w:rsid w:val="00FB77F3"/>
    <w:rsid w:val="00FB7B33"/>
    <w:rsid w:val="00FC5BAC"/>
    <w:rsid w:val="00FD72FE"/>
    <w:rsid w:val="00FD7F47"/>
    <w:rsid w:val="00FE085A"/>
    <w:rsid w:val="00FE5C9E"/>
    <w:rsid w:val="00FE77D0"/>
    <w:rsid w:val="00FF00E5"/>
    <w:rsid w:val="00FF1ED6"/>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B290B"/>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E90"/>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7"/>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7"/>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93783&amp;dateTexte=&amp;categorieLien=cid" TargetMode="External"/><Relationship Id="rId18" Type="http://schemas.openxmlformats.org/officeDocument/2006/relationships/image" Target="media/image2.png"/><Relationship Id="rId26" Type="http://schemas.openxmlformats.org/officeDocument/2006/relationships/hyperlink" Target="https://www.legifrance.gouv.fr/affichCodeArticle.do?cidTexte=LEGITEXT000006073984&amp;idArticle=LEGIARTI000006796289&amp;dateTexte=&amp;categorieLien=cid" TargetMode="External"/><Relationship Id="rId39" Type="http://schemas.openxmlformats.org/officeDocument/2006/relationships/hyperlink" Target="https://www.legifrance.gouv.fr/affichCodeArticle.do?cidTexte=LEGITEXT000006073984&amp;idArticle=LEGIARTI000034382862&amp;dateTexte=&amp;categorieLien=cid" TargetMode="Externa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hyperlink" Target="https://www.legifrance.gouv.fr/affichCodeArticle.do?cidTexte=LEGITEXT000006073984&amp;idArticle=LEGIARTI000006796289&amp;dateTexte=&amp;categorieLien=cid" TargetMode="External"/><Relationship Id="rId42" Type="http://schemas.openxmlformats.org/officeDocument/2006/relationships/hyperlink" Target="https://www.legifrance.gouv.fr/affichCodeArticle.do?cidTexte=LEGITEXT000006073984&amp;idArticle=LEGIARTI000006788936&amp;dateTexte=&amp;categorieLien=cid" TargetMode="Externa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Article.do?cidTexte=LEGITEXT000006073984&amp;idArticle=LEGIARTI000006803032&amp;dateTexte=&amp;categorieLien=cid" TargetMode="External"/><Relationship Id="rId17" Type="http://schemas.openxmlformats.org/officeDocument/2006/relationships/hyperlink" Target="http://www.legifrance.gouv.fr/affichCodeArticle.do?idArticle=LEGIARTI000006786141&amp;cidTexte=LEGITEXT000006073984&amp;dateTexte=20090619&amp;oldAction=rechCodeArticle" TargetMode="External"/><Relationship Id="rId25" Type="http://schemas.openxmlformats.org/officeDocument/2006/relationships/hyperlink" Target="https://www.legifrance.gouv.fr/affichTexteArticle.do;jsessionid=60AB9E91160B849558AB4D26F7EEDC7A.tplgfr30s_1?cidTexte=JORFTEXT000035511666&amp;idArticle=LEGIARTI000035513391&amp;dateTexte=20171221&amp;categorieLien=id" TargetMode="External"/><Relationship Id="rId33"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38" Type="http://schemas.openxmlformats.org/officeDocument/2006/relationships/hyperlink" Target="https://www.legifrance.gouv.fr/affichCodeArticle.do?cidTexte=LEGITEXT000006073984&amp;idArticle=LEGIARTI000006796289&amp;dateTexte=&amp;categorieLien=cid"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egifrance.com/affichCodeArticle.do?cidTexte=LEGITEXT000006073984&amp;idArticle=LEGIARTI000006786107&amp;dateTexte=&amp;categorieLien=cid" TargetMode="External"/><Relationship Id="rId20" Type="http://schemas.openxmlformats.org/officeDocument/2006/relationships/image" Target="media/image4.emf"/><Relationship Id="rId29" Type="http://schemas.openxmlformats.org/officeDocument/2006/relationships/hyperlink" Target="https://www.legifrance.gouv.fr/affichCodeArticle.do?cidTexte=LEGITEXT000006073984&amp;idArticle=LEGIARTI000006803032&amp;dateTexte=&amp;categorieLien=cid" TargetMode="External"/><Relationship Id="rId41" Type="http://schemas.openxmlformats.org/officeDocument/2006/relationships/hyperlink" Target="https://www.legifrance.gouv.fr/affichCodeArticle.do?cidTexte=LEGITEXT000006073984&amp;idArticle=LEGIARTI000035514622&amp;dateTexte=&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com/affichCodeArticle.do?cidTexte=LEGITEXT000006073984&amp;idArticle=LEGIARTI000006788936&amp;dateTexte=&amp;categorieLien=cid" TargetMode="External"/><Relationship Id="rId24" Type="http://schemas.openxmlformats.org/officeDocument/2006/relationships/image" Target="media/image8.emf"/><Relationship Id="rId32" Type="http://schemas.openxmlformats.org/officeDocument/2006/relationships/hyperlink" Target="https://www.legifrance.gouv.fr/affichCodeArticle.do?cidTexte=LEGITEXT000006073984&amp;idArticle=LEGIARTI000006793656&amp;dateTexte=&amp;categorieLien=cid" TargetMode="External"/><Relationship Id="rId37"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40"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45" Type="http://schemas.openxmlformats.org/officeDocument/2006/relationships/hyperlink" Target="https://www.legifrance.gouv.fr/affichCodeArticle.do?cidTexte=LEGITEXT000006073984&amp;idArticle=LEGIARTI000006788936&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3984&amp;idArticle=LEGIARTI000006793656&amp;dateTexte=&amp;categorieLien=cid" TargetMode="External"/><Relationship Id="rId23" Type="http://schemas.openxmlformats.org/officeDocument/2006/relationships/image" Target="media/image7.emf"/><Relationship Id="rId28" Type="http://schemas.openxmlformats.org/officeDocument/2006/relationships/hyperlink" Target="https://www.legifrance.gouv.fr/affichCodeArticle.do?cidTexte=LEGITEXT000006073984&amp;idArticle=LEGIARTI000034382862&amp;dateTexte=&amp;categorieLien=cid" TargetMode="External"/><Relationship Id="rId36" Type="http://schemas.openxmlformats.org/officeDocument/2006/relationships/hyperlink" Target="https://www.legifrance.gouv.fr/affichCodeArticle.do?cidTexte=LEGITEXT000006073984&amp;idArticle=LEGIARTI000034382862&amp;dateTexte=&amp;categorieLien=cid" TargetMode="Externa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hyperlink" Target="https://www.legifrance.gouv.fr/affichCodeArticle.do?cidTexte=LEGITEXT000006073984&amp;idArticle=LEGIARTI000029141729&amp;dateTexte=&amp;categorieLien=cid" TargetMode="External"/><Relationship Id="rId44" Type="http://schemas.openxmlformats.org/officeDocument/2006/relationships/hyperlink" Target="https://www.legifrance.gouv.fr/affichCodeArticle.do?cidTexte=LEGITEXT000006073984&amp;idArticle=LEGIARTI000006786121&amp;dateTexte=&amp;categorieLien=cid" TargetMode="External"/><Relationship Id="rId4" Type="http://schemas.openxmlformats.org/officeDocument/2006/relationships/settings" Target="settings.xml"/><Relationship Id="rId9" Type="http://schemas.openxmlformats.org/officeDocument/2006/relationships/hyperlink" Target="mailto:revalotaux@acpr.banque-france.fr" TargetMode="External"/><Relationship Id="rId14" Type="http://schemas.openxmlformats.org/officeDocument/2006/relationships/hyperlink" Target="https://www.legifrance.gouv.fr/affichCodeArticle.do?cidTexte=LEGITEXT000006073984&amp;idArticle=LEGIARTI000029141729&amp;dateTexte=&amp;categorieLien=cid" TargetMode="External"/><Relationship Id="rId22" Type="http://schemas.openxmlformats.org/officeDocument/2006/relationships/image" Target="media/image6.emf"/><Relationship Id="rId27" Type="http://schemas.openxmlformats.org/officeDocument/2006/relationships/hyperlink" Target="https://www.legifrance.gouv.fr/affichCodeArticle.do?cidTexte=LEGITEXT000006073984&amp;idArticle=LEGIARTI000006796400&amp;dateTexte=&amp;categorieLien=cid" TargetMode="External"/><Relationship Id="rId30" Type="http://schemas.openxmlformats.org/officeDocument/2006/relationships/hyperlink" Target="https://www.legifrance.gouv.fr/affichCodeArticle.do?cidTexte=LEGITEXT000006073984&amp;idArticle=LEGIARTI000006793783&amp;dateTexte=&amp;categorieLien=cid" TargetMode="External"/><Relationship Id="rId35" Type="http://schemas.openxmlformats.org/officeDocument/2006/relationships/hyperlink" Target="https://www.legifrance.gouv.fr/affichCodeArticle.do?cidTexte=LEGITEXT000006073984&amp;idArticle=LEGIARTI000006793656&amp;dateTexte=&amp;categorieLien=cid" TargetMode="External"/><Relationship Id="rId43" Type="http://schemas.openxmlformats.org/officeDocument/2006/relationships/hyperlink" Target="https://www.legifrance.gouv.fr/affichCodeArticle.do?cidTexte=LEGITEXT000006073984&amp;idArticle=LEGIARTI000006786107&amp;dateTexte=&amp;categorieLien=cid"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8CB3-0BD6-418E-851D-BECE57B4D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28</Pages>
  <Words>8164</Words>
  <Characters>44903</Characters>
  <Application>Microsoft Office Word</Application>
  <DocSecurity>0</DocSecurity>
  <Lines>374</Lines>
  <Paragraphs>105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52962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CAPITAINE Gaëlle (UA 2771)</cp:lastModifiedBy>
  <cp:revision>5</cp:revision>
  <cp:lastPrinted>2019-11-08T09:22:00Z</cp:lastPrinted>
  <dcterms:created xsi:type="dcterms:W3CDTF">2019-11-08T09:26:00Z</dcterms:created>
  <dcterms:modified xsi:type="dcterms:W3CDTF">2019-11-15T14:47:00Z</dcterms:modified>
</cp:coreProperties>
</file>