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E08F06" w14:textId="77777777" w:rsidR="007B124D" w:rsidRPr="00365E13" w:rsidRDefault="007B124D" w:rsidP="007B124D">
      <w:pPr>
        <w:pStyle w:val="Default"/>
        <w:rPr>
          <w:rFonts w:ascii="Times New Roman" w:hAnsi="Times New Roman" w:cs="Times New Roman"/>
        </w:rPr>
      </w:pPr>
      <w:r w:rsidRPr="00365E13">
        <w:rPr>
          <w:rFonts w:ascii="Times New Roman" w:hAnsi="Times New Roman" w:cs="Times New Roman"/>
          <w:noProof/>
        </w:rPr>
        <w:drawing>
          <wp:inline distT="0" distB="0" distL="0" distR="0" wp14:anchorId="5ABF2242" wp14:editId="71923423">
            <wp:extent cx="1323975" cy="1167213"/>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327443" cy="1170270"/>
                    </a:xfrm>
                    <a:prstGeom prst="rect">
                      <a:avLst/>
                    </a:prstGeom>
                    <a:noFill/>
                    <a:ln w="9525">
                      <a:noFill/>
                      <a:miter lim="800000"/>
                      <a:headEnd/>
                      <a:tailEnd/>
                    </a:ln>
                  </pic:spPr>
                </pic:pic>
              </a:graphicData>
            </a:graphic>
          </wp:inline>
        </w:drawing>
      </w:r>
    </w:p>
    <w:p w14:paraId="71DBBFFB" w14:textId="77777777" w:rsidR="002F75BF" w:rsidRPr="00365E13" w:rsidRDefault="002F75BF" w:rsidP="007B124D">
      <w:pPr>
        <w:pStyle w:val="Default"/>
        <w:rPr>
          <w:rFonts w:ascii="Times New Roman" w:hAnsi="Times New Roman" w:cs="Times New Roman"/>
        </w:rPr>
      </w:pPr>
    </w:p>
    <w:p w14:paraId="1660E21E" w14:textId="77777777" w:rsidR="007B124D" w:rsidRPr="00365E13" w:rsidRDefault="007B124D" w:rsidP="007B124D">
      <w:pPr>
        <w:autoSpaceDE w:val="0"/>
        <w:autoSpaceDN w:val="0"/>
        <w:adjustRightInd w:val="0"/>
        <w:jc w:val="center"/>
        <w:rPr>
          <w:color w:val="1F497D" w:themeColor="text2"/>
          <w:sz w:val="32"/>
          <w:szCs w:val="32"/>
        </w:rPr>
      </w:pPr>
      <w:r w:rsidRPr="00365E13">
        <w:rPr>
          <w:b/>
          <w:bCs/>
          <w:color w:val="1F497D" w:themeColor="text2"/>
          <w:sz w:val="32"/>
          <w:szCs w:val="32"/>
        </w:rPr>
        <w:t>Guide méthodologique</w:t>
      </w:r>
    </w:p>
    <w:p w14:paraId="1DCF5BF6" w14:textId="4AF845CC" w:rsidR="007A15AF" w:rsidRPr="00365E13" w:rsidRDefault="00567EFD" w:rsidP="006D663E">
      <w:pPr>
        <w:autoSpaceDE w:val="0"/>
        <w:autoSpaceDN w:val="0"/>
        <w:adjustRightInd w:val="0"/>
        <w:jc w:val="center"/>
        <w:rPr>
          <w:b/>
          <w:bCs/>
          <w:color w:val="1F497D" w:themeColor="text2"/>
          <w:sz w:val="32"/>
          <w:szCs w:val="32"/>
        </w:rPr>
      </w:pPr>
      <w:r>
        <w:rPr>
          <w:b/>
          <w:bCs/>
          <w:color w:val="1F497D" w:themeColor="text2"/>
          <w:sz w:val="32"/>
          <w:szCs w:val="32"/>
        </w:rPr>
        <w:t>Utilisation des états</w:t>
      </w:r>
      <w:r w:rsidR="00A74695">
        <w:rPr>
          <w:b/>
          <w:bCs/>
          <w:color w:val="1F497D" w:themeColor="text2"/>
          <w:sz w:val="32"/>
          <w:szCs w:val="32"/>
        </w:rPr>
        <w:t xml:space="preserve"> </w:t>
      </w:r>
      <w:r w:rsidR="000617ED" w:rsidRPr="00365E13">
        <w:rPr>
          <w:b/>
          <w:bCs/>
          <w:color w:val="1F497D" w:themeColor="text2"/>
          <w:sz w:val="32"/>
          <w:szCs w:val="32"/>
        </w:rPr>
        <w:t>relatifs à</w:t>
      </w:r>
      <w:r w:rsidR="006D663E" w:rsidRPr="00365E13">
        <w:rPr>
          <w:b/>
          <w:bCs/>
          <w:color w:val="1F497D" w:themeColor="text2"/>
          <w:sz w:val="32"/>
          <w:szCs w:val="32"/>
        </w:rPr>
        <w:t xml:space="preserve"> la responsabilité civile médicale</w:t>
      </w:r>
      <w:r>
        <w:rPr>
          <w:b/>
          <w:bCs/>
          <w:color w:val="1F497D" w:themeColor="text2"/>
          <w:sz w:val="32"/>
          <w:szCs w:val="32"/>
        </w:rPr>
        <w:t xml:space="preserve"> – FR.21 (anciennement E11)</w:t>
      </w:r>
    </w:p>
    <w:p w14:paraId="0005E3A8" w14:textId="77777777" w:rsidR="00F34843" w:rsidRPr="00365E13" w:rsidRDefault="00F34843" w:rsidP="007B124D">
      <w:pPr>
        <w:autoSpaceDE w:val="0"/>
        <w:autoSpaceDN w:val="0"/>
        <w:adjustRightInd w:val="0"/>
        <w:jc w:val="left"/>
        <w:rPr>
          <w:color w:val="000000"/>
          <w:sz w:val="24"/>
          <w:szCs w:val="24"/>
        </w:rPr>
      </w:pPr>
    </w:p>
    <w:p w14:paraId="41EDC696" w14:textId="3E743718" w:rsidR="00BC4A8E" w:rsidRDefault="00BC4A8E" w:rsidP="00BC4A8E">
      <w:r>
        <w:t>Le</w:t>
      </w:r>
      <w:r>
        <w:t>s</w:t>
      </w:r>
      <w:r>
        <w:t xml:space="preserve"> tableau</w:t>
      </w:r>
      <w:r>
        <w:t>x</w:t>
      </w:r>
      <w:r>
        <w:t xml:space="preserve"> de l’état FR.2</w:t>
      </w:r>
      <w:r>
        <w:t>1</w:t>
      </w:r>
      <w:r>
        <w:t xml:space="preserve"> </w:t>
      </w:r>
      <w:r>
        <w:t>sont</w:t>
      </w:r>
      <w:r>
        <w:t xml:space="preserve"> à renseigner par les organismes d’assurance </w:t>
      </w:r>
      <w:r>
        <w:t xml:space="preserve">concernés </w:t>
      </w:r>
      <w:r>
        <w:t>en fonction de leur activité en application des instructions de l’ACPR n°2016</w:t>
      </w:r>
      <w:r w:rsidRPr="00706538">
        <w:t>-I-15 et 2016-I-16 relatives</w:t>
      </w:r>
      <w:r>
        <w:t xml:space="preserve"> à la transmission à l’Autorité du contrôle prudentiel et de résolution de documents prudentiels annuels</w:t>
      </w:r>
      <w:r>
        <w:t>, les organismes SII devant les télétransmettre au format XBRL</w:t>
      </w:r>
      <w:bookmarkStart w:id="0" w:name="_GoBack"/>
      <w:bookmarkEnd w:id="0"/>
      <w:r>
        <w:t>.</w:t>
      </w:r>
    </w:p>
    <w:p w14:paraId="65728B5F" w14:textId="77777777" w:rsidR="00BC4A8E" w:rsidRDefault="00BC4A8E" w:rsidP="00AD6654">
      <w:pPr>
        <w:autoSpaceDE w:val="0"/>
        <w:autoSpaceDN w:val="0"/>
        <w:adjustRightInd w:val="0"/>
        <w:spacing w:line="276" w:lineRule="auto"/>
        <w:ind w:firstLine="709"/>
        <w:rPr>
          <w:szCs w:val="22"/>
        </w:rPr>
      </w:pPr>
    </w:p>
    <w:p w14:paraId="7CFB45D2" w14:textId="0B37270A" w:rsidR="007F2377" w:rsidRPr="00365E13" w:rsidRDefault="007F2377" w:rsidP="00BC4A8E">
      <w:pPr>
        <w:autoSpaceDE w:val="0"/>
        <w:autoSpaceDN w:val="0"/>
        <w:adjustRightInd w:val="0"/>
        <w:spacing w:line="276" w:lineRule="auto"/>
        <w:rPr>
          <w:bCs/>
          <w:szCs w:val="22"/>
        </w:rPr>
      </w:pPr>
      <w:r w:rsidRPr="00365E13">
        <w:rPr>
          <w:szCs w:val="22"/>
        </w:rPr>
        <w:t xml:space="preserve">Pour faciliter l’établissement des </w:t>
      </w:r>
      <w:r w:rsidRPr="001E772F">
        <w:t xml:space="preserve">états </w:t>
      </w:r>
      <w:r w:rsidR="00DB1A7E">
        <w:t>FR.2</w:t>
      </w:r>
      <w:r w:rsidR="00DB1A7E" w:rsidRPr="001E772F">
        <w:t>1</w:t>
      </w:r>
      <w:r w:rsidRPr="00365E13">
        <w:rPr>
          <w:szCs w:val="22"/>
        </w:rPr>
        <w:t>, l</w:t>
      </w:r>
      <w:r w:rsidRPr="00365E13">
        <w:rPr>
          <w:bCs/>
          <w:szCs w:val="22"/>
        </w:rPr>
        <w:t xml:space="preserve">a présente note précise le contexte (1), le </w:t>
      </w:r>
      <w:r w:rsidR="00BE3652">
        <w:rPr>
          <w:bCs/>
          <w:szCs w:val="22"/>
        </w:rPr>
        <w:t>périmètre</w:t>
      </w:r>
      <w:r w:rsidR="00BE3652" w:rsidRPr="00365E13">
        <w:rPr>
          <w:bCs/>
          <w:szCs w:val="22"/>
        </w:rPr>
        <w:t xml:space="preserve"> </w:t>
      </w:r>
      <w:r w:rsidRPr="00365E13">
        <w:rPr>
          <w:bCs/>
          <w:szCs w:val="22"/>
        </w:rPr>
        <w:t xml:space="preserve">de ces états (2), la définition des différentes notions (3), ainsi que </w:t>
      </w:r>
      <w:r w:rsidR="0097476D">
        <w:rPr>
          <w:bCs/>
          <w:szCs w:val="22"/>
        </w:rPr>
        <w:t xml:space="preserve">les modèles </w:t>
      </w:r>
      <w:r w:rsidR="0097476D" w:rsidRPr="001E772F">
        <w:t xml:space="preserve">d’états </w:t>
      </w:r>
      <w:r w:rsidR="00DB1A7E">
        <w:rPr>
          <w:bCs/>
          <w:szCs w:val="22"/>
        </w:rPr>
        <w:t xml:space="preserve">FR.21 </w:t>
      </w:r>
      <w:r w:rsidR="0097476D">
        <w:rPr>
          <w:bCs/>
          <w:szCs w:val="22"/>
        </w:rPr>
        <w:t xml:space="preserve">vierges </w:t>
      </w:r>
      <w:r w:rsidRPr="00365E13">
        <w:rPr>
          <w:bCs/>
          <w:szCs w:val="22"/>
        </w:rPr>
        <w:t>(4)</w:t>
      </w:r>
      <w:r w:rsidR="003474B1">
        <w:rPr>
          <w:bCs/>
          <w:szCs w:val="22"/>
        </w:rPr>
        <w:t>, une foire aux questions (5)</w:t>
      </w:r>
      <w:r w:rsidRPr="00365E13">
        <w:rPr>
          <w:bCs/>
          <w:szCs w:val="22"/>
        </w:rPr>
        <w:t xml:space="preserve"> et l</w:t>
      </w:r>
      <w:r w:rsidR="00AD6654" w:rsidRPr="00365E13">
        <w:rPr>
          <w:bCs/>
          <w:szCs w:val="22"/>
        </w:rPr>
        <w:t>es textes</w:t>
      </w:r>
      <w:r w:rsidR="0097476D" w:rsidRPr="003474B1">
        <w:rPr>
          <w:rStyle w:val="Appelnotedebasdep"/>
          <w:bCs/>
          <w:sz w:val="16"/>
          <w:szCs w:val="16"/>
        </w:rPr>
        <w:footnoteReference w:id="2"/>
      </w:r>
      <w:r w:rsidR="00AD6654" w:rsidRPr="00365E13">
        <w:rPr>
          <w:bCs/>
          <w:szCs w:val="22"/>
        </w:rPr>
        <w:t xml:space="preserve"> auxquels se réfèren</w:t>
      </w:r>
      <w:r w:rsidRPr="00365E13">
        <w:rPr>
          <w:bCs/>
          <w:szCs w:val="22"/>
        </w:rPr>
        <w:t>t ces états (</w:t>
      </w:r>
      <w:r w:rsidR="003474B1">
        <w:rPr>
          <w:bCs/>
          <w:szCs w:val="22"/>
        </w:rPr>
        <w:t>6</w:t>
      </w:r>
      <w:r w:rsidRPr="00365E13">
        <w:rPr>
          <w:bCs/>
          <w:szCs w:val="22"/>
        </w:rPr>
        <w:t>).</w:t>
      </w:r>
    </w:p>
    <w:p w14:paraId="4EB2866C" w14:textId="77777777" w:rsidR="007F2377" w:rsidRPr="00365E13" w:rsidRDefault="007F2377" w:rsidP="007B124D">
      <w:pPr>
        <w:autoSpaceDE w:val="0"/>
        <w:autoSpaceDN w:val="0"/>
        <w:adjustRightInd w:val="0"/>
        <w:jc w:val="left"/>
        <w:rPr>
          <w:color w:val="000000"/>
          <w:sz w:val="24"/>
          <w:szCs w:val="24"/>
        </w:rPr>
      </w:pPr>
    </w:p>
    <w:p w14:paraId="31DBAB89" w14:textId="77777777" w:rsidR="00182299" w:rsidRPr="00365E13" w:rsidRDefault="00182299" w:rsidP="0022486B">
      <w:pPr>
        <w:numPr>
          <w:ilvl w:val="0"/>
          <w:numId w:val="9"/>
        </w:numPr>
        <w:spacing w:line="360" w:lineRule="auto"/>
        <w:rPr>
          <w:b/>
          <w:bCs/>
          <w:color w:val="345A8A"/>
          <w:sz w:val="28"/>
          <w:szCs w:val="32"/>
        </w:rPr>
      </w:pPr>
      <w:r w:rsidRPr="00365E13">
        <w:rPr>
          <w:b/>
          <w:bCs/>
          <w:color w:val="345A8A"/>
          <w:sz w:val="28"/>
          <w:szCs w:val="32"/>
        </w:rPr>
        <w:t>Contexte</w:t>
      </w:r>
    </w:p>
    <w:p w14:paraId="5350797D" w14:textId="5DE16B4B" w:rsidR="00F92A3C" w:rsidRPr="00365E13" w:rsidRDefault="00F92A3C" w:rsidP="00C33583">
      <w:pPr>
        <w:pStyle w:val="Default"/>
        <w:spacing w:line="276" w:lineRule="auto"/>
        <w:ind w:firstLine="708"/>
        <w:jc w:val="both"/>
        <w:rPr>
          <w:rFonts w:ascii="Times New Roman" w:hAnsi="Times New Roman" w:cs="Times New Roman"/>
          <w:bCs/>
          <w:sz w:val="22"/>
          <w:szCs w:val="22"/>
        </w:rPr>
      </w:pPr>
      <w:r w:rsidRPr="00365E13">
        <w:rPr>
          <w:rFonts w:ascii="Times New Roman" w:hAnsi="Times New Roman" w:cs="Times New Roman"/>
          <w:bCs/>
          <w:sz w:val="22"/>
          <w:szCs w:val="22"/>
        </w:rPr>
        <w:t xml:space="preserve">La </w:t>
      </w:r>
      <w:hyperlink r:id="rId10" w:history="1">
        <w:r w:rsidRPr="00365E13">
          <w:rPr>
            <w:rStyle w:val="Lienhypertexte"/>
            <w:rFonts w:ascii="Times New Roman" w:eastAsiaTheme="majorEastAsia" w:hAnsi="Times New Roman" w:cs="Times New Roman"/>
            <w:sz w:val="22"/>
            <w:szCs w:val="22"/>
          </w:rPr>
          <w:t>loi n°2007-127 du 30 janvier 2007</w:t>
        </w:r>
      </w:hyperlink>
      <w:r w:rsidRPr="00365E13">
        <w:rPr>
          <w:rFonts w:ascii="Times New Roman" w:hAnsi="Times New Roman" w:cs="Times New Roman"/>
          <w:sz w:val="22"/>
          <w:szCs w:val="22"/>
        </w:rPr>
        <w:t xml:space="preserve"> </w:t>
      </w:r>
      <w:r w:rsidRPr="00365E13">
        <w:rPr>
          <w:rFonts w:ascii="Times New Roman" w:hAnsi="Times New Roman" w:cs="Times New Roman"/>
          <w:bCs/>
          <w:sz w:val="22"/>
          <w:szCs w:val="22"/>
        </w:rPr>
        <w:t>relative à l’organisation de certaines professions de santé et à la répression de l’usurpation de titres et de l’exercice illégal de ces professions, impose aux entreprises d’assurance couvrant en France les risques de responsabilité civile tels que mentionnés à l’</w:t>
      </w:r>
      <w:hyperlink r:id="rId11" w:history="1">
        <w:r w:rsidRPr="00365E13">
          <w:rPr>
            <w:rStyle w:val="Lienhypertexte"/>
            <w:rFonts w:ascii="Times New Roman" w:eastAsiaTheme="majorEastAsia" w:hAnsi="Times New Roman" w:cs="Times New Roman"/>
            <w:sz w:val="22"/>
            <w:szCs w:val="22"/>
          </w:rPr>
          <w:t>article L</w:t>
        </w:r>
        <w:r w:rsidR="00C61A74">
          <w:rPr>
            <w:rStyle w:val="Lienhypertexte"/>
            <w:rFonts w:ascii="Times New Roman" w:eastAsiaTheme="majorEastAsia" w:hAnsi="Times New Roman" w:cs="Times New Roman"/>
            <w:sz w:val="22"/>
            <w:szCs w:val="22"/>
          </w:rPr>
          <w:t>.</w:t>
        </w:r>
        <w:r w:rsidRPr="00365E13">
          <w:rPr>
            <w:rStyle w:val="Lienhypertexte"/>
            <w:rFonts w:ascii="Times New Roman" w:eastAsiaTheme="majorEastAsia" w:hAnsi="Times New Roman" w:cs="Times New Roman"/>
            <w:sz w:val="22"/>
            <w:szCs w:val="22"/>
          </w:rPr>
          <w:t> 1142-2 du code de la santé publique</w:t>
        </w:r>
      </w:hyperlink>
      <w:r w:rsidRPr="00365E13">
        <w:rPr>
          <w:rFonts w:ascii="Times New Roman" w:hAnsi="Times New Roman" w:cs="Times New Roman"/>
          <w:bCs/>
          <w:sz w:val="22"/>
          <w:szCs w:val="22"/>
        </w:rPr>
        <w:t xml:space="preserve"> (soit les risques de responsabilité civile médicale) de fournir à l’Autorité de contrôle des données de nature comptable, prudentielle ou statistique sur ces risques</w:t>
      </w:r>
      <w:r w:rsidR="0097476D">
        <w:rPr>
          <w:rFonts w:ascii="Times New Roman" w:hAnsi="Times New Roman" w:cs="Times New Roman"/>
          <w:bCs/>
          <w:sz w:val="22"/>
          <w:szCs w:val="22"/>
        </w:rPr>
        <w:t>,</w:t>
      </w:r>
      <w:r w:rsidRPr="00365E13">
        <w:rPr>
          <w:rFonts w:ascii="Times New Roman" w:hAnsi="Times New Roman" w:cs="Times New Roman"/>
          <w:bCs/>
          <w:sz w:val="22"/>
          <w:szCs w:val="22"/>
        </w:rPr>
        <w:t xml:space="preserve"> via les </w:t>
      </w:r>
      <w:r w:rsidRPr="001E772F">
        <w:rPr>
          <w:rFonts w:ascii="Times New Roman" w:hAnsi="Times New Roman"/>
          <w:sz w:val="22"/>
        </w:rPr>
        <w:t xml:space="preserve">états </w:t>
      </w:r>
      <w:r w:rsidR="00DB1A7E">
        <w:rPr>
          <w:rFonts w:ascii="Times New Roman" w:hAnsi="Times New Roman"/>
          <w:sz w:val="22"/>
        </w:rPr>
        <w:t>FR.21</w:t>
      </w:r>
      <w:r w:rsidRPr="00365E13">
        <w:rPr>
          <w:rFonts w:ascii="Times New Roman" w:hAnsi="Times New Roman" w:cs="Times New Roman"/>
          <w:bCs/>
          <w:sz w:val="22"/>
          <w:szCs w:val="22"/>
        </w:rPr>
        <w:t xml:space="preserve">. </w:t>
      </w:r>
      <w:r w:rsidR="00BE3652">
        <w:rPr>
          <w:rFonts w:ascii="Times New Roman" w:hAnsi="Times New Roman" w:cs="Times New Roman"/>
          <w:bCs/>
          <w:sz w:val="22"/>
          <w:szCs w:val="22"/>
        </w:rPr>
        <w:t>La loi n°2007-127</w:t>
      </w:r>
      <w:r w:rsidRPr="00365E13">
        <w:rPr>
          <w:rFonts w:ascii="Times New Roman" w:hAnsi="Times New Roman" w:cs="Times New Roman"/>
          <w:bCs/>
          <w:sz w:val="22"/>
          <w:szCs w:val="22"/>
        </w:rPr>
        <w:t xml:space="preserve"> prévoit que l’Autorité de contrôle « procède à l’analyse de ces données, les transmet sous forme agrégée et en fait rapport aux ministres chargés de l’économie et de la sécurité sociale ». </w:t>
      </w:r>
    </w:p>
    <w:p w14:paraId="51519EA1" w14:textId="77777777" w:rsidR="00F92A3C" w:rsidRPr="00365E13" w:rsidRDefault="00F92A3C" w:rsidP="00C33583">
      <w:pPr>
        <w:pStyle w:val="Default"/>
        <w:spacing w:line="276" w:lineRule="auto"/>
        <w:ind w:firstLine="708"/>
        <w:jc w:val="both"/>
        <w:rPr>
          <w:rFonts w:ascii="Times New Roman" w:hAnsi="Times New Roman" w:cs="Times New Roman"/>
          <w:bCs/>
          <w:sz w:val="22"/>
          <w:szCs w:val="22"/>
        </w:rPr>
      </w:pPr>
    </w:p>
    <w:p w14:paraId="433F67BF" w14:textId="5F9800EA" w:rsidR="006D663E" w:rsidRDefault="00F92A3C" w:rsidP="00C33583">
      <w:pPr>
        <w:pStyle w:val="Default"/>
        <w:spacing w:line="276" w:lineRule="auto"/>
        <w:ind w:firstLine="708"/>
        <w:jc w:val="both"/>
        <w:rPr>
          <w:rFonts w:ascii="Times New Roman" w:hAnsi="Times New Roman" w:cs="Times New Roman"/>
          <w:bCs/>
          <w:sz w:val="22"/>
          <w:szCs w:val="22"/>
        </w:rPr>
      </w:pPr>
      <w:r w:rsidRPr="00365E13">
        <w:rPr>
          <w:rFonts w:ascii="Times New Roman" w:hAnsi="Times New Roman" w:cs="Times New Roman"/>
          <w:bCs/>
          <w:sz w:val="22"/>
          <w:szCs w:val="22"/>
        </w:rPr>
        <w:t>L’</w:t>
      </w:r>
      <w:hyperlink r:id="rId12" w:history="1">
        <w:r w:rsidRPr="00365E13">
          <w:rPr>
            <w:rStyle w:val="Lienhypertexte"/>
            <w:rFonts w:ascii="Times New Roman" w:eastAsiaTheme="majorEastAsia" w:hAnsi="Times New Roman" w:cs="Times New Roman"/>
            <w:sz w:val="22"/>
            <w:szCs w:val="22"/>
          </w:rPr>
          <w:t>arrêté du 24 juin 2008</w:t>
        </w:r>
      </w:hyperlink>
      <w:r w:rsidRPr="00365E13">
        <w:rPr>
          <w:rFonts w:ascii="Times New Roman" w:hAnsi="Times New Roman" w:cs="Times New Roman"/>
          <w:bCs/>
          <w:sz w:val="22"/>
          <w:szCs w:val="22"/>
        </w:rPr>
        <w:t xml:space="preserve"> en précis</w:t>
      </w:r>
      <w:r w:rsidR="0097476D">
        <w:rPr>
          <w:rFonts w:ascii="Times New Roman" w:hAnsi="Times New Roman" w:cs="Times New Roman"/>
          <w:bCs/>
          <w:sz w:val="22"/>
          <w:szCs w:val="22"/>
        </w:rPr>
        <w:t>e</w:t>
      </w:r>
      <w:r w:rsidRPr="00365E13">
        <w:rPr>
          <w:rFonts w:ascii="Times New Roman" w:hAnsi="Times New Roman" w:cs="Times New Roman"/>
          <w:bCs/>
          <w:sz w:val="22"/>
          <w:szCs w:val="22"/>
        </w:rPr>
        <w:t xml:space="preserve"> les modalités d’application (</w:t>
      </w:r>
      <w:r w:rsidR="003A6543" w:rsidRPr="00365E13">
        <w:rPr>
          <w:rFonts w:ascii="Times New Roman" w:hAnsi="Times New Roman" w:cs="Times New Roman"/>
          <w:bCs/>
          <w:sz w:val="22"/>
          <w:szCs w:val="22"/>
        </w:rPr>
        <w:t xml:space="preserve">notamment </w:t>
      </w:r>
      <w:r w:rsidRPr="00365E13">
        <w:rPr>
          <w:rFonts w:ascii="Times New Roman" w:hAnsi="Times New Roman" w:cs="Times New Roman"/>
          <w:bCs/>
          <w:sz w:val="22"/>
          <w:szCs w:val="22"/>
        </w:rPr>
        <w:t>en termes de délais, de périodicité et de contenu de l’information à transmettre à l’Autorité de contrôle prudentiel et de résolution - ACPR)</w:t>
      </w:r>
      <w:r w:rsidR="0097476D">
        <w:rPr>
          <w:rFonts w:ascii="Times New Roman" w:hAnsi="Times New Roman" w:cs="Times New Roman"/>
          <w:bCs/>
          <w:sz w:val="22"/>
          <w:szCs w:val="22"/>
        </w:rPr>
        <w:t>. Il</w:t>
      </w:r>
      <w:r w:rsidRPr="00365E13">
        <w:rPr>
          <w:rFonts w:ascii="Times New Roman" w:hAnsi="Times New Roman" w:cs="Times New Roman"/>
          <w:bCs/>
          <w:sz w:val="22"/>
          <w:szCs w:val="22"/>
        </w:rPr>
        <w:t xml:space="preserve"> prévoit notamment que seuls les assureurs ayant une activité significative en matière de couverture de responsabilité civile médicale (</w:t>
      </w:r>
      <w:r w:rsidR="003A6543" w:rsidRPr="00365E13">
        <w:rPr>
          <w:rFonts w:ascii="Times New Roman" w:hAnsi="Times New Roman" w:cs="Times New Roman"/>
          <w:bCs/>
          <w:sz w:val="22"/>
          <w:szCs w:val="22"/>
        </w:rPr>
        <w:t xml:space="preserve">précisément </w:t>
      </w:r>
      <w:r w:rsidRPr="00365E13">
        <w:rPr>
          <w:rFonts w:ascii="Times New Roman" w:hAnsi="Times New Roman" w:cs="Times New Roman"/>
          <w:bCs/>
          <w:sz w:val="22"/>
          <w:szCs w:val="22"/>
        </w:rPr>
        <w:t xml:space="preserve">dont </w:t>
      </w:r>
      <w:r w:rsidRPr="00365E13">
        <w:rPr>
          <w:rFonts w:ascii="Times New Roman" w:hAnsi="Times New Roman" w:cs="Times New Roman"/>
          <w:b/>
          <w:bCs/>
          <w:sz w:val="22"/>
          <w:szCs w:val="22"/>
        </w:rPr>
        <w:t>le montant des primes excède un million d’euros au cours de l’exercice considéré</w:t>
      </w:r>
      <w:r w:rsidRPr="00365E13">
        <w:rPr>
          <w:rFonts w:ascii="Times New Roman" w:hAnsi="Times New Roman" w:cs="Times New Roman"/>
          <w:bCs/>
          <w:sz w:val="22"/>
          <w:szCs w:val="22"/>
        </w:rPr>
        <w:t xml:space="preserve">) sont tenus </w:t>
      </w:r>
      <w:r w:rsidR="000439E5">
        <w:rPr>
          <w:rFonts w:ascii="Times New Roman" w:hAnsi="Times New Roman" w:cs="Times New Roman"/>
          <w:bCs/>
          <w:sz w:val="22"/>
          <w:szCs w:val="22"/>
        </w:rPr>
        <w:t>à l’intégralité des</w:t>
      </w:r>
      <w:r w:rsidRPr="00365E13">
        <w:rPr>
          <w:rFonts w:ascii="Times New Roman" w:hAnsi="Times New Roman" w:cs="Times New Roman"/>
          <w:bCs/>
          <w:sz w:val="22"/>
          <w:szCs w:val="22"/>
        </w:rPr>
        <w:t xml:space="preserve"> obligations déclaratives susmentionnées. </w:t>
      </w:r>
    </w:p>
    <w:p w14:paraId="44E005E1" w14:textId="77777777" w:rsidR="002F75BF" w:rsidRPr="00365E13" w:rsidRDefault="002F75BF" w:rsidP="006D663E">
      <w:pPr>
        <w:autoSpaceDE w:val="0"/>
        <w:autoSpaceDN w:val="0"/>
        <w:adjustRightInd w:val="0"/>
        <w:spacing w:line="276" w:lineRule="auto"/>
        <w:rPr>
          <w:bCs/>
          <w:color w:val="FF0000"/>
          <w:szCs w:val="22"/>
        </w:rPr>
      </w:pPr>
    </w:p>
    <w:p w14:paraId="474E173D" w14:textId="0872F8F8" w:rsidR="00731302" w:rsidRPr="001E772F" w:rsidRDefault="00BE3652" w:rsidP="00FA576B">
      <w:pPr>
        <w:numPr>
          <w:ilvl w:val="0"/>
          <w:numId w:val="9"/>
        </w:numPr>
        <w:spacing w:line="360" w:lineRule="auto"/>
        <w:rPr>
          <w:b/>
          <w:color w:val="345A8A"/>
          <w:sz w:val="28"/>
        </w:rPr>
      </w:pPr>
      <w:r w:rsidRPr="00365E13">
        <w:rPr>
          <w:b/>
          <w:bCs/>
          <w:color w:val="345A8A"/>
          <w:sz w:val="28"/>
          <w:szCs w:val="32"/>
        </w:rPr>
        <w:t>P</w:t>
      </w:r>
      <w:r>
        <w:rPr>
          <w:b/>
          <w:bCs/>
          <w:color w:val="345A8A"/>
          <w:sz w:val="28"/>
          <w:szCs w:val="32"/>
        </w:rPr>
        <w:t>érimètre</w:t>
      </w:r>
    </w:p>
    <w:p w14:paraId="19DE50C2" w14:textId="62A515D5" w:rsidR="000C7C92" w:rsidRDefault="00182299" w:rsidP="000C7C92">
      <w:pPr>
        <w:autoSpaceDE w:val="0"/>
        <w:autoSpaceDN w:val="0"/>
        <w:spacing w:line="276" w:lineRule="auto"/>
        <w:ind w:firstLine="708"/>
        <w:rPr>
          <w:rStyle w:val="Lienhypertexte"/>
          <w:rFonts w:eastAsiaTheme="majorEastAsia"/>
          <w:color w:val="auto"/>
          <w:szCs w:val="22"/>
          <w:u w:val="none"/>
        </w:rPr>
      </w:pPr>
      <w:r w:rsidRPr="00365E13">
        <w:rPr>
          <w:szCs w:val="22"/>
        </w:rPr>
        <w:t xml:space="preserve">Les entreprises doivent fournir </w:t>
      </w:r>
      <w:r w:rsidR="000C7C92" w:rsidRPr="000C7C92">
        <w:rPr>
          <w:szCs w:val="22"/>
        </w:rPr>
        <w:t>les informations relatives aux risques de responsabilité civile médicale souscrits</w:t>
      </w:r>
      <w:r w:rsidR="000C7C92">
        <w:rPr>
          <w:szCs w:val="22"/>
        </w:rPr>
        <w:t xml:space="preserve"> </w:t>
      </w:r>
      <w:r w:rsidR="000C7C92" w:rsidRPr="000C7C92">
        <w:rPr>
          <w:szCs w:val="22"/>
        </w:rPr>
        <w:t>par les personnes mentionnées à</w:t>
      </w:r>
      <w:r w:rsidRPr="00365E13">
        <w:rPr>
          <w:szCs w:val="22"/>
        </w:rPr>
        <w:t xml:space="preserve"> l’</w:t>
      </w:r>
      <w:r w:rsidRPr="00C02DA1">
        <w:rPr>
          <w:rFonts w:eastAsiaTheme="majorEastAsia"/>
          <w:szCs w:val="22"/>
        </w:rPr>
        <w:t>article L</w:t>
      </w:r>
      <w:r w:rsidR="00C61A74">
        <w:rPr>
          <w:rFonts w:eastAsiaTheme="majorEastAsia"/>
          <w:szCs w:val="22"/>
        </w:rPr>
        <w:t>.</w:t>
      </w:r>
      <w:r w:rsidRPr="00C02DA1">
        <w:rPr>
          <w:rFonts w:eastAsiaTheme="majorEastAsia"/>
          <w:szCs w:val="22"/>
        </w:rPr>
        <w:t> 1142-2 du code de la santé publique</w:t>
      </w:r>
      <w:r w:rsidRPr="00365E13">
        <w:rPr>
          <w:szCs w:val="22"/>
        </w:rPr>
        <w:t xml:space="preserve">. </w:t>
      </w:r>
      <w:r w:rsidR="000C7C92">
        <w:rPr>
          <w:szCs w:val="22"/>
        </w:rPr>
        <w:t xml:space="preserve">Seule la partie relative à l’assurance de responsabilité médicale doit être considérée </w:t>
      </w:r>
      <w:r w:rsidR="0097476D">
        <w:rPr>
          <w:szCs w:val="22"/>
        </w:rPr>
        <w:t xml:space="preserve">pour le remplissage des états </w:t>
      </w:r>
      <w:r w:rsidR="00DB1A7E">
        <w:rPr>
          <w:szCs w:val="22"/>
        </w:rPr>
        <w:t xml:space="preserve">FR.21 </w:t>
      </w:r>
      <w:r w:rsidR="000C7C92">
        <w:rPr>
          <w:szCs w:val="22"/>
        </w:rPr>
        <w:t>lorsque le contrat couvre des garanties</w:t>
      </w:r>
      <w:r w:rsidR="00F013E9">
        <w:rPr>
          <w:szCs w:val="22"/>
        </w:rPr>
        <w:t xml:space="preserve"> autres que celles mentionnées à l’</w:t>
      </w:r>
      <w:r w:rsidR="00F013E9" w:rsidRPr="00C02DA1">
        <w:rPr>
          <w:rFonts w:eastAsiaTheme="majorEastAsia"/>
          <w:szCs w:val="22"/>
        </w:rPr>
        <w:t>article L</w:t>
      </w:r>
      <w:r w:rsidR="00C61A74">
        <w:rPr>
          <w:rFonts w:eastAsiaTheme="majorEastAsia"/>
          <w:szCs w:val="22"/>
        </w:rPr>
        <w:t>.</w:t>
      </w:r>
      <w:r w:rsidR="00F013E9" w:rsidRPr="00C02DA1">
        <w:rPr>
          <w:rFonts w:eastAsiaTheme="majorEastAsia"/>
          <w:szCs w:val="22"/>
        </w:rPr>
        <w:t> 1142-2 du code de la santé publique</w:t>
      </w:r>
      <w:r w:rsidR="00F013E9" w:rsidRPr="00F013E9">
        <w:t>, p</w:t>
      </w:r>
      <w:r w:rsidR="00F013E9" w:rsidRPr="00F013E9">
        <w:rPr>
          <w:rStyle w:val="Lienhypertexte"/>
          <w:rFonts w:eastAsiaTheme="majorEastAsia"/>
          <w:color w:val="auto"/>
          <w:szCs w:val="22"/>
          <w:u w:val="none"/>
        </w:rPr>
        <w:t>ar</w:t>
      </w:r>
      <w:r w:rsidR="00F013E9">
        <w:rPr>
          <w:rStyle w:val="Lienhypertexte"/>
          <w:rFonts w:eastAsiaTheme="majorEastAsia"/>
          <w:color w:val="auto"/>
          <w:szCs w:val="22"/>
          <w:u w:val="none"/>
        </w:rPr>
        <w:t xml:space="preserve"> exemple les garanties dommages aux biens.</w:t>
      </w:r>
    </w:p>
    <w:p w14:paraId="00CCF4E7" w14:textId="7CC0C3C6" w:rsidR="00C02DA1" w:rsidRPr="00A076BB" w:rsidRDefault="00F013E9" w:rsidP="000C7C92">
      <w:pPr>
        <w:autoSpaceDE w:val="0"/>
        <w:autoSpaceDN w:val="0"/>
        <w:spacing w:line="276" w:lineRule="auto"/>
        <w:ind w:firstLine="708"/>
        <w:rPr>
          <w:rStyle w:val="Lienhypertexte"/>
          <w:rFonts w:eastAsiaTheme="majorEastAsia"/>
          <w:color w:val="auto"/>
          <w:szCs w:val="22"/>
          <w:u w:val="none"/>
        </w:rPr>
      </w:pPr>
      <w:r w:rsidRPr="00A076BB">
        <w:rPr>
          <w:rStyle w:val="Lienhypertexte"/>
          <w:rFonts w:eastAsiaTheme="majorEastAsia"/>
          <w:color w:val="auto"/>
          <w:szCs w:val="22"/>
          <w:u w:val="none"/>
        </w:rPr>
        <w:lastRenderedPageBreak/>
        <w:t>L’</w:t>
      </w:r>
      <w:r w:rsidR="00C02DA1" w:rsidRPr="00A076BB">
        <w:rPr>
          <w:rStyle w:val="Lienhypertexte"/>
          <w:rFonts w:eastAsiaTheme="majorEastAsia"/>
          <w:color w:val="auto"/>
          <w:szCs w:val="22"/>
          <w:u w:val="none"/>
        </w:rPr>
        <w:t>État</w:t>
      </w:r>
      <w:r w:rsidRPr="00A076BB">
        <w:rPr>
          <w:rStyle w:val="Lienhypertexte"/>
          <w:rFonts w:eastAsiaTheme="majorEastAsia"/>
          <w:color w:val="auto"/>
          <w:szCs w:val="22"/>
          <w:u w:val="none"/>
        </w:rPr>
        <w:t xml:space="preserve"> </w:t>
      </w:r>
      <w:r w:rsidR="00DB1A7E">
        <w:rPr>
          <w:rStyle w:val="Lienhypertexte"/>
          <w:rFonts w:eastAsiaTheme="majorEastAsia"/>
          <w:color w:val="auto"/>
          <w:szCs w:val="22"/>
          <w:u w:val="none"/>
        </w:rPr>
        <w:t>FR.21.01</w:t>
      </w:r>
      <w:r w:rsidR="00891DB1" w:rsidRPr="00A076BB">
        <w:rPr>
          <w:rStyle w:val="Lienhypertexte"/>
          <w:rFonts w:eastAsiaTheme="majorEastAsia"/>
          <w:color w:val="auto"/>
          <w:szCs w:val="22"/>
          <w:u w:val="none"/>
        </w:rPr>
        <w:t xml:space="preserve"> correspond donc à l’intégralité des risques mentionnés à l’article L</w:t>
      </w:r>
      <w:r w:rsidR="00C61A74">
        <w:rPr>
          <w:rStyle w:val="Lienhypertexte"/>
          <w:rFonts w:eastAsiaTheme="majorEastAsia"/>
          <w:color w:val="auto"/>
          <w:szCs w:val="22"/>
          <w:u w:val="none"/>
        </w:rPr>
        <w:t>.</w:t>
      </w:r>
      <w:r w:rsidR="00891DB1" w:rsidRPr="00A076BB">
        <w:rPr>
          <w:rStyle w:val="Lienhypertexte"/>
          <w:rFonts w:eastAsiaTheme="majorEastAsia"/>
          <w:color w:val="auto"/>
          <w:szCs w:val="22"/>
          <w:u w:val="none"/>
        </w:rPr>
        <w:t xml:space="preserve"> 1142-2 du code de la santé publique pour l’ensemble des personnes physiques et morales mentionné</w:t>
      </w:r>
      <w:r w:rsidR="00C02DA1" w:rsidRPr="00A076BB">
        <w:rPr>
          <w:rStyle w:val="Lienhypertexte"/>
          <w:rFonts w:eastAsiaTheme="majorEastAsia"/>
          <w:color w:val="auto"/>
          <w:szCs w:val="22"/>
          <w:u w:val="none"/>
        </w:rPr>
        <w:t>es au même article. Sont ainsi concernés par exemple :</w:t>
      </w:r>
    </w:p>
    <w:p w14:paraId="51DBEDE6" w14:textId="77777777" w:rsidR="00C02DA1" w:rsidRPr="00A076BB" w:rsidRDefault="00C02DA1" w:rsidP="00C02DA1">
      <w:pPr>
        <w:pStyle w:val="Paragraphedeliste"/>
        <w:numPr>
          <w:ilvl w:val="0"/>
          <w:numId w:val="40"/>
        </w:numPr>
        <w:autoSpaceDE w:val="0"/>
        <w:autoSpaceDN w:val="0"/>
        <w:spacing w:line="276" w:lineRule="auto"/>
        <w:rPr>
          <w:rStyle w:val="Lienhypertexte"/>
          <w:rFonts w:ascii="Times New Roman" w:hAnsi="Times New Roman"/>
          <w:color w:val="auto"/>
          <w:sz w:val="22"/>
          <w:szCs w:val="22"/>
          <w:u w:val="none"/>
        </w:rPr>
      </w:pPr>
      <w:r w:rsidRPr="00A076BB">
        <w:rPr>
          <w:rStyle w:val="Lienhypertexte"/>
          <w:rFonts w:ascii="Times New Roman" w:eastAsiaTheme="majorEastAsia" w:hAnsi="Times New Roman"/>
          <w:color w:val="auto"/>
          <w:sz w:val="22"/>
          <w:szCs w:val="22"/>
          <w:u w:val="none"/>
        </w:rPr>
        <w:t xml:space="preserve">les médecins généralistes, </w:t>
      </w:r>
    </w:p>
    <w:p w14:paraId="7D42824B" w14:textId="77777777" w:rsidR="00C02DA1" w:rsidRPr="00A076BB" w:rsidRDefault="00C02DA1" w:rsidP="00C02DA1">
      <w:pPr>
        <w:pStyle w:val="Paragraphedeliste"/>
        <w:numPr>
          <w:ilvl w:val="0"/>
          <w:numId w:val="40"/>
        </w:numPr>
        <w:autoSpaceDE w:val="0"/>
        <w:autoSpaceDN w:val="0"/>
        <w:spacing w:line="276" w:lineRule="auto"/>
        <w:rPr>
          <w:rStyle w:val="Lienhypertexte"/>
          <w:rFonts w:ascii="Times New Roman" w:hAnsi="Times New Roman"/>
          <w:color w:val="auto"/>
          <w:sz w:val="22"/>
          <w:szCs w:val="22"/>
          <w:u w:val="none"/>
        </w:rPr>
      </w:pPr>
      <w:r w:rsidRPr="00A076BB">
        <w:rPr>
          <w:rStyle w:val="Lienhypertexte"/>
          <w:rFonts w:ascii="Times New Roman" w:eastAsiaTheme="majorEastAsia" w:hAnsi="Times New Roman"/>
          <w:color w:val="auto"/>
          <w:sz w:val="22"/>
          <w:szCs w:val="22"/>
          <w:u w:val="none"/>
        </w:rPr>
        <w:t xml:space="preserve">les kinésithérapeutes libéraux, </w:t>
      </w:r>
    </w:p>
    <w:p w14:paraId="7B8D7892" w14:textId="77777777" w:rsidR="00C02DA1" w:rsidRPr="00A076BB" w:rsidRDefault="00C02DA1" w:rsidP="00C02DA1">
      <w:pPr>
        <w:pStyle w:val="Paragraphedeliste"/>
        <w:numPr>
          <w:ilvl w:val="0"/>
          <w:numId w:val="40"/>
        </w:numPr>
        <w:autoSpaceDE w:val="0"/>
        <w:autoSpaceDN w:val="0"/>
        <w:spacing w:line="276" w:lineRule="auto"/>
        <w:rPr>
          <w:rStyle w:val="Lienhypertexte"/>
          <w:rFonts w:ascii="Times New Roman" w:hAnsi="Times New Roman"/>
          <w:color w:val="auto"/>
          <w:sz w:val="22"/>
          <w:szCs w:val="22"/>
          <w:u w:val="none"/>
        </w:rPr>
      </w:pPr>
      <w:r w:rsidRPr="00A076BB">
        <w:rPr>
          <w:rStyle w:val="Lienhypertexte"/>
          <w:rFonts w:ascii="Times New Roman" w:eastAsiaTheme="majorEastAsia" w:hAnsi="Times New Roman"/>
          <w:color w:val="auto"/>
          <w:sz w:val="22"/>
          <w:szCs w:val="22"/>
          <w:u w:val="none"/>
        </w:rPr>
        <w:t>les infirmières libérales,</w:t>
      </w:r>
    </w:p>
    <w:p w14:paraId="7D576682" w14:textId="77777777" w:rsidR="00C02DA1" w:rsidRPr="00A076BB" w:rsidRDefault="00C02DA1" w:rsidP="00C02DA1">
      <w:pPr>
        <w:pStyle w:val="Paragraphedeliste"/>
        <w:numPr>
          <w:ilvl w:val="0"/>
          <w:numId w:val="40"/>
        </w:numPr>
        <w:autoSpaceDE w:val="0"/>
        <w:autoSpaceDN w:val="0"/>
        <w:spacing w:line="276" w:lineRule="auto"/>
        <w:rPr>
          <w:rStyle w:val="Lienhypertexte"/>
          <w:rFonts w:ascii="Times New Roman" w:hAnsi="Times New Roman"/>
          <w:color w:val="auto"/>
          <w:sz w:val="22"/>
          <w:szCs w:val="22"/>
          <w:u w:val="none"/>
        </w:rPr>
      </w:pPr>
      <w:r w:rsidRPr="00A076BB">
        <w:rPr>
          <w:rStyle w:val="Lienhypertexte"/>
          <w:rFonts w:ascii="Times New Roman" w:eastAsiaTheme="majorEastAsia" w:hAnsi="Times New Roman"/>
          <w:color w:val="auto"/>
          <w:sz w:val="22"/>
          <w:szCs w:val="22"/>
          <w:u w:val="none"/>
        </w:rPr>
        <w:t xml:space="preserve">les cliniques, </w:t>
      </w:r>
    </w:p>
    <w:p w14:paraId="1D04719B" w14:textId="77777777" w:rsidR="00F013E9" w:rsidRPr="00A076BB" w:rsidRDefault="00C02DA1" w:rsidP="00C02DA1">
      <w:pPr>
        <w:pStyle w:val="Paragraphedeliste"/>
        <w:numPr>
          <w:ilvl w:val="0"/>
          <w:numId w:val="40"/>
        </w:numPr>
        <w:autoSpaceDE w:val="0"/>
        <w:autoSpaceDN w:val="0"/>
        <w:spacing w:line="276" w:lineRule="auto"/>
        <w:rPr>
          <w:rStyle w:val="Lienhypertexte"/>
          <w:rFonts w:ascii="Times New Roman" w:hAnsi="Times New Roman"/>
          <w:color w:val="auto"/>
          <w:sz w:val="22"/>
          <w:szCs w:val="22"/>
          <w:u w:val="none"/>
        </w:rPr>
      </w:pPr>
      <w:r w:rsidRPr="00A076BB">
        <w:rPr>
          <w:rStyle w:val="Lienhypertexte"/>
          <w:rFonts w:ascii="Times New Roman" w:eastAsiaTheme="majorEastAsia" w:hAnsi="Times New Roman"/>
          <w:color w:val="auto"/>
          <w:sz w:val="22"/>
          <w:szCs w:val="22"/>
          <w:u w:val="none"/>
        </w:rPr>
        <w:t xml:space="preserve">l’établissement du sang français </w:t>
      </w:r>
      <w:r w:rsidRPr="005243FA">
        <w:rPr>
          <w:rStyle w:val="Lienhypertexte"/>
          <w:rFonts w:ascii="Times New Roman" w:eastAsiaTheme="majorEastAsia" w:hAnsi="Times New Roman"/>
          <w:color w:val="auto"/>
          <w:sz w:val="22"/>
          <w:szCs w:val="22"/>
          <w:u w:val="none"/>
        </w:rPr>
        <w:t>au titre de l’</w:t>
      </w:r>
      <w:hyperlink r:id="rId13" w:history="1">
        <w:r w:rsidRPr="005243FA">
          <w:rPr>
            <w:rStyle w:val="Lienhypertexte"/>
            <w:rFonts w:ascii="Times New Roman" w:eastAsiaTheme="majorEastAsia" w:hAnsi="Times New Roman"/>
            <w:sz w:val="22"/>
            <w:szCs w:val="22"/>
          </w:rPr>
          <w:t>article L. 1222-9 du code de la santé publique</w:t>
        </w:r>
      </w:hyperlink>
      <w:r w:rsidRPr="00A076BB">
        <w:rPr>
          <w:rStyle w:val="Lienhypertexte"/>
          <w:rFonts w:ascii="Times New Roman" w:eastAsiaTheme="majorEastAsia" w:hAnsi="Times New Roman"/>
          <w:color w:val="auto"/>
          <w:sz w:val="22"/>
          <w:szCs w:val="22"/>
          <w:u w:val="none"/>
        </w:rPr>
        <w:t>.</w:t>
      </w:r>
    </w:p>
    <w:p w14:paraId="4E86FBD5" w14:textId="77777777" w:rsidR="00636344" w:rsidRPr="004B3206" w:rsidRDefault="00636344" w:rsidP="00C02DA1">
      <w:pPr>
        <w:pStyle w:val="Paragraphedeliste"/>
        <w:numPr>
          <w:ilvl w:val="0"/>
          <w:numId w:val="40"/>
        </w:numPr>
        <w:autoSpaceDE w:val="0"/>
        <w:autoSpaceDN w:val="0"/>
        <w:spacing w:line="276" w:lineRule="auto"/>
        <w:rPr>
          <w:rStyle w:val="Lienhypertexte"/>
          <w:rFonts w:ascii="Times New Roman" w:hAnsi="Times New Roman"/>
          <w:color w:val="auto"/>
          <w:sz w:val="22"/>
          <w:szCs w:val="22"/>
          <w:u w:val="none"/>
        </w:rPr>
      </w:pPr>
      <w:r w:rsidRPr="00A076BB">
        <w:rPr>
          <w:rStyle w:val="Lienhypertexte"/>
          <w:rFonts w:ascii="Times New Roman" w:eastAsiaTheme="majorEastAsia" w:hAnsi="Times New Roman"/>
          <w:color w:val="auto"/>
          <w:sz w:val="22"/>
          <w:szCs w:val="22"/>
          <w:u w:val="none"/>
        </w:rPr>
        <w:t>Les centres hospitaliers universitaires,</w:t>
      </w:r>
    </w:p>
    <w:p w14:paraId="2B7800E2" w14:textId="77777777" w:rsidR="004B3206" w:rsidRPr="00A076BB" w:rsidRDefault="00521A34" w:rsidP="00C02DA1">
      <w:pPr>
        <w:pStyle w:val="Paragraphedeliste"/>
        <w:numPr>
          <w:ilvl w:val="0"/>
          <w:numId w:val="40"/>
        </w:numPr>
        <w:autoSpaceDE w:val="0"/>
        <w:autoSpaceDN w:val="0"/>
        <w:spacing w:line="276" w:lineRule="auto"/>
        <w:rPr>
          <w:rStyle w:val="Lienhypertexte"/>
          <w:rFonts w:ascii="Times New Roman" w:hAnsi="Times New Roman"/>
          <w:color w:val="auto"/>
          <w:sz w:val="22"/>
          <w:szCs w:val="22"/>
          <w:u w:val="none"/>
        </w:rPr>
      </w:pPr>
      <w:r>
        <w:rPr>
          <w:rStyle w:val="Lienhypertexte"/>
          <w:rFonts w:ascii="Times New Roman" w:hAnsi="Times New Roman"/>
          <w:color w:val="auto"/>
          <w:sz w:val="22"/>
          <w:szCs w:val="22"/>
          <w:u w:val="none"/>
        </w:rPr>
        <w:t>Les fournisseurs de prothèses de hanches,</w:t>
      </w:r>
    </w:p>
    <w:p w14:paraId="35C6A429" w14:textId="77777777" w:rsidR="00C02DA1" w:rsidRPr="00DB17B5" w:rsidRDefault="00C02DA1" w:rsidP="005243FA">
      <w:pPr>
        <w:pStyle w:val="Paragraphedeliste"/>
        <w:numPr>
          <w:ilvl w:val="0"/>
          <w:numId w:val="40"/>
        </w:numPr>
        <w:autoSpaceDE w:val="0"/>
        <w:autoSpaceDN w:val="0"/>
        <w:spacing w:line="276" w:lineRule="auto"/>
        <w:rPr>
          <w:szCs w:val="22"/>
        </w:rPr>
      </w:pPr>
      <w:r w:rsidRPr="00DB17B5">
        <w:rPr>
          <w:szCs w:val="22"/>
        </w:rPr>
        <w:t>…</w:t>
      </w:r>
    </w:p>
    <w:p w14:paraId="20948C5E" w14:textId="77777777" w:rsidR="000C7C92" w:rsidRPr="00365E13" w:rsidRDefault="000C7C92" w:rsidP="00DE14F7">
      <w:pPr>
        <w:autoSpaceDE w:val="0"/>
        <w:autoSpaceDN w:val="0"/>
        <w:spacing w:line="276" w:lineRule="auto"/>
        <w:rPr>
          <w:szCs w:val="22"/>
        </w:rPr>
      </w:pPr>
    </w:p>
    <w:p w14:paraId="7DD9B2F5" w14:textId="77777777" w:rsidR="000E6073" w:rsidRPr="00365E13" w:rsidRDefault="00C02DA1" w:rsidP="00A32377">
      <w:pPr>
        <w:autoSpaceDE w:val="0"/>
        <w:autoSpaceDN w:val="0"/>
        <w:spacing w:line="276" w:lineRule="auto"/>
        <w:ind w:firstLine="708"/>
        <w:rPr>
          <w:szCs w:val="22"/>
        </w:rPr>
      </w:pPr>
      <w:r>
        <w:rPr>
          <w:szCs w:val="22"/>
        </w:rPr>
        <w:t>L</w:t>
      </w:r>
      <w:r w:rsidR="00182299" w:rsidRPr="00365E13">
        <w:rPr>
          <w:szCs w:val="22"/>
        </w:rPr>
        <w:t>es textes prévoient</w:t>
      </w:r>
      <w:r>
        <w:rPr>
          <w:szCs w:val="22"/>
        </w:rPr>
        <w:t xml:space="preserve"> égalemen</w:t>
      </w:r>
      <w:r w:rsidR="00A32377">
        <w:rPr>
          <w:szCs w:val="22"/>
        </w:rPr>
        <w:t>t</w:t>
      </w:r>
      <w:r w:rsidR="00182299" w:rsidRPr="00365E13">
        <w:rPr>
          <w:szCs w:val="22"/>
        </w:rPr>
        <w:t xml:space="preserve"> la transmission de données détaillées pour quatre groupes d’activités, spécialités reconnues comme particulièrement exposées au risque professionnel au sens de </w:t>
      </w:r>
      <w:r w:rsidR="00AE5F9E" w:rsidRPr="00365E13">
        <w:rPr>
          <w:szCs w:val="22"/>
        </w:rPr>
        <w:t>l’</w:t>
      </w:r>
      <w:hyperlink r:id="rId14" w:history="1">
        <w:r w:rsidR="00AE5F9E" w:rsidRPr="00365E13">
          <w:rPr>
            <w:rStyle w:val="Lienhypertexte"/>
            <w:rFonts w:eastAsiaTheme="majorEastAsia"/>
            <w:szCs w:val="22"/>
          </w:rPr>
          <w:t>article L</w:t>
        </w:r>
        <w:r w:rsidR="00C61A74">
          <w:rPr>
            <w:rStyle w:val="Lienhypertexte"/>
            <w:rFonts w:eastAsiaTheme="majorEastAsia"/>
            <w:szCs w:val="22"/>
          </w:rPr>
          <w:t>.</w:t>
        </w:r>
        <w:r w:rsidR="00AE5F9E" w:rsidRPr="00365E13">
          <w:rPr>
            <w:rStyle w:val="Lienhypertexte"/>
            <w:rFonts w:eastAsiaTheme="majorEastAsia"/>
            <w:szCs w:val="22"/>
          </w:rPr>
          <w:t> 4135-1 du code de la santé publique</w:t>
        </w:r>
      </w:hyperlink>
      <w:r w:rsidR="00AE5F9E" w:rsidRPr="00365E13">
        <w:rPr>
          <w:szCs w:val="22"/>
        </w:rPr>
        <w:t xml:space="preserve"> </w:t>
      </w:r>
      <w:r w:rsidR="00182299" w:rsidRPr="00365E13">
        <w:rPr>
          <w:szCs w:val="22"/>
        </w:rPr>
        <w:t>:</w:t>
      </w:r>
    </w:p>
    <w:p w14:paraId="23B365C7" w14:textId="0A236DDB" w:rsidR="00182299" w:rsidRPr="00365E13" w:rsidRDefault="00182299" w:rsidP="000E6073">
      <w:pPr>
        <w:autoSpaceDE w:val="0"/>
        <w:autoSpaceDN w:val="0"/>
        <w:spacing w:line="276" w:lineRule="auto"/>
        <w:ind w:left="851" w:hanging="143"/>
        <w:rPr>
          <w:szCs w:val="22"/>
        </w:rPr>
      </w:pPr>
      <w:r w:rsidRPr="00365E13">
        <w:rPr>
          <w:szCs w:val="22"/>
        </w:rPr>
        <w:t xml:space="preserve">- </w:t>
      </w:r>
      <w:r w:rsidR="00567EFD">
        <w:rPr>
          <w:szCs w:val="22"/>
        </w:rPr>
        <w:t>FR.21.02</w:t>
      </w:r>
      <w:r w:rsidRPr="00365E13">
        <w:rPr>
          <w:szCs w:val="22"/>
        </w:rPr>
        <w:t> : Gynécologie-obstétrique (spécialité 12 définie à</w:t>
      </w:r>
      <w:r w:rsidR="00E36875" w:rsidRPr="00365E13">
        <w:rPr>
          <w:szCs w:val="22"/>
        </w:rPr>
        <w:t xml:space="preserve"> l’</w:t>
      </w:r>
      <w:hyperlink r:id="rId15" w:history="1">
        <w:r w:rsidR="00AE5F9E" w:rsidRPr="00365E13">
          <w:rPr>
            <w:rStyle w:val="Lienhypertexte"/>
            <w:rFonts w:eastAsiaTheme="majorEastAsia"/>
            <w:szCs w:val="22"/>
          </w:rPr>
          <w:t>article D</w:t>
        </w:r>
        <w:r w:rsidR="00C61A74">
          <w:rPr>
            <w:rStyle w:val="Lienhypertexte"/>
            <w:rFonts w:eastAsiaTheme="majorEastAsia"/>
            <w:szCs w:val="22"/>
          </w:rPr>
          <w:t>.</w:t>
        </w:r>
        <w:r w:rsidR="00AE5F9E" w:rsidRPr="00365E13">
          <w:rPr>
            <w:rStyle w:val="Lienhypertexte"/>
            <w:rFonts w:eastAsiaTheme="majorEastAsia"/>
            <w:szCs w:val="22"/>
          </w:rPr>
          <w:t> 4135-2 du code de la santé publique</w:t>
        </w:r>
      </w:hyperlink>
      <w:r w:rsidRPr="00365E13">
        <w:rPr>
          <w:szCs w:val="22"/>
        </w:rPr>
        <w:t>) ;</w:t>
      </w:r>
    </w:p>
    <w:p w14:paraId="3454580A" w14:textId="0C3A25D5" w:rsidR="00182299" w:rsidRPr="00365E13" w:rsidRDefault="00182299" w:rsidP="00DE14F7">
      <w:pPr>
        <w:autoSpaceDE w:val="0"/>
        <w:autoSpaceDN w:val="0"/>
        <w:spacing w:line="276" w:lineRule="auto"/>
        <w:ind w:firstLine="708"/>
        <w:rPr>
          <w:szCs w:val="22"/>
        </w:rPr>
      </w:pPr>
      <w:r w:rsidRPr="00365E13">
        <w:rPr>
          <w:szCs w:val="22"/>
        </w:rPr>
        <w:t xml:space="preserve">- </w:t>
      </w:r>
      <w:r w:rsidR="00567EFD">
        <w:rPr>
          <w:szCs w:val="22"/>
        </w:rPr>
        <w:t>FR.21.03</w:t>
      </w:r>
      <w:r w:rsidRPr="00365E13">
        <w:rPr>
          <w:szCs w:val="22"/>
        </w:rPr>
        <w:t> : Anesthésie-réanimation et réanimation médicale (spécialités 13 et 14) ;</w:t>
      </w:r>
    </w:p>
    <w:p w14:paraId="22C23BD2" w14:textId="2DCA037E" w:rsidR="00182299" w:rsidRPr="00365E13" w:rsidRDefault="00182299" w:rsidP="00DE14F7">
      <w:pPr>
        <w:autoSpaceDE w:val="0"/>
        <w:autoSpaceDN w:val="0"/>
        <w:spacing w:line="276" w:lineRule="auto"/>
        <w:ind w:firstLine="708"/>
        <w:rPr>
          <w:szCs w:val="22"/>
        </w:rPr>
      </w:pPr>
      <w:r w:rsidRPr="00365E13">
        <w:rPr>
          <w:szCs w:val="22"/>
        </w:rPr>
        <w:t xml:space="preserve">- </w:t>
      </w:r>
      <w:r w:rsidR="00567EFD">
        <w:rPr>
          <w:szCs w:val="22"/>
        </w:rPr>
        <w:t>FR.21.04</w:t>
      </w:r>
      <w:r w:rsidRPr="00365E13">
        <w:rPr>
          <w:szCs w:val="22"/>
        </w:rPr>
        <w:t> : Chirurgie (spécialités 1 à 11) ;</w:t>
      </w:r>
    </w:p>
    <w:p w14:paraId="107DA602" w14:textId="30874039" w:rsidR="00182299" w:rsidRDefault="00352ED4" w:rsidP="00DE14F7">
      <w:pPr>
        <w:spacing w:line="276" w:lineRule="auto"/>
        <w:ind w:firstLine="708"/>
        <w:rPr>
          <w:szCs w:val="22"/>
        </w:rPr>
      </w:pPr>
      <w:r>
        <w:rPr>
          <w:szCs w:val="22"/>
        </w:rPr>
        <w:t xml:space="preserve">- </w:t>
      </w:r>
      <w:r w:rsidR="00567EFD">
        <w:rPr>
          <w:szCs w:val="22"/>
        </w:rPr>
        <w:t>FR.21.05</w:t>
      </w:r>
      <w:r w:rsidR="00182299" w:rsidRPr="00365E13">
        <w:rPr>
          <w:szCs w:val="22"/>
        </w:rPr>
        <w:t> : Autres spécialités définies à l’article D</w:t>
      </w:r>
      <w:r w:rsidR="00C61A74">
        <w:rPr>
          <w:szCs w:val="22"/>
        </w:rPr>
        <w:t>.</w:t>
      </w:r>
      <w:r w:rsidR="00182299" w:rsidRPr="00365E13">
        <w:rPr>
          <w:szCs w:val="22"/>
        </w:rPr>
        <w:t xml:space="preserve"> 4135-2 (</w:t>
      </w:r>
      <w:r w:rsidR="00182299" w:rsidRPr="00365E13">
        <w:rPr>
          <w:b/>
          <w:szCs w:val="22"/>
        </w:rPr>
        <w:t>spécialités 15 à 21</w:t>
      </w:r>
      <w:r w:rsidR="009A3373" w:rsidRPr="00365E13">
        <w:rPr>
          <w:b/>
          <w:szCs w:val="22"/>
        </w:rPr>
        <w:t xml:space="preserve"> </w:t>
      </w:r>
      <w:r w:rsidR="009A3373" w:rsidRPr="00365E13">
        <w:rPr>
          <w:b/>
          <w:szCs w:val="22"/>
          <w:u w:val="single"/>
        </w:rPr>
        <w:t>uniquement</w:t>
      </w:r>
      <w:r w:rsidR="00182299" w:rsidRPr="00365E13">
        <w:rPr>
          <w:szCs w:val="22"/>
        </w:rPr>
        <w:t>).</w:t>
      </w:r>
    </w:p>
    <w:p w14:paraId="3F564F7A" w14:textId="7F326EDC" w:rsidR="00C40EB8" w:rsidRDefault="00A32377" w:rsidP="00DE14F7">
      <w:pPr>
        <w:spacing w:line="276" w:lineRule="auto"/>
        <w:ind w:firstLine="708"/>
        <w:rPr>
          <w:szCs w:val="22"/>
        </w:rPr>
      </w:pPr>
      <w:r>
        <w:rPr>
          <w:szCs w:val="22"/>
        </w:rPr>
        <w:t xml:space="preserve">Les </w:t>
      </w:r>
      <w:r w:rsidR="00C40EB8">
        <w:rPr>
          <w:szCs w:val="22"/>
        </w:rPr>
        <w:t>états spécifiques (</w:t>
      </w:r>
      <w:r w:rsidR="00567EFD">
        <w:rPr>
          <w:szCs w:val="22"/>
        </w:rPr>
        <w:t>FR.21.02 à FR.21.05</w:t>
      </w:r>
      <w:r w:rsidR="00C40EB8">
        <w:rPr>
          <w:szCs w:val="22"/>
        </w:rPr>
        <w:t>) concernent</w:t>
      </w:r>
      <w:r w:rsidR="00684DB8">
        <w:rPr>
          <w:szCs w:val="22"/>
        </w:rPr>
        <w:t xml:space="preserve"> uniquement</w:t>
      </w:r>
      <w:r w:rsidR="00C40EB8">
        <w:rPr>
          <w:szCs w:val="22"/>
        </w:rPr>
        <w:t xml:space="preserve"> les contrats d’</w:t>
      </w:r>
      <w:r w:rsidR="00A076BB">
        <w:rPr>
          <w:szCs w:val="22"/>
        </w:rPr>
        <w:t>assurance</w:t>
      </w:r>
      <w:r w:rsidR="00C40EB8">
        <w:rPr>
          <w:szCs w:val="22"/>
        </w:rPr>
        <w:t xml:space="preserve"> couvrant, pour leur responsabilité civile médicale, uniquement les personnes</w:t>
      </w:r>
      <w:r w:rsidR="00462AFD">
        <w:rPr>
          <w:szCs w:val="22"/>
        </w:rPr>
        <w:t xml:space="preserve"> exerçant à titre libéral</w:t>
      </w:r>
      <w:r w:rsidR="00C40EB8">
        <w:rPr>
          <w:szCs w:val="22"/>
        </w:rPr>
        <w:t xml:space="preserve"> ou les équipes médicales pratiquant les spécialités indiquées dans l’article D</w:t>
      </w:r>
      <w:r w:rsidR="00C61A74">
        <w:rPr>
          <w:szCs w:val="22"/>
        </w:rPr>
        <w:t>.</w:t>
      </w:r>
      <w:r w:rsidR="00C40EB8">
        <w:rPr>
          <w:szCs w:val="22"/>
        </w:rPr>
        <w:t> 4135-2.</w:t>
      </w:r>
    </w:p>
    <w:p w14:paraId="6D33D05D" w14:textId="79E18DAE" w:rsidR="00871BB8" w:rsidRDefault="00871BB8" w:rsidP="00684DB8">
      <w:pPr>
        <w:spacing w:line="276" w:lineRule="auto"/>
        <w:ind w:firstLine="708"/>
        <w:rPr>
          <w:szCs w:val="22"/>
        </w:rPr>
      </w:pPr>
      <w:r>
        <w:rPr>
          <w:szCs w:val="22"/>
        </w:rPr>
        <w:t xml:space="preserve">Le périmètre de l’état </w:t>
      </w:r>
      <w:r w:rsidR="00567EFD">
        <w:rPr>
          <w:szCs w:val="22"/>
        </w:rPr>
        <w:t>FR.21.01</w:t>
      </w:r>
      <w:r>
        <w:rPr>
          <w:szCs w:val="22"/>
        </w:rPr>
        <w:t xml:space="preserve"> est</w:t>
      </w:r>
      <w:r w:rsidR="005243FA">
        <w:rPr>
          <w:szCs w:val="22"/>
        </w:rPr>
        <w:t xml:space="preserve"> donc</w:t>
      </w:r>
      <w:r>
        <w:rPr>
          <w:szCs w:val="22"/>
        </w:rPr>
        <w:t xml:space="preserve"> plus large que le périmètre couvert par les 4 états (</w:t>
      </w:r>
      <w:r w:rsidR="00567EFD">
        <w:rPr>
          <w:szCs w:val="22"/>
        </w:rPr>
        <w:t>FR.21.02 à FR.21.05</w:t>
      </w:r>
      <w:r>
        <w:rPr>
          <w:szCs w:val="22"/>
        </w:rPr>
        <w:t>).</w:t>
      </w:r>
    </w:p>
    <w:p w14:paraId="77CD5FD7" w14:textId="77777777" w:rsidR="00F31281" w:rsidRDefault="00F31281" w:rsidP="00684DB8">
      <w:pPr>
        <w:spacing w:line="276" w:lineRule="auto"/>
        <w:ind w:firstLine="708"/>
        <w:rPr>
          <w:szCs w:val="22"/>
        </w:rPr>
      </w:pPr>
    </w:p>
    <w:p w14:paraId="1CE2B611" w14:textId="5D05370F" w:rsidR="005243FA" w:rsidRDefault="00F31281" w:rsidP="00684DB8">
      <w:pPr>
        <w:spacing w:line="276" w:lineRule="auto"/>
        <w:ind w:firstLine="708"/>
        <w:rPr>
          <w:szCs w:val="16"/>
        </w:rPr>
      </w:pPr>
      <w:r>
        <w:rPr>
          <w:szCs w:val="22"/>
        </w:rPr>
        <w:t>L</w:t>
      </w:r>
      <w:r w:rsidRPr="00F31281">
        <w:rPr>
          <w:szCs w:val="22"/>
        </w:rPr>
        <w:t>e périmètre</w:t>
      </w:r>
      <w:r w:rsidR="00C61A74">
        <w:rPr>
          <w:szCs w:val="22"/>
        </w:rPr>
        <w:t xml:space="preserve"> de l’étude</w:t>
      </w:r>
      <w:r w:rsidRPr="00F31281">
        <w:rPr>
          <w:szCs w:val="22"/>
        </w:rPr>
        <w:t xml:space="preserve"> exclut donc les sinistres matériels</w:t>
      </w:r>
      <w:r w:rsidR="00181206">
        <w:rPr>
          <w:szCs w:val="22"/>
        </w:rPr>
        <w:t xml:space="preserve"> impliquant la responsabilité des assurés ayant l’obligation de s’assurer en vertu de l’article </w:t>
      </w:r>
      <w:r w:rsidR="00181206" w:rsidRPr="00C02DA1">
        <w:rPr>
          <w:rFonts w:eastAsiaTheme="majorEastAsia"/>
          <w:szCs w:val="22"/>
        </w:rPr>
        <w:t>L</w:t>
      </w:r>
      <w:r w:rsidR="00181206">
        <w:rPr>
          <w:rFonts w:eastAsiaTheme="majorEastAsia"/>
          <w:szCs w:val="22"/>
        </w:rPr>
        <w:t>.</w:t>
      </w:r>
      <w:r w:rsidR="00181206" w:rsidRPr="00C02DA1">
        <w:rPr>
          <w:rFonts w:eastAsiaTheme="majorEastAsia"/>
          <w:szCs w:val="22"/>
        </w:rPr>
        <w:t> 1142-2 du code de la santé publique</w:t>
      </w:r>
      <w:r w:rsidRPr="00F31281">
        <w:rPr>
          <w:szCs w:val="22"/>
        </w:rPr>
        <w:t>.</w:t>
      </w:r>
      <w:r w:rsidRPr="00F31281">
        <w:rPr>
          <w:szCs w:val="16"/>
        </w:rPr>
        <w:t xml:space="preserve"> </w:t>
      </w:r>
      <w:r>
        <w:rPr>
          <w:szCs w:val="16"/>
        </w:rPr>
        <w:t>Il faut</w:t>
      </w:r>
      <w:r w:rsidRPr="00365E13">
        <w:rPr>
          <w:szCs w:val="16"/>
        </w:rPr>
        <w:t xml:space="preserve"> noter que les dommages liés aux prothèses (ex: </w:t>
      </w:r>
      <w:r w:rsidR="003474B1">
        <w:rPr>
          <w:szCs w:val="16"/>
        </w:rPr>
        <w:t xml:space="preserve">bris dentaires </w:t>
      </w:r>
      <w:proofErr w:type="spellStart"/>
      <w:r w:rsidR="003474B1">
        <w:t>périanesthésiques</w:t>
      </w:r>
      <w:proofErr w:type="spellEnd"/>
      <w:r w:rsidRPr="00365E13">
        <w:rPr>
          <w:szCs w:val="16"/>
        </w:rPr>
        <w:t>) rentre</w:t>
      </w:r>
      <w:r w:rsidR="003474B1">
        <w:rPr>
          <w:szCs w:val="16"/>
        </w:rPr>
        <w:t>nt</w:t>
      </w:r>
      <w:r w:rsidRPr="00365E13">
        <w:rPr>
          <w:szCs w:val="16"/>
        </w:rPr>
        <w:t xml:space="preserve"> donc dans le périmètre </w:t>
      </w:r>
      <w:r w:rsidR="003035EF">
        <w:rPr>
          <w:szCs w:val="16"/>
        </w:rPr>
        <w:t xml:space="preserve">couverts par les états </w:t>
      </w:r>
      <w:r w:rsidR="00567EFD">
        <w:rPr>
          <w:szCs w:val="16"/>
        </w:rPr>
        <w:t>FR.21</w:t>
      </w:r>
      <w:r w:rsidRPr="00365E13">
        <w:rPr>
          <w:szCs w:val="16"/>
        </w:rPr>
        <w:t xml:space="preserve">. En revanche, un bien personnel perdu ou cassé </w:t>
      </w:r>
      <w:r w:rsidR="00181206">
        <w:rPr>
          <w:szCs w:val="16"/>
        </w:rPr>
        <w:t xml:space="preserve">par un </w:t>
      </w:r>
      <w:r w:rsidRPr="00365E13">
        <w:rPr>
          <w:szCs w:val="16"/>
        </w:rPr>
        <w:t>hôpital par exemple ne l’est pas.</w:t>
      </w:r>
    </w:p>
    <w:p w14:paraId="406F6080" w14:textId="77777777" w:rsidR="00521A34" w:rsidRDefault="00521A34" w:rsidP="00684DB8">
      <w:pPr>
        <w:spacing w:line="276" w:lineRule="auto"/>
        <w:ind w:firstLine="708"/>
        <w:rPr>
          <w:szCs w:val="16"/>
        </w:rPr>
      </w:pPr>
    </w:p>
    <w:p w14:paraId="0BD5DC6E" w14:textId="77777777" w:rsidR="005243FA" w:rsidRDefault="00521A34" w:rsidP="00684DB8">
      <w:pPr>
        <w:spacing w:line="276" w:lineRule="auto"/>
        <w:ind w:firstLine="708"/>
        <w:rPr>
          <w:szCs w:val="22"/>
        </w:rPr>
      </w:pPr>
      <w:r>
        <w:rPr>
          <w:szCs w:val="22"/>
        </w:rPr>
        <w:t>L</w:t>
      </w:r>
      <w:r w:rsidRPr="00F31281">
        <w:rPr>
          <w:szCs w:val="22"/>
        </w:rPr>
        <w:t>e périmètre</w:t>
      </w:r>
      <w:r>
        <w:rPr>
          <w:szCs w:val="22"/>
        </w:rPr>
        <w:t xml:space="preserve"> de l’étude comprend les </w:t>
      </w:r>
      <w:r>
        <w:t xml:space="preserve">producteurs, exploitants et fournisseurs de produits de santé, à l'état de produits finis, mentionnés à l'article </w:t>
      </w:r>
      <w:hyperlink r:id="rId16" w:history="1">
        <w:r>
          <w:rPr>
            <w:rStyle w:val="Lienhypertexte"/>
            <w:color w:val="336699"/>
          </w:rPr>
          <w:t xml:space="preserve">L. 5311-1 </w:t>
        </w:r>
      </w:hyperlink>
      <w:r>
        <w:t xml:space="preserve">à l'exclusion du 5°, sous réserve des dispositions de l'article </w:t>
      </w:r>
      <w:hyperlink r:id="rId17" w:history="1">
        <w:r>
          <w:rPr>
            <w:rStyle w:val="Lienhypertexte"/>
            <w:color w:val="336699"/>
          </w:rPr>
          <w:t>L. 1222-9</w:t>
        </w:r>
      </w:hyperlink>
      <w:r>
        <w:t>, et de</w:t>
      </w:r>
      <w:r w:rsidR="00462AFD">
        <w:t>s 11°, 14° et 15°</w:t>
      </w:r>
      <w:r>
        <w:t>.</w:t>
      </w:r>
    </w:p>
    <w:p w14:paraId="267617D8" w14:textId="77777777" w:rsidR="00521A34" w:rsidRDefault="00521A34" w:rsidP="00684DB8">
      <w:pPr>
        <w:spacing w:line="276" w:lineRule="auto"/>
        <w:ind w:firstLine="708"/>
        <w:rPr>
          <w:szCs w:val="16"/>
        </w:rPr>
      </w:pPr>
    </w:p>
    <w:p w14:paraId="1B7D6F92" w14:textId="6EF013A9" w:rsidR="00F31281" w:rsidRDefault="005243FA" w:rsidP="00684DB8">
      <w:pPr>
        <w:spacing w:line="276" w:lineRule="auto"/>
        <w:ind w:firstLine="708"/>
        <w:rPr>
          <w:szCs w:val="16"/>
        </w:rPr>
      </w:pPr>
      <w:r>
        <w:rPr>
          <w:szCs w:val="16"/>
        </w:rPr>
        <w:t xml:space="preserve">Seuls les contrats </w:t>
      </w:r>
      <w:r w:rsidR="009700BD">
        <w:rPr>
          <w:szCs w:val="16"/>
        </w:rPr>
        <w:t xml:space="preserve">d’assurance </w:t>
      </w:r>
      <w:r>
        <w:rPr>
          <w:szCs w:val="16"/>
        </w:rPr>
        <w:t>direct</w:t>
      </w:r>
      <w:r w:rsidR="009700BD">
        <w:rPr>
          <w:szCs w:val="16"/>
        </w:rPr>
        <w:t>e</w:t>
      </w:r>
      <w:r>
        <w:rPr>
          <w:szCs w:val="16"/>
        </w:rPr>
        <w:t xml:space="preserve"> sont concernés par la présente étude.</w:t>
      </w:r>
      <w:r w:rsidR="009700BD">
        <w:rPr>
          <w:szCs w:val="16"/>
        </w:rPr>
        <w:t xml:space="preserve"> Les accept</w:t>
      </w:r>
      <w:r w:rsidR="00770D0A">
        <w:rPr>
          <w:szCs w:val="16"/>
        </w:rPr>
        <w:t>ations sont exclues.</w:t>
      </w:r>
    </w:p>
    <w:p w14:paraId="362DED0F" w14:textId="77777777" w:rsidR="00CA47DC" w:rsidRPr="00365E13" w:rsidRDefault="00CA47DC" w:rsidP="00453CB4">
      <w:pPr>
        <w:spacing w:line="276" w:lineRule="auto"/>
      </w:pPr>
    </w:p>
    <w:p w14:paraId="1AEC3B0F" w14:textId="77777777" w:rsidR="00E977BD" w:rsidRPr="00365E13" w:rsidRDefault="007F2377" w:rsidP="008A7922">
      <w:pPr>
        <w:numPr>
          <w:ilvl w:val="0"/>
          <w:numId w:val="9"/>
        </w:numPr>
        <w:spacing w:line="360" w:lineRule="auto"/>
        <w:rPr>
          <w:b/>
          <w:bCs/>
          <w:color w:val="345A8A"/>
          <w:sz w:val="28"/>
          <w:szCs w:val="32"/>
        </w:rPr>
      </w:pPr>
      <w:r w:rsidRPr="00365E13">
        <w:rPr>
          <w:b/>
          <w:bCs/>
          <w:color w:val="345A8A"/>
          <w:sz w:val="28"/>
          <w:szCs w:val="32"/>
        </w:rPr>
        <w:t>Définitions</w:t>
      </w:r>
    </w:p>
    <w:p w14:paraId="73A2636C" w14:textId="77777777" w:rsidR="00D13C89" w:rsidRDefault="00D13C89" w:rsidP="008A7922">
      <w:pPr>
        <w:numPr>
          <w:ilvl w:val="1"/>
          <w:numId w:val="9"/>
        </w:numPr>
        <w:spacing w:line="360" w:lineRule="auto"/>
        <w:rPr>
          <w:b/>
          <w:bCs/>
          <w:color w:val="4F81BD" w:themeColor="accent1"/>
          <w:szCs w:val="22"/>
        </w:rPr>
      </w:pPr>
      <w:r>
        <w:rPr>
          <w:b/>
          <w:bCs/>
          <w:color w:val="4F81BD" w:themeColor="accent1"/>
          <w:szCs w:val="22"/>
        </w:rPr>
        <w:t>Définitions d’un sinistre</w:t>
      </w:r>
      <w:r w:rsidR="00D43B2A">
        <w:rPr>
          <w:b/>
          <w:bCs/>
          <w:color w:val="4F81BD" w:themeColor="accent1"/>
          <w:szCs w:val="22"/>
        </w:rPr>
        <w:t xml:space="preserve"> et exercice de rattachement</w:t>
      </w:r>
    </w:p>
    <w:p w14:paraId="37CD102F" w14:textId="77777777" w:rsidR="005243FA" w:rsidRDefault="005243FA" w:rsidP="00C61A74">
      <w:pPr>
        <w:spacing w:line="276" w:lineRule="auto"/>
      </w:pPr>
    </w:p>
    <w:p w14:paraId="50F2AEC5" w14:textId="77777777" w:rsidR="00D7196D" w:rsidRDefault="00D7196D" w:rsidP="00FF3757">
      <w:pPr>
        <w:spacing w:line="276" w:lineRule="auto"/>
        <w:ind w:firstLine="708"/>
        <w:rPr>
          <w:rFonts w:eastAsia="Arial Unicode MS"/>
          <w:szCs w:val="22"/>
        </w:rPr>
      </w:pPr>
      <w:r>
        <w:t xml:space="preserve">Un sinistre </w:t>
      </w:r>
      <w:r w:rsidR="003035EF">
        <w:t xml:space="preserve">pour les risques de responsabilité civile médicale </w:t>
      </w:r>
      <w:r>
        <w:t>est défini à l’article L 251-2 du code des assurances</w:t>
      </w:r>
      <w:r w:rsidR="00FF3757">
        <w:t xml:space="preserve">, comme un </w:t>
      </w:r>
      <w:r w:rsidR="003035EF">
        <w:t>« </w:t>
      </w:r>
      <w:r w:rsidR="00FF3757" w:rsidRPr="00365E13">
        <w:rPr>
          <w:rFonts w:eastAsia="Arial Unicode MS"/>
          <w:szCs w:val="22"/>
        </w:rPr>
        <w:t xml:space="preserve">dommage ou ensemble de dommages causés à des tiers, engageant la responsabilité de l'assuré, résultant d'un fait dommageable ou d'un ensemble de faits dommageables </w:t>
      </w:r>
      <w:r w:rsidR="00FF3757" w:rsidRPr="00365E13">
        <w:rPr>
          <w:rFonts w:eastAsia="Arial Unicode MS"/>
          <w:szCs w:val="22"/>
        </w:rPr>
        <w:lastRenderedPageBreak/>
        <w:t>ayant la même cause technique, imputable aux activités de l'assuré garanties par le contrat, et ayant donné lieu à une ou plusieurs réclamations.</w:t>
      </w:r>
      <w:r w:rsidR="003035EF">
        <w:rPr>
          <w:rFonts w:eastAsia="Arial Unicode MS"/>
          <w:szCs w:val="22"/>
        </w:rPr>
        <w:t> » </w:t>
      </w:r>
    </w:p>
    <w:p w14:paraId="0927914A" w14:textId="77777777" w:rsidR="00FF3757" w:rsidRPr="00FF3757" w:rsidRDefault="00FF3757" w:rsidP="00FF3757">
      <w:pPr>
        <w:spacing w:line="276" w:lineRule="auto"/>
        <w:ind w:firstLine="708"/>
        <w:rPr>
          <w:rFonts w:eastAsia="Arial Unicode MS"/>
          <w:szCs w:val="22"/>
        </w:rPr>
      </w:pPr>
    </w:p>
    <w:p w14:paraId="4DFD6F91" w14:textId="77777777" w:rsidR="00D13C89" w:rsidRDefault="00D7196D" w:rsidP="00D13C89">
      <w:pPr>
        <w:ind w:firstLine="708"/>
      </w:pPr>
      <w:r>
        <w:t>D</w:t>
      </w:r>
      <w:r w:rsidRPr="00E52117">
        <w:t xml:space="preserve">epuis la </w:t>
      </w:r>
      <w:hyperlink r:id="rId18" w:history="1">
        <w:r w:rsidRPr="00B97546">
          <w:rPr>
            <w:rStyle w:val="Lienhypertexte"/>
            <w:rFonts w:eastAsiaTheme="majorEastAsia"/>
          </w:rPr>
          <w:t>loi n°2002-1577 du 30 décembre 2002</w:t>
        </w:r>
      </w:hyperlink>
      <w:r w:rsidRPr="004F42CF">
        <w:t xml:space="preserve"> relative à la responsabilité civile médicale, dite « loi About »</w:t>
      </w:r>
      <w:r>
        <w:t>, l</w:t>
      </w:r>
      <w:r w:rsidRPr="00E52117">
        <w:t>’indemnisation des sinistres</w:t>
      </w:r>
      <w:r>
        <w:t xml:space="preserve"> </w:t>
      </w:r>
      <w:r w:rsidRPr="00E52117">
        <w:t xml:space="preserve">est passée en base </w:t>
      </w:r>
      <w:r>
        <w:t>« </w:t>
      </w:r>
      <w:r w:rsidRPr="00E52117">
        <w:t>réclamation</w:t>
      </w:r>
      <w:r>
        <w:t> ».</w:t>
      </w:r>
    </w:p>
    <w:p w14:paraId="0EADE38C" w14:textId="77777777" w:rsidR="00FF3757" w:rsidRDefault="00FF3757" w:rsidP="00D13C89">
      <w:pPr>
        <w:ind w:firstLine="708"/>
      </w:pPr>
    </w:p>
    <w:p w14:paraId="3FFF2B7B" w14:textId="77777777" w:rsidR="00FF3757" w:rsidRDefault="00FF3757" w:rsidP="00FF3757">
      <w:pPr>
        <w:ind w:firstLine="708"/>
      </w:pPr>
      <w:r>
        <w:t>Avant la « loi About », les sinistres étaient rattachés à l</w:t>
      </w:r>
      <w:r w:rsidR="003035EF">
        <w:t xml:space="preserve">’exercice comptable au cours duquel survenait le </w:t>
      </w:r>
      <w:r>
        <w:t xml:space="preserve">sinistre. </w:t>
      </w:r>
    </w:p>
    <w:p w14:paraId="3B33DB4F" w14:textId="77777777" w:rsidR="00FF3757" w:rsidRDefault="00FF3757" w:rsidP="00FF3757">
      <w:pPr>
        <w:ind w:firstLine="708"/>
      </w:pPr>
      <w:r>
        <w:t>Depuis, ils sont rattachés, conformément à l’article L</w:t>
      </w:r>
      <w:r w:rsidR="00C61A74">
        <w:t>.</w:t>
      </w:r>
      <w:r>
        <w:t xml:space="preserve"> 251-2 du code des assurances, à </w:t>
      </w:r>
      <w:r w:rsidR="003035EF">
        <w:t>l’exercice comptable au cours duquel</w:t>
      </w:r>
      <w:r w:rsidR="006E631E">
        <w:t xml:space="preserve"> </w:t>
      </w:r>
      <w:r w:rsidR="003035EF">
        <w:t xml:space="preserve">la </w:t>
      </w:r>
      <w:r w:rsidR="006E631E">
        <w:t>demande de réparation amiable ou contentieuse a été formulée par</w:t>
      </w:r>
      <w:r w:rsidR="00C44A70">
        <w:t xml:space="preserve"> la victime ou les ayants droit</w:t>
      </w:r>
      <w:r>
        <w:t xml:space="preserve"> à l’assuré ou à l’assureur</w:t>
      </w:r>
      <w:r w:rsidR="004B445D">
        <w:t>.</w:t>
      </w:r>
    </w:p>
    <w:p w14:paraId="4F71466E" w14:textId="77777777" w:rsidR="004B445D" w:rsidRDefault="004B445D" w:rsidP="004B445D">
      <w:r>
        <w:tab/>
        <w:t>Les sinistres relevant de la garantie subséquente instituée à l’article L</w:t>
      </w:r>
      <w:r w:rsidR="00C61A74">
        <w:t>.</w:t>
      </w:r>
      <w:r>
        <w:t> 251-2 du code des assurances sont</w:t>
      </w:r>
      <w:r w:rsidR="006E631E">
        <w:t xml:space="preserve"> donc</w:t>
      </w:r>
      <w:r>
        <w:t xml:space="preserve"> aussi rattachés à l’année de réclamation et non à la date </w:t>
      </w:r>
      <w:r w:rsidR="006E631E">
        <w:t xml:space="preserve">d’expiration </w:t>
      </w:r>
      <w:r w:rsidR="006E631E" w:rsidRPr="00365E13">
        <w:rPr>
          <w:rFonts w:eastAsia="Arial Unicode MS"/>
          <w:szCs w:val="22"/>
        </w:rPr>
        <w:t>ou de résiliation de tout ou partie des garanties</w:t>
      </w:r>
      <w:r w:rsidR="006E631E">
        <w:rPr>
          <w:rFonts w:eastAsia="Arial Unicode MS"/>
          <w:szCs w:val="22"/>
        </w:rPr>
        <w:t xml:space="preserve"> du contrat</w:t>
      </w:r>
      <w:r>
        <w:t>.</w:t>
      </w:r>
    </w:p>
    <w:p w14:paraId="47A7D6E8" w14:textId="77777777" w:rsidR="001C0B2D" w:rsidRDefault="001C0B2D" w:rsidP="001C0B2D">
      <w:pPr>
        <w:ind w:firstLine="708"/>
      </w:pPr>
      <w:r>
        <w:t xml:space="preserve">La </w:t>
      </w:r>
      <w:r w:rsidRPr="001C0B2D">
        <w:t xml:space="preserve">provision </w:t>
      </w:r>
      <w:r>
        <w:t>pour</w:t>
      </w:r>
      <w:r w:rsidRPr="001C0B2D">
        <w:t xml:space="preserve"> garantie</w:t>
      </w:r>
      <w:r>
        <w:t>s</w:t>
      </w:r>
      <w:r w:rsidRPr="001C0B2D">
        <w:t xml:space="preserve"> subséquente</w:t>
      </w:r>
      <w:r>
        <w:t xml:space="preserve">s </w:t>
      </w:r>
      <w:r w:rsidRPr="001C0B2D">
        <w:t xml:space="preserve">correspond </w:t>
      </w:r>
      <w:r w:rsidR="00721223">
        <w:t xml:space="preserve">au coût estimé de </w:t>
      </w:r>
      <w:r w:rsidRPr="001C0B2D">
        <w:t>tous les sinistres qui seront déclarés dans les 5 ans, sans tenir compte d’une possible résiliation par l’assureur et du report de cette charge sur l’assureur suivant. Il se peut en effet qu’il n’y ait pas de nouvel assureur ou que celui-ci accorde de moindres garanties, l’excédent retombant pendant 5 ans sur l’assureur précédent. Pour les sociétés spécialisées dans une clientèle médicale, dans l’impossibilité pratique de résilier le portefeuille, les risques sont conservés jusqu’à la retraite des praticiens, et c’est le provisionnement d’une « pleine subséquente » d’au moins 10 ans qui mérite d’être exigé.</w:t>
      </w:r>
    </w:p>
    <w:p w14:paraId="0CEC602B" w14:textId="77777777" w:rsidR="00C44A70" w:rsidRDefault="00C44A70" w:rsidP="009A4B92"/>
    <w:p w14:paraId="63321BF3" w14:textId="77777777" w:rsidR="008A7922" w:rsidRPr="00365E13" w:rsidRDefault="008A7922" w:rsidP="008A7922">
      <w:pPr>
        <w:numPr>
          <w:ilvl w:val="1"/>
          <w:numId w:val="9"/>
        </w:numPr>
        <w:spacing w:line="360" w:lineRule="auto"/>
        <w:rPr>
          <w:b/>
          <w:bCs/>
          <w:color w:val="4F81BD" w:themeColor="accent1"/>
          <w:szCs w:val="22"/>
        </w:rPr>
      </w:pPr>
      <w:r w:rsidRPr="00365E13">
        <w:rPr>
          <w:b/>
          <w:bCs/>
          <w:color w:val="4F81BD" w:themeColor="accent1"/>
          <w:szCs w:val="22"/>
        </w:rPr>
        <w:t>Renseignements généraux</w:t>
      </w:r>
      <w:r w:rsidR="00CB6C3B">
        <w:rPr>
          <w:b/>
          <w:bCs/>
          <w:color w:val="4F81BD" w:themeColor="accent1"/>
          <w:szCs w:val="22"/>
        </w:rPr>
        <w:t xml:space="preserve"> et définitions</w:t>
      </w:r>
    </w:p>
    <w:p w14:paraId="14671A50" w14:textId="74B5733A" w:rsidR="00AC7DEC" w:rsidRPr="00365E13" w:rsidRDefault="00AC7DEC" w:rsidP="00AC7DEC">
      <w:pPr>
        <w:spacing w:line="276" w:lineRule="auto"/>
        <w:ind w:firstLine="708"/>
        <w:rPr>
          <w:color w:val="000000"/>
          <w:szCs w:val="22"/>
        </w:rPr>
      </w:pPr>
      <w:r w:rsidRPr="00365E13">
        <w:rPr>
          <w:color w:val="000000"/>
          <w:szCs w:val="22"/>
        </w:rPr>
        <w:t xml:space="preserve">Tous les montants sont exprimés en euros et arrondis </w:t>
      </w:r>
      <w:r w:rsidR="008D0639">
        <w:rPr>
          <w:color w:val="000000"/>
          <w:szCs w:val="22"/>
        </w:rPr>
        <w:t>à l’euro</w:t>
      </w:r>
      <w:r w:rsidRPr="00365E13">
        <w:rPr>
          <w:color w:val="000000"/>
          <w:szCs w:val="22"/>
        </w:rPr>
        <w:t xml:space="preserve"> le plus proche, </w:t>
      </w:r>
      <w:r w:rsidR="008D0639">
        <w:rPr>
          <w:color w:val="000000"/>
          <w:szCs w:val="22"/>
        </w:rPr>
        <w:t xml:space="preserve">tant pour les organismes relevant de Solvabilité 2 que pour les autres, </w:t>
      </w:r>
      <w:r w:rsidRPr="00365E13">
        <w:rPr>
          <w:color w:val="000000"/>
          <w:szCs w:val="22"/>
        </w:rPr>
        <w:t>à l’exception :</w:t>
      </w:r>
    </w:p>
    <w:p w14:paraId="52692B27" w14:textId="1560E375" w:rsidR="00AC7DEC" w:rsidRPr="00365E13" w:rsidRDefault="00AC7DEC" w:rsidP="00AC7DEC">
      <w:pPr>
        <w:pStyle w:val="Paragraphedeliste"/>
        <w:numPr>
          <w:ilvl w:val="0"/>
          <w:numId w:val="38"/>
        </w:numPr>
        <w:spacing w:line="276" w:lineRule="auto"/>
        <w:rPr>
          <w:rFonts w:ascii="Times New Roman" w:hAnsi="Times New Roman"/>
          <w:sz w:val="22"/>
          <w:szCs w:val="22"/>
        </w:rPr>
      </w:pPr>
      <w:r w:rsidRPr="00365E13">
        <w:rPr>
          <w:rFonts w:ascii="Times New Roman" w:hAnsi="Times New Roman"/>
          <w:sz w:val="22"/>
          <w:szCs w:val="22"/>
        </w:rPr>
        <w:t>du nombre de contrats, du nombre de risque, et du nombre de sinistres portés au</w:t>
      </w:r>
      <w:r w:rsidR="006861DE">
        <w:rPr>
          <w:rFonts w:ascii="Times New Roman" w:hAnsi="Times New Roman"/>
          <w:sz w:val="22"/>
          <w:szCs w:val="22"/>
        </w:rPr>
        <w:t>x</w:t>
      </w:r>
      <w:r w:rsidRPr="00365E13">
        <w:rPr>
          <w:rFonts w:ascii="Times New Roman" w:hAnsi="Times New Roman"/>
          <w:sz w:val="22"/>
          <w:szCs w:val="22"/>
        </w:rPr>
        <w:t xml:space="preserve"> tableau</w:t>
      </w:r>
      <w:r w:rsidR="006861DE">
        <w:rPr>
          <w:rFonts w:ascii="Times New Roman" w:hAnsi="Times New Roman"/>
          <w:sz w:val="22"/>
          <w:szCs w:val="22"/>
        </w:rPr>
        <w:t>x</w:t>
      </w:r>
      <w:r w:rsidRPr="00365E13">
        <w:rPr>
          <w:rFonts w:ascii="Times New Roman" w:hAnsi="Times New Roman"/>
          <w:sz w:val="22"/>
          <w:szCs w:val="22"/>
        </w:rPr>
        <w:t xml:space="preserve"> </w:t>
      </w:r>
      <w:r w:rsidR="006861DE">
        <w:rPr>
          <w:rFonts w:ascii="Times New Roman" w:hAnsi="Times New Roman"/>
          <w:sz w:val="22"/>
          <w:szCs w:val="22"/>
        </w:rPr>
        <w:t>FR.21.0</w:t>
      </w:r>
      <w:r w:rsidR="00F33316">
        <w:rPr>
          <w:rFonts w:ascii="Times New Roman" w:hAnsi="Times New Roman"/>
          <w:sz w:val="22"/>
          <w:szCs w:val="22"/>
        </w:rPr>
        <w:t>1</w:t>
      </w:r>
      <w:r w:rsidR="006861DE">
        <w:rPr>
          <w:rFonts w:ascii="Times New Roman" w:hAnsi="Times New Roman"/>
          <w:sz w:val="22"/>
          <w:szCs w:val="22"/>
        </w:rPr>
        <w:t xml:space="preserve">.01 </w:t>
      </w:r>
      <w:r w:rsidR="00F33316">
        <w:rPr>
          <w:rFonts w:ascii="Times New Roman" w:hAnsi="Times New Roman"/>
          <w:sz w:val="22"/>
          <w:szCs w:val="22"/>
        </w:rPr>
        <w:t xml:space="preserve">à FR.21.05.01, </w:t>
      </w:r>
      <w:r w:rsidR="006861DE">
        <w:rPr>
          <w:rFonts w:ascii="Times New Roman" w:hAnsi="Times New Roman"/>
          <w:sz w:val="22"/>
          <w:szCs w:val="22"/>
        </w:rPr>
        <w:t>et FR.21.0</w:t>
      </w:r>
      <w:r w:rsidR="00F33316">
        <w:rPr>
          <w:rFonts w:ascii="Times New Roman" w:hAnsi="Times New Roman"/>
          <w:sz w:val="22"/>
          <w:szCs w:val="22"/>
        </w:rPr>
        <w:t>1</w:t>
      </w:r>
      <w:r w:rsidR="006861DE">
        <w:rPr>
          <w:rFonts w:ascii="Times New Roman" w:hAnsi="Times New Roman"/>
          <w:sz w:val="22"/>
          <w:szCs w:val="22"/>
        </w:rPr>
        <w:t>.02</w:t>
      </w:r>
      <w:r w:rsidR="00F33316">
        <w:rPr>
          <w:rFonts w:ascii="Times New Roman" w:hAnsi="Times New Roman"/>
          <w:sz w:val="22"/>
          <w:szCs w:val="22"/>
        </w:rPr>
        <w:t xml:space="preserve"> à FR.21.05.02</w:t>
      </w:r>
      <w:r w:rsidRPr="00365E13">
        <w:rPr>
          <w:rFonts w:ascii="Times New Roman" w:hAnsi="Times New Roman"/>
          <w:sz w:val="22"/>
          <w:szCs w:val="22"/>
        </w:rPr>
        <w:t xml:space="preserve">, qui sont exprimés en unités ; </w:t>
      </w:r>
    </w:p>
    <w:p w14:paraId="668FD35B" w14:textId="0CC94F93" w:rsidR="00F33316" w:rsidRPr="00F33316" w:rsidRDefault="00AC7DEC" w:rsidP="00AC7DEC">
      <w:pPr>
        <w:pStyle w:val="Paragraphedeliste"/>
        <w:numPr>
          <w:ilvl w:val="0"/>
          <w:numId w:val="38"/>
        </w:numPr>
        <w:spacing w:line="276" w:lineRule="auto"/>
        <w:rPr>
          <w:rFonts w:ascii="Times New Roman" w:hAnsi="Times New Roman"/>
          <w:sz w:val="22"/>
          <w:szCs w:val="22"/>
        </w:rPr>
      </w:pPr>
      <w:r w:rsidRPr="00365E13">
        <w:rPr>
          <w:rFonts w:ascii="Times New Roman" w:hAnsi="Times New Roman"/>
          <w:color w:val="000000"/>
          <w:sz w:val="22"/>
          <w:szCs w:val="22"/>
        </w:rPr>
        <w:t xml:space="preserve">des </w:t>
      </w:r>
      <w:r w:rsidR="00F33316">
        <w:rPr>
          <w:rFonts w:ascii="Times New Roman" w:hAnsi="Times New Roman"/>
          <w:color w:val="000000"/>
          <w:sz w:val="22"/>
          <w:szCs w:val="22"/>
        </w:rPr>
        <w:t xml:space="preserve">nombres de sinistres </w:t>
      </w:r>
      <w:r w:rsidR="00F33316" w:rsidRPr="00365E13">
        <w:rPr>
          <w:rFonts w:ascii="Times New Roman" w:hAnsi="Times New Roman"/>
          <w:color w:val="000000"/>
          <w:sz w:val="22"/>
          <w:szCs w:val="22"/>
        </w:rPr>
        <w:t>portés au</w:t>
      </w:r>
      <w:r w:rsidR="00F33316">
        <w:rPr>
          <w:rFonts w:ascii="Times New Roman" w:hAnsi="Times New Roman"/>
          <w:color w:val="000000"/>
          <w:sz w:val="22"/>
          <w:szCs w:val="22"/>
        </w:rPr>
        <w:t>x</w:t>
      </w:r>
      <w:r w:rsidR="00F33316" w:rsidRPr="00365E13">
        <w:rPr>
          <w:rFonts w:ascii="Times New Roman" w:hAnsi="Times New Roman"/>
          <w:color w:val="000000"/>
          <w:sz w:val="22"/>
          <w:szCs w:val="22"/>
        </w:rPr>
        <w:t xml:space="preserve"> tableau</w:t>
      </w:r>
      <w:r w:rsidR="00F33316">
        <w:rPr>
          <w:rFonts w:ascii="Times New Roman" w:hAnsi="Times New Roman"/>
          <w:color w:val="000000"/>
          <w:sz w:val="22"/>
          <w:szCs w:val="22"/>
        </w:rPr>
        <w:t>x</w:t>
      </w:r>
      <w:r w:rsidR="00F33316" w:rsidRPr="00365E13">
        <w:rPr>
          <w:rFonts w:ascii="Times New Roman" w:hAnsi="Times New Roman"/>
          <w:color w:val="000000"/>
          <w:sz w:val="22"/>
          <w:szCs w:val="22"/>
        </w:rPr>
        <w:t xml:space="preserve"> </w:t>
      </w:r>
      <w:r w:rsidR="00F33316">
        <w:rPr>
          <w:rFonts w:ascii="Times New Roman" w:hAnsi="Times New Roman"/>
          <w:color w:val="000000"/>
          <w:sz w:val="22"/>
          <w:szCs w:val="22"/>
        </w:rPr>
        <w:t>FR.21.01.03 à FR.21.05.03</w:t>
      </w:r>
      <w:r w:rsidR="00F33316" w:rsidRPr="00365E13">
        <w:rPr>
          <w:rFonts w:ascii="Times New Roman" w:hAnsi="Times New Roman"/>
          <w:color w:val="000000"/>
          <w:sz w:val="22"/>
          <w:szCs w:val="22"/>
        </w:rPr>
        <w:t xml:space="preserve"> </w:t>
      </w:r>
      <w:r w:rsidR="00F33316">
        <w:rPr>
          <w:rFonts w:ascii="Times New Roman" w:hAnsi="Times New Roman"/>
          <w:color w:val="000000"/>
          <w:sz w:val="22"/>
          <w:szCs w:val="22"/>
        </w:rPr>
        <w:t>(lignes R0130 et R0140)</w:t>
      </w:r>
      <w:r w:rsidR="00545978">
        <w:rPr>
          <w:rFonts w:ascii="Times New Roman" w:hAnsi="Times New Roman"/>
          <w:color w:val="000000"/>
          <w:sz w:val="22"/>
          <w:szCs w:val="22"/>
        </w:rPr>
        <w:t>, qui sont exprimés en unités ;</w:t>
      </w:r>
      <w:r w:rsidR="00F33316">
        <w:rPr>
          <w:rFonts w:ascii="Times New Roman" w:hAnsi="Times New Roman"/>
          <w:color w:val="000000"/>
          <w:sz w:val="22"/>
          <w:szCs w:val="22"/>
        </w:rPr>
        <w:t xml:space="preserve"> </w:t>
      </w:r>
    </w:p>
    <w:p w14:paraId="17707635" w14:textId="1FFAD476" w:rsidR="00AC7DEC" w:rsidRPr="00365E13" w:rsidRDefault="00F33316" w:rsidP="00AC7DEC">
      <w:pPr>
        <w:pStyle w:val="Paragraphedeliste"/>
        <w:numPr>
          <w:ilvl w:val="0"/>
          <w:numId w:val="38"/>
        </w:numPr>
        <w:spacing w:line="276" w:lineRule="auto"/>
        <w:rPr>
          <w:rFonts w:ascii="Times New Roman" w:hAnsi="Times New Roman"/>
          <w:sz w:val="22"/>
          <w:szCs w:val="22"/>
        </w:rPr>
      </w:pPr>
      <w:r>
        <w:rPr>
          <w:rFonts w:ascii="Times New Roman" w:hAnsi="Times New Roman"/>
          <w:color w:val="000000"/>
          <w:sz w:val="22"/>
          <w:szCs w:val="22"/>
        </w:rPr>
        <w:t xml:space="preserve">des </w:t>
      </w:r>
      <w:r w:rsidR="00AC7DEC" w:rsidRPr="00365E13">
        <w:rPr>
          <w:rFonts w:ascii="Times New Roman" w:hAnsi="Times New Roman"/>
          <w:color w:val="000000"/>
          <w:sz w:val="22"/>
          <w:szCs w:val="22"/>
        </w:rPr>
        <w:t>coûts moyens portés au</w:t>
      </w:r>
      <w:r>
        <w:rPr>
          <w:rFonts w:ascii="Times New Roman" w:hAnsi="Times New Roman"/>
          <w:color w:val="000000"/>
          <w:sz w:val="22"/>
          <w:szCs w:val="22"/>
        </w:rPr>
        <w:t>x</w:t>
      </w:r>
      <w:r w:rsidR="00AC7DEC" w:rsidRPr="00365E13">
        <w:rPr>
          <w:rFonts w:ascii="Times New Roman" w:hAnsi="Times New Roman"/>
          <w:color w:val="000000"/>
          <w:sz w:val="22"/>
          <w:szCs w:val="22"/>
        </w:rPr>
        <w:t xml:space="preserve"> tableau</w:t>
      </w:r>
      <w:r>
        <w:rPr>
          <w:rFonts w:ascii="Times New Roman" w:hAnsi="Times New Roman"/>
          <w:color w:val="000000"/>
          <w:sz w:val="22"/>
          <w:szCs w:val="22"/>
        </w:rPr>
        <w:t>x</w:t>
      </w:r>
      <w:r w:rsidR="00AC7DEC" w:rsidRPr="00365E13">
        <w:rPr>
          <w:rFonts w:ascii="Times New Roman" w:hAnsi="Times New Roman"/>
          <w:color w:val="000000"/>
          <w:sz w:val="22"/>
          <w:szCs w:val="22"/>
        </w:rPr>
        <w:t xml:space="preserve"> </w:t>
      </w:r>
      <w:r w:rsidR="006861DE">
        <w:rPr>
          <w:rFonts w:ascii="Times New Roman" w:hAnsi="Times New Roman"/>
          <w:color w:val="000000"/>
          <w:sz w:val="22"/>
          <w:szCs w:val="22"/>
        </w:rPr>
        <w:t>FR.21.0</w:t>
      </w:r>
      <w:r>
        <w:rPr>
          <w:rFonts w:ascii="Times New Roman" w:hAnsi="Times New Roman"/>
          <w:color w:val="000000"/>
          <w:sz w:val="22"/>
          <w:szCs w:val="22"/>
        </w:rPr>
        <w:t>1</w:t>
      </w:r>
      <w:r w:rsidR="006861DE">
        <w:rPr>
          <w:rFonts w:ascii="Times New Roman" w:hAnsi="Times New Roman"/>
          <w:color w:val="000000"/>
          <w:sz w:val="22"/>
          <w:szCs w:val="22"/>
        </w:rPr>
        <w:t>.03</w:t>
      </w:r>
      <w:r>
        <w:rPr>
          <w:rFonts w:ascii="Times New Roman" w:hAnsi="Times New Roman"/>
          <w:color w:val="000000"/>
          <w:sz w:val="22"/>
          <w:szCs w:val="22"/>
        </w:rPr>
        <w:t xml:space="preserve"> à FR.21.05.03</w:t>
      </w:r>
      <w:r w:rsidR="006861DE" w:rsidRPr="00365E13">
        <w:rPr>
          <w:rFonts w:ascii="Times New Roman" w:hAnsi="Times New Roman"/>
          <w:color w:val="000000"/>
          <w:sz w:val="22"/>
          <w:szCs w:val="22"/>
        </w:rPr>
        <w:t xml:space="preserve"> </w:t>
      </w:r>
      <w:r w:rsidR="00AC7DEC" w:rsidRPr="00365E13">
        <w:rPr>
          <w:rFonts w:ascii="Times New Roman" w:hAnsi="Times New Roman"/>
          <w:color w:val="000000"/>
          <w:sz w:val="22"/>
          <w:szCs w:val="22"/>
        </w:rPr>
        <w:t xml:space="preserve">(ligne </w:t>
      </w:r>
      <w:r w:rsidR="00DB1A7E">
        <w:rPr>
          <w:rFonts w:ascii="Times New Roman" w:hAnsi="Times New Roman"/>
          <w:color w:val="000000"/>
          <w:sz w:val="22"/>
          <w:szCs w:val="22"/>
        </w:rPr>
        <w:t>R0150</w:t>
      </w:r>
      <w:r w:rsidR="00AC7DEC" w:rsidRPr="00365E13">
        <w:rPr>
          <w:rFonts w:ascii="Times New Roman" w:hAnsi="Times New Roman"/>
          <w:color w:val="000000"/>
          <w:sz w:val="22"/>
          <w:szCs w:val="22"/>
        </w:rPr>
        <w:t xml:space="preserve">), qui sont </w:t>
      </w:r>
      <w:r w:rsidR="00AC7DEC" w:rsidRPr="00365E13">
        <w:rPr>
          <w:rFonts w:ascii="Times New Roman" w:hAnsi="Times New Roman"/>
          <w:sz w:val="22"/>
          <w:szCs w:val="22"/>
        </w:rPr>
        <w:t xml:space="preserve">exprimés en </w:t>
      </w:r>
      <w:r w:rsidR="00AC7DEC" w:rsidRPr="00365E13">
        <w:rPr>
          <w:rFonts w:ascii="Times New Roman" w:hAnsi="Times New Roman"/>
          <w:color w:val="000000"/>
          <w:sz w:val="22"/>
          <w:szCs w:val="22"/>
        </w:rPr>
        <w:t>euros</w:t>
      </w:r>
      <w:r w:rsidR="00AC7DEC" w:rsidRPr="00365E13">
        <w:rPr>
          <w:rFonts w:ascii="Times New Roman" w:hAnsi="Times New Roman"/>
          <w:sz w:val="22"/>
          <w:szCs w:val="22"/>
        </w:rPr>
        <w:t xml:space="preserve"> (en arrondissant à l’euro le plus proche)</w:t>
      </w:r>
      <w:r w:rsidR="00545978">
        <w:rPr>
          <w:rFonts w:ascii="Times New Roman" w:hAnsi="Times New Roman"/>
          <w:sz w:val="22"/>
          <w:szCs w:val="22"/>
        </w:rPr>
        <w:t> ;</w:t>
      </w:r>
    </w:p>
    <w:p w14:paraId="27A96AEF" w14:textId="77777777" w:rsidR="00AC7DEC" w:rsidRPr="00365E13" w:rsidRDefault="00AC7DEC" w:rsidP="00AC7DEC">
      <w:pPr>
        <w:pStyle w:val="Paragraphedeliste"/>
        <w:numPr>
          <w:ilvl w:val="0"/>
          <w:numId w:val="38"/>
        </w:numPr>
        <w:spacing w:line="276" w:lineRule="auto"/>
        <w:rPr>
          <w:rFonts w:ascii="Times New Roman" w:hAnsi="Times New Roman"/>
          <w:sz w:val="22"/>
          <w:szCs w:val="22"/>
        </w:rPr>
      </w:pPr>
      <w:r w:rsidRPr="00365E13">
        <w:rPr>
          <w:rFonts w:ascii="Times New Roman" w:hAnsi="Times New Roman"/>
          <w:sz w:val="22"/>
          <w:szCs w:val="22"/>
        </w:rPr>
        <w:t>du rapport S/P exprimé en pourcentage</w:t>
      </w:r>
      <w:r w:rsidRPr="00365E13">
        <w:rPr>
          <w:rFonts w:ascii="Times New Roman" w:hAnsi="Times New Roman"/>
          <w:color w:val="000000"/>
          <w:sz w:val="22"/>
          <w:szCs w:val="22"/>
        </w:rPr>
        <w:t xml:space="preserve">. </w:t>
      </w:r>
    </w:p>
    <w:p w14:paraId="29781EA7" w14:textId="77777777" w:rsidR="00C25F39" w:rsidRDefault="00C25F39" w:rsidP="001E772F">
      <w:pPr>
        <w:spacing w:line="276" w:lineRule="auto"/>
        <w:rPr>
          <w:szCs w:val="22"/>
        </w:rPr>
      </w:pPr>
    </w:p>
    <w:p w14:paraId="003CBF9E" w14:textId="0FFA0D4F" w:rsidR="00AC7DEC" w:rsidRPr="00365E13" w:rsidRDefault="00AC7DEC" w:rsidP="001E772F">
      <w:pPr>
        <w:spacing w:line="276" w:lineRule="auto"/>
        <w:rPr>
          <w:szCs w:val="22"/>
        </w:rPr>
      </w:pPr>
      <w:r w:rsidRPr="00365E13">
        <w:rPr>
          <w:szCs w:val="22"/>
        </w:rPr>
        <w:t xml:space="preserve">On note N l’exercice </w:t>
      </w:r>
      <w:r w:rsidR="00CB6C3B">
        <w:rPr>
          <w:szCs w:val="22"/>
        </w:rPr>
        <w:t>d’</w:t>
      </w:r>
      <w:r w:rsidRPr="00365E13">
        <w:rPr>
          <w:szCs w:val="22"/>
        </w:rPr>
        <w:t>invent</w:t>
      </w:r>
      <w:r w:rsidR="00CB6C3B">
        <w:rPr>
          <w:szCs w:val="22"/>
        </w:rPr>
        <w:t>aire</w:t>
      </w:r>
      <w:r w:rsidRPr="00365E13">
        <w:rPr>
          <w:szCs w:val="22"/>
        </w:rPr>
        <w:t>.</w:t>
      </w:r>
    </w:p>
    <w:p w14:paraId="358FC6CC" w14:textId="77777777" w:rsidR="00AC7DEC" w:rsidRPr="00365E13" w:rsidRDefault="00AC7DEC" w:rsidP="00AC7DEC">
      <w:pPr>
        <w:spacing w:line="276" w:lineRule="auto"/>
        <w:ind w:firstLine="708"/>
        <w:rPr>
          <w:szCs w:val="22"/>
          <w:highlight w:val="lightGray"/>
        </w:rPr>
      </w:pPr>
    </w:p>
    <w:p w14:paraId="551DB246" w14:textId="70127965" w:rsidR="00AC7DEC" w:rsidRPr="00365E13" w:rsidRDefault="00731302" w:rsidP="00AC7DEC">
      <w:pPr>
        <w:pStyle w:val="Paragraphedeliste"/>
        <w:numPr>
          <w:ilvl w:val="0"/>
          <w:numId w:val="12"/>
        </w:numPr>
        <w:spacing w:line="276" w:lineRule="auto"/>
        <w:jc w:val="left"/>
        <w:rPr>
          <w:rFonts w:ascii="Times New Roman" w:hAnsi="Times New Roman"/>
          <w:b/>
          <w:color w:val="000000"/>
          <w:sz w:val="22"/>
          <w:szCs w:val="22"/>
          <w:u w:val="single"/>
        </w:rPr>
      </w:pPr>
      <w:r>
        <w:rPr>
          <w:rFonts w:ascii="Times New Roman" w:hAnsi="Times New Roman"/>
          <w:b/>
          <w:color w:val="000000"/>
          <w:sz w:val="22"/>
          <w:szCs w:val="22"/>
          <w:u w:val="single"/>
        </w:rPr>
        <w:t>Tableau</w:t>
      </w:r>
      <w:r w:rsidR="006861DE">
        <w:rPr>
          <w:rFonts w:ascii="Times New Roman" w:hAnsi="Times New Roman"/>
          <w:b/>
          <w:color w:val="000000"/>
          <w:sz w:val="22"/>
          <w:szCs w:val="22"/>
          <w:u w:val="single"/>
        </w:rPr>
        <w:t>x</w:t>
      </w:r>
      <w:r>
        <w:rPr>
          <w:rFonts w:ascii="Times New Roman" w:hAnsi="Times New Roman"/>
          <w:b/>
          <w:color w:val="000000"/>
          <w:sz w:val="22"/>
          <w:szCs w:val="22"/>
          <w:u w:val="single"/>
        </w:rPr>
        <w:t xml:space="preserve"> </w:t>
      </w:r>
      <w:r w:rsidR="006861DE">
        <w:rPr>
          <w:rFonts w:ascii="Times New Roman" w:hAnsi="Times New Roman"/>
          <w:b/>
          <w:color w:val="000000"/>
          <w:sz w:val="22"/>
          <w:szCs w:val="22"/>
          <w:u w:val="single"/>
        </w:rPr>
        <w:t>FR.21.0</w:t>
      </w:r>
      <w:r w:rsidR="00A74695">
        <w:rPr>
          <w:rFonts w:ascii="Times New Roman" w:hAnsi="Times New Roman"/>
          <w:b/>
          <w:color w:val="000000"/>
          <w:sz w:val="22"/>
          <w:szCs w:val="22"/>
          <w:u w:val="single"/>
        </w:rPr>
        <w:t>1</w:t>
      </w:r>
      <w:r w:rsidR="006861DE">
        <w:rPr>
          <w:rFonts w:ascii="Times New Roman" w:hAnsi="Times New Roman"/>
          <w:b/>
          <w:color w:val="000000"/>
          <w:sz w:val="22"/>
          <w:szCs w:val="22"/>
          <w:u w:val="single"/>
        </w:rPr>
        <w:t xml:space="preserve">.01 </w:t>
      </w:r>
      <w:r w:rsidR="00A74695">
        <w:rPr>
          <w:rFonts w:ascii="Times New Roman" w:hAnsi="Times New Roman"/>
          <w:b/>
          <w:color w:val="000000"/>
          <w:sz w:val="22"/>
          <w:szCs w:val="22"/>
          <w:u w:val="single"/>
        </w:rPr>
        <w:t xml:space="preserve">à FR.21.05.01 </w:t>
      </w:r>
      <w:r w:rsidR="006861DE">
        <w:rPr>
          <w:rFonts w:ascii="Times New Roman" w:hAnsi="Times New Roman"/>
          <w:b/>
          <w:color w:val="000000"/>
          <w:sz w:val="22"/>
          <w:szCs w:val="22"/>
          <w:u w:val="single"/>
        </w:rPr>
        <w:t>et FR.21.0</w:t>
      </w:r>
      <w:r w:rsidR="00A74695">
        <w:rPr>
          <w:rFonts w:ascii="Times New Roman" w:hAnsi="Times New Roman"/>
          <w:b/>
          <w:color w:val="000000"/>
          <w:sz w:val="22"/>
          <w:szCs w:val="22"/>
          <w:u w:val="single"/>
        </w:rPr>
        <w:t>1</w:t>
      </w:r>
      <w:r w:rsidR="006861DE">
        <w:rPr>
          <w:rFonts w:ascii="Times New Roman" w:hAnsi="Times New Roman"/>
          <w:b/>
          <w:color w:val="000000"/>
          <w:sz w:val="22"/>
          <w:szCs w:val="22"/>
          <w:u w:val="single"/>
        </w:rPr>
        <w:t>.02</w:t>
      </w:r>
      <w:r w:rsidR="00A74695">
        <w:rPr>
          <w:rFonts w:ascii="Times New Roman" w:hAnsi="Times New Roman"/>
          <w:b/>
          <w:color w:val="000000"/>
          <w:sz w:val="22"/>
          <w:szCs w:val="22"/>
          <w:u w:val="single"/>
        </w:rPr>
        <w:t xml:space="preserve"> à FR.21.05.02</w:t>
      </w:r>
      <w:r w:rsidR="006861DE">
        <w:rPr>
          <w:rFonts w:ascii="Times New Roman" w:hAnsi="Times New Roman"/>
          <w:b/>
          <w:color w:val="000000"/>
          <w:sz w:val="22"/>
          <w:szCs w:val="22"/>
          <w:u w:val="single"/>
        </w:rPr>
        <w:t> </w:t>
      </w:r>
      <w:r>
        <w:rPr>
          <w:rFonts w:ascii="Times New Roman" w:hAnsi="Times New Roman"/>
          <w:b/>
          <w:color w:val="000000"/>
          <w:sz w:val="22"/>
          <w:szCs w:val="22"/>
          <w:u w:val="single"/>
        </w:rPr>
        <w:t>:</w:t>
      </w:r>
      <w:r w:rsidR="00AC7DEC" w:rsidRPr="00365E13">
        <w:rPr>
          <w:rFonts w:ascii="Times New Roman" w:hAnsi="Times New Roman"/>
          <w:b/>
          <w:color w:val="000000"/>
          <w:sz w:val="22"/>
          <w:szCs w:val="22"/>
          <w:u w:val="single"/>
        </w:rPr>
        <w:t xml:space="preserve"> Nombre de risques, nombre de contrats, nombre et coût des sinistres</w:t>
      </w:r>
    </w:p>
    <w:p w14:paraId="6F4D0ADB" w14:textId="77777777" w:rsidR="00AC7DEC" w:rsidRPr="00365E13" w:rsidRDefault="00AC7DEC" w:rsidP="00AC7DEC">
      <w:pPr>
        <w:spacing w:line="276" w:lineRule="auto"/>
        <w:ind w:firstLine="708"/>
        <w:jc w:val="left"/>
        <w:rPr>
          <w:color w:val="000000"/>
          <w:szCs w:val="22"/>
          <w:highlight w:val="lightGray"/>
        </w:rPr>
      </w:pPr>
    </w:p>
    <w:p w14:paraId="6C3AABA9" w14:textId="77777777" w:rsidR="008D0639" w:rsidRDefault="006861DE" w:rsidP="0082251A">
      <w:pPr>
        <w:autoSpaceDE w:val="0"/>
        <w:autoSpaceDN w:val="0"/>
        <w:adjustRightInd w:val="0"/>
        <w:spacing w:line="276" w:lineRule="auto"/>
        <w:rPr>
          <w:szCs w:val="22"/>
        </w:rPr>
      </w:pPr>
      <w:r>
        <w:rPr>
          <w:szCs w:val="22"/>
        </w:rPr>
        <w:t>C</w:t>
      </w:r>
      <w:r w:rsidRPr="00365E13">
        <w:rPr>
          <w:szCs w:val="22"/>
        </w:rPr>
        <w:t>e</w:t>
      </w:r>
      <w:r>
        <w:rPr>
          <w:szCs w:val="22"/>
        </w:rPr>
        <w:t>s</w:t>
      </w:r>
      <w:r w:rsidRPr="00365E13">
        <w:rPr>
          <w:szCs w:val="22"/>
        </w:rPr>
        <w:t xml:space="preserve"> </w:t>
      </w:r>
      <w:r w:rsidR="00AC7DEC" w:rsidRPr="00365E13">
        <w:rPr>
          <w:szCs w:val="22"/>
        </w:rPr>
        <w:t>tableau</w:t>
      </w:r>
      <w:r>
        <w:rPr>
          <w:szCs w:val="22"/>
        </w:rPr>
        <w:t>x</w:t>
      </w:r>
      <w:r w:rsidR="00AC7DEC" w:rsidRPr="00365E13">
        <w:rPr>
          <w:szCs w:val="22"/>
        </w:rPr>
        <w:t xml:space="preserve"> recense</w:t>
      </w:r>
      <w:r>
        <w:rPr>
          <w:szCs w:val="22"/>
        </w:rPr>
        <w:t>nt</w:t>
      </w:r>
      <w:r w:rsidR="00AC7DEC" w:rsidRPr="00365E13">
        <w:rPr>
          <w:szCs w:val="22"/>
        </w:rPr>
        <w:t xml:space="preserve"> les informations comptables et extracomptables suivantes :</w:t>
      </w:r>
    </w:p>
    <w:p w14:paraId="4F347B95" w14:textId="77777777" w:rsidR="0082251A" w:rsidRDefault="0082251A" w:rsidP="00AC7DEC">
      <w:pPr>
        <w:autoSpaceDE w:val="0"/>
        <w:autoSpaceDN w:val="0"/>
        <w:adjustRightInd w:val="0"/>
        <w:spacing w:line="276" w:lineRule="auto"/>
        <w:ind w:firstLine="708"/>
        <w:rPr>
          <w:szCs w:val="22"/>
        </w:rPr>
      </w:pPr>
    </w:p>
    <w:tbl>
      <w:tblPr>
        <w:tblStyle w:val="Grilledutableau"/>
        <w:tblW w:w="0" w:type="auto"/>
        <w:tblLook w:val="04A0" w:firstRow="1" w:lastRow="0" w:firstColumn="1" w:lastColumn="0" w:noHBand="0" w:noVBand="1"/>
      </w:tblPr>
      <w:tblGrid>
        <w:gridCol w:w="1668"/>
        <w:gridCol w:w="3118"/>
        <w:gridCol w:w="4426"/>
      </w:tblGrid>
      <w:tr w:rsidR="008D0639" w14:paraId="7AF2C20F" w14:textId="77777777" w:rsidTr="0082251A">
        <w:tc>
          <w:tcPr>
            <w:tcW w:w="1668" w:type="dxa"/>
          </w:tcPr>
          <w:p w14:paraId="1A08F1C2" w14:textId="73F1C578" w:rsidR="008D0639" w:rsidRDefault="008D0639" w:rsidP="008D0639">
            <w:pPr>
              <w:autoSpaceDE w:val="0"/>
              <w:autoSpaceDN w:val="0"/>
              <w:adjustRightInd w:val="0"/>
              <w:spacing w:line="276" w:lineRule="auto"/>
              <w:jc w:val="center"/>
              <w:rPr>
                <w:szCs w:val="22"/>
              </w:rPr>
            </w:pPr>
            <w:r>
              <w:rPr>
                <w:b/>
              </w:rPr>
              <w:t>INTITULE</w:t>
            </w:r>
          </w:p>
        </w:tc>
        <w:tc>
          <w:tcPr>
            <w:tcW w:w="3118" w:type="dxa"/>
          </w:tcPr>
          <w:p w14:paraId="642F715F" w14:textId="74BB0BB6" w:rsidR="008D0639" w:rsidRDefault="008D0639" w:rsidP="008D0639">
            <w:pPr>
              <w:autoSpaceDE w:val="0"/>
              <w:autoSpaceDN w:val="0"/>
              <w:adjustRightInd w:val="0"/>
              <w:spacing w:line="276" w:lineRule="auto"/>
              <w:jc w:val="center"/>
              <w:rPr>
                <w:szCs w:val="22"/>
              </w:rPr>
            </w:pPr>
            <w:r>
              <w:rPr>
                <w:b/>
              </w:rPr>
              <w:t>NUMERO DE CELLULE</w:t>
            </w:r>
          </w:p>
        </w:tc>
        <w:tc>
          <w:tcPr>
            <w:tcW w:w="4426" w:type="dxa"/>
          </w:tcPr>
          <w:p w14:paraId="0B1D37CF" w14:textId="1466AEA0" w:rsidR="008D0639" w:rsidRDefault="008D0639" w:rsidP="008D0639">
            <w:pPr>
              <w:autoSpaceDE w:val="0"/>
              <w:autoSpaceDN w:val="0"/>
              <w:adjustRightInd w:val="0"/>
              <w:spacing w:line="276" w:lineRule="auto"/>
              <w:jc w:val="center"/>
              <w:rPr>
                <w:szCs w:val="22"/>
              </w:rPr>
            </w:pPr>
            <w:r w:rsidRPr="003B1F67">
              <w:rPr>
                <w:b/>
              </w:rPr>
              <w:t>DEFINITION</w:t>
            </w:r>
            <w:r>
              <w:rPr>
                <w:b/>
              </w:rPr>
              <w:t xml:space="preserve"> ET FORMULE</w:t>
            </w:r>
          </w:p>
        </w:tc>
      </w:tr>
      <w:tr w:rsidR="008D0639" w14:paraId="0011F492" w14:textId="77777777" w:rsidTr="0082251A">
        <w:tc>
          <w:tcPr>
            <w:tcW w:w="1668" w:type="dxa"/>
          </w:tcPr>
          <w:p w14:paraId="4E0BACB0" w14:textId="300F12AC" w:rsidR="008D0639" w:rsidRDefault="008D0639" w:rsidP="008D0639">
            <w:pPr>
              <w:autoSpaceDE w:val="0"/>
              <w:autoSpaceDN w:val="0"/>
              <w:adjustRightInd w:val="0"/>
              <w:spacing w:line="276" w:lineRule="auto"/>
              <w:jc w:val="center"/>
              <w:rPr>
                <w:szCs w:val="22"/>
              </w:rPr>
            </w:pPr>
            <w:r>
              <w:rPr>
                <w:b/>
                <w:szCs w:val="22"/>
              </w:rPr>
              <w:t>N</w:t>
            </w:r>
            <w:r w:rsidRPr="00365E13">
              <w:rPr>
                <w:b/>
                <w:szCs w:val="22"/>
              </w:rPr>
              <w:t>ombre de contrats</w:t>
            </w:r>
          </w:p>
        </w:tc>
        <w:tc>
          <w:tcPr>
            <w:tcW w:w="3118" w:type="dxa"/>
          </w:tcPr>
          <w:p w14:paraId="30ECC3DD" w14:textId="4D4C0D53" w:rsidR="008D0639" w:rsidRDefault="008D0639" w:rsidP="008D0639">
            <w:pPr>
              <w:autoSpaceDE w:val="0"/>
              <w:autoSpaceDN w:val="0"/>
              <w:adjustRightInd w:val="0"/>
              <w:spacing w:line="276" w:lineRule="auto"/>
              <w:rPr>
                <w:szCs w:val="22"/>
              </w:rPr>
            </w:pPr>
            <w:r>
              <w:rPr>
                <w:szCs w:val="22"/>
              </w:rPr>
              <w:t>C0010/R0010 et R0020</w:t>
            </w:r>
          </w:p>
        </w:tc>
        <w:tc>
          <w:tcPr>
            <w:tcW w:w="4426" w:type="dxa"/>
          </w:tcPr>
          <w:p w14:paraId="0622CCA8" w14:textId="115F8AC6" w:rsidR="008D0639" w:rsidRDefault="008D0639" w:rsidP="008D0639">
            <w:pPr>
              <w:autoSpaceDE w:val="0"/>
              <w:autoSpaceDN w:val="0"/>
              <w:adjustRightInd w:val="0"/>
              <w:spacing w:line="276" w:lineRule="auto"/>
              <w:rPr>
                <w:szCs w:val="22"/>
              </w:rPr>
            </w:pPr>
            <w:r>
              <w:rPr>
                <w:szCs w:val="22"/>
              </w:rPr>
              <w:t>N</w:t>
            </w:r>
            <w:r w:rsidRPr="008D0639">
              <w:rPr>
                <w:szCs w:val="22"/>
              </w:rPr>
              <w:t>ombre de contrats à l’ouverture et à la clôture de l’exercice d’inventaire ; il comprend les contrats pour lesquels la garantie subséquente a été mise en œuvre</w:t>
            </w:r>
          </w:p>
        </w:tc>
      </w:tr>
      <w:tr w:rsidR="008D0639" w14:paraId="304DBE2E" w14:textId="77777777" w:rsidTr="0082251A">
        <w:tc>
          <w:tcPr>
            <w:tcW w:w="1668" w:type="dxa"/>
          </w:tcPr>
          <w:p w14:paraId="4BE0269B" w14:textId="2688BF62" w:rsidR="008D0639" w:rsidRPr="008D0639" w:rsidRDefault="008D0639" w:rsidP="0082251A">
            <w:pPr>
              <w:autoSpaceDE w:val="0"/>
              <w:autoSpaceDN w:val="0"/>
              <w:adjustRightInd w:val="0"/>
              <w:spacing w:line="276" w:lineRule="auto"/>
              <w:jc w:val="center"/>
              <w:rPr>
                <w:b/>
                <w:szCs w:val="22"/>
              </w:rPr>
            </w:pPr>
            <w:r>
              <w:rPr>
                <w:b/>
                <w:szCs w:val="22"/>
              </w:rPr>
              <w:t>N</w:t>
            </w:r>
            <w:r w:rsidRPr="008D0639">
              <w:rPr>
                <w:b/>
                <w:szCs w:val="22"/>
              </w:rPr>
              <w:t>ombre de risques</w:t>
            </w:r>
          </w:p>
        </w:tc>
        <w:tc>
          <w:tcPr>
            <w:tcW w:w="3118" w:type="dxa"/>
          </w:tcPr>
          <w:p w14:paraId="7135F088" w14:textId="40880BBA" w:rsidR="008D0639" w:rsidRDefault="008D0639" w:rsidP="008D0639">
            <w:pPr>
              <w:autoSpaceDE w:val="0"/>
              <w:autoSpaceDN w:val="0"/>
              <w:adjustRightInd w:val="0"/>
              <w:spacing w:line="276" w:lineRule="auto"/>
              <w:rPr>
                <w:szCs w:val="22"/>
              </w:rPr>
            </w:pPr>
            <w:r>
              <w:rPr>
                <w:szCs w:val="22"/>
              </w:rPr>
              <w:t>C0020/R0010 et R0020</w:t>
            </w:r>
          </w:p>
        </w:tc>
        <w:tc>
          <w:tcPr>
            <w:tcW w:w="4426" w:type="dxa"/>
          </w:tcPr>
          <w:p w14:paraId="3D599249" w14:textId="65CC23CE" w:rsidR="008D0639" w:rsidRDefault="0082251A" w:rsidP="0082251A">
            <w:pPr>
              <w:autoSpaceDE w:val="0"/>
              <w:autoSpaceDN w:val="0"/>
              <w:adjustRightInd w:val="0"/>
              <w:spacing w:line="276" w:lineRule="auto"/>
              <w:rPr>
                <w:szCs w:val="22"/>
              </w:rPr>
            </w:pPr>
            <w:r>
              <w:rPr>
                <w:szCs w:val="22"/>
              </w:rPr>
              <w:t>N</w:t>
            </w:r>
            <w:r w:rsidRPr="0082251A">
              <w:rPr>
                <w:szCs w:val="22"/>
              </w:rPr>
              <w:t xml:space="preserve">ombre de risques à l’ouverture et à la clôture de l’exercice d’inventaire ; ce nombre est ici l’indicateur de volume d’activité en affaires directes, autre que le nombre de contrats. Comme approximation du volume d’activité, il </w:t>
            </w:r>
            <w:r w:rsidRPr="0082251A">
              <w:rPr>
                <w:szCs w:val="22"/>
              </w:rPr>
              <w:lastRenderedPageBreak/>
              <w:t>est attendu de renseigner le nombre de personnes physiques concernées directement par l’article L. 1142-2 du Code de la santé publique, ou le nombre de personnes physiques couvertes par les personnes morales concernées directement par l’article L. 1142-2 du Code de la santé publique. Cet indicateur ne tient pas compte des contrats pour lesquels la garantie subséquente a été mise en œuvre.</w:t>
            </w:r>
          </w:p>
        </w:tc>
      </w:tr>
      <w:tr w:rsidR="0082251A" w14:paraId="2108C54E" w14:textId="77777777" w:rsidTr="0082251A">
        <w:tc>
          <w:tcPr>
            <w:tcW w:w="1668" w:type="dxa"/>
          </w:tcPr>
          <w:p w14:paraId="5E863C4E" w14:textId="57719BF2" w:rsidR="0082251A" w:rsidRDefault="0082251A" w:rsidP="0082251A">
            <w:pPr>
              <w:autoSpaceDE w:val="0"/>
              <w:autoSpaceDN w:val="0"/>
              <w:adjustRightInd w:val="0"/>
              <w:spacing w:line="276" w:lineRule="auto"/>
              <w:jc w:val="center"/>
              <w:rPr>
                <w:b/>
                <w:szCs w:val="22"/>
              </w:rPr>
            </w:pPr>
            <w:r>
              <w:rPr>
                <w:b/>
                <w:szCs w:val="22"/>
              </w:rPr>
              <w:lastRenderedPageBreak/>
              <w:t>N</w:t>
            </w:r>
            <w:r w:rsidRPr="00365E13">
              <w:rPr>
                <w:b/>
                <w:szCs w:val="22"/>
              </w:rPr>
              <w:t>ombre de sinistres</w:t>
            </w:r>
          </w:p>
        </w:tc>
        <w:tc>
          <w:tcPr>
            <w:tcW w:w="3118" w:type="dxa"/>
          </w:tcPr>
          <w:p w14:paraId="5EC45A38" w14:textId="46B46634" w:rsidR="0082251A" w:rsidRDefault="0082251A" w:rsidP="008D0639">
            <w:pPr>
              <w:autoSpaceDE w:val="0"/>
              <w:autoSpaceDN w:val="0"/>
              <w:adjustRightInd w:val="0"/>
              <w:spacing w:line="276" w:lineRule="auto"/>
              <w:rPr>
                <w:szCs w:val="22"/>
              </w:rPr>
            </w:pPr>
            <w:r>
              <w:rPr>
                <w:szCs w:val="22"/>
              </w:rPr>
              <w:t>C0030/R0030 et R0040</w:t>
            </w:r>
          </w:p>
        </w:tc>
        <w:tc>
          <w:tcPr>
            <w:tcW w:w="4426" w:type="dxa"/>
          </w:tcPr>
          <w:p w14:paraId="2DC6070A" w14:textId="4E81A700" w:rsidR="0082251A" w:rsidRDefault="0082251A" w:rsidP="0082251A">
            <w:pPr>
              <w:autoSpaceDE w:val="0"/>
              <w:autoSpaceDN w:val="0"/>
              <w:adjustRightInd w:val="0"/>
              <w:spacing w:line="276" w:lineRule="auto"/>
              <w:rPr>
                <w:szCs w:val="22"/>
              </w:rPr>
            </w:pPr>
            <w:r>
              <w:rPr>
                <w:szCs w:val="22"/>
              </w:rPr>
              <w:t>N</w:t>
            </w:r>
            <w:r w:rsidRPr="0082251A">
              <w:rPr>
                <w:szCs w:val="22"/>
              </w:rPr>
              <w:t>ombre de sinistres</w:t>
            </w:r>
            <w:r w:rsidRPr="00365E13">
              <w:rPr>
                <w:b/>
                <w:szCs w:val="22"/>
              </w:rPr>
              <w:t xml:space="preserve"> </w:t>
            </w:r>
            <w:r w:rsidRPr="00365E13">
              <w:rPr>
                <w:szCs w:val="22"/>
              </w:rPr>
              <w:t xml:space="preserve">déclarés </w:t>
            </w:r>
            <w:r>
              <w:rPr>
                <w:szCs w:val="22"/>
              </w:rPr>
              <w:t xml:space="preserve">ou clos </w:t>
            </w:r>
            <w:r w:rsidRPr="00365E13">
              <w:rPr>
                <w:szCs w:val="22"/>
              </w:rPr>
              <w:t>au cours de l’exercice d’inventaire</w:t>
            </w:r>
            <w:r w:rsidRPr="00365E13">
              <w:rPr>
                <w:b/>
                <w:szCs w:val="22"/>
              </w:rPr>
              <w:t> </w:t>
            </w:r>
            <w:r w:rsidRPr="00365E13">
              <w:rPr>
                <w:szCs w:val="22"/>
              </w:rPr>
              <w:t xml:space="preserve">; </w:t>
            </w:r>
            <w:r>
              <w:rPr>
                <w:szCs w:val="22"/>
              </w:rPr>
              <w:t>l</w:t>
            </w:r>
            <w:r w:rsidRPr="00365E13">
              <w:rPr>
                <w:szCs w:val="22"/>
              </w:rPr>
              <w:t>e nombre de sinistres attendu est le nombre de sinistres réclamés</w:t>
            </w:r>
            <w:r>
              <w:rPr>
                <w:szCs w:val="22"/>
              </w:rPr>
              <w:t>,</w:t>
            </w:r>
            <w:r w:rsidRPr="00DC3E94">
              <w:rPr>
                <w:szCs w:val="22"/>
              </w:rPr>
              <w:t xml:space="preserve"> </w:t>
            </w:r>
            <w:r>
              <w:rPr>
                <w:szCs w:val="22"/>
              </w:rPr>
              <w:t>y compris ceux pour lesquels la garantie subséquente a été mise en œuvre,</w:t>
            </w:r>
            <w:r w:rsidRPr="00365E13">
              <w:rPr>
                <w:szCs w:val="22"/>
              </w:rPr>
              <w:t xml:space="preserve"> dont la connaissance a été portée à l’assureur entre le premier janvier et le 31 décembre de l’exercice N. Il ne comprend donc pas les sinistres tardifs</w:t>
            </w:r>
            <w:r>
              <w:rPr>
                <w:szCs w:val="22"/>
              </w:rPr>
              <w:t xml:space="preserve"> de l’année N</w:t>
            </w:r>
            <w:r w:rsidRPr="00365E13">
              <w:rPr>
                <w:szCs w:val="22"/>
              </w:rPr>
              <w:t>, c’est-à-dire ceux qui ont pu déjà être réclamés auprès de l’assuré mais que celui-ci n’a pas communiqué à son assureur au 31 décembre de l’exercice N</w:t>
            </w:r>
            <w:r>
              <w:rPr>
                <w:szCs w:val="22"/>
              </w:rPr>
              <w:t>.</w:t>
            </w:r>
          </w:p>
        </w:tc>
      </w:tr>
      <w:tr w:rsidR="0082251A" w14:paraId="69C5FACF" w14:textId="77777777" w:rsidTr="0082251A">
        <w:tc>
          <w:tcPr>
            <w:tcW w:w="1668" w:type="dxa"/>
          </w:tcPr>
          <w:p w14:paraId="4F393AC1" w14:textId="1D3A54B0" w:rsidR="0082251A" w:rsidRDefault="0082251A" w:rsidP="0082251A">
            <w:pPr>
              <w:autoSpaceDE w:val="0"/>
              <w:autoSpaceDN w:val="0"/>
              <w:adjustRightInd w:val="0"/>
              <w:spacing w:line="276" w:lineRule="auto"/>
              <w:jc w:val="center"/>
              <w:rPr>
                <w:b/>
                <w:szCs w:val="22"/>
              </w:rPr>
            </w:pPr>
            <w:r>
              <w:rPr>
                <w:b/>
                <w:szCs w:val="22"/>
              </w:rPr>
              <w:t>C</w:t>
            </w:r>
            <w:r w:rsidRPr="0082251A">
              <w:rPr>
                <w:b/>
                <w:szCs w:val="22"/>
              </w:rPr>
              <w:t>oût total estimé des sinistres</w:t>
            </w:r>
          </w:p>
        </w:tc>
        <w:tc>
          <w:tcPr>
            <w:tcW w:w="3118" w:type="dxa"/>
          </w:tcPr>
          <w:p w14:paraId="618FD447" w14:textId="61CFB2FC" w:rsidR="0082251A" w:rsidRDefault="0082251A" w:rsidP="008D0639">
            <w:pPr>
              <w:autoSpaceDE w:val="0"/>
              <w:autoSpaceDN w:val="0"/>
              <w:adjustRightInd w:val="0"/>
              <w:spacing w:line="276" w:lineRule="auto"/>
              <w:rPr>
                <w:szCs w:val="22"/>
              </w:rPr>
            </w:pPr>
            <w:r>
              <w:rPr>
                <w:szCs w:val="22"/>
              </w:rPr>
              <w:t>C0040/R0030 et R0040</w:t>
            </w:r>
          </w:p>
        </w:tc>
        <w:tc>
          <w:tcPr>
            <w:tcW w:w="4426" w:type="dxa"/>
          </w:tcPr>
          <w:p w14:paraId="65CFA3A6" w14:textId="1D47E919" w:rsidR="0082251A" w:rsidRDefault="0082251A" w:rsidP="0082251A">
            <w:pPr>
              <w:autoSpaceDE w:val="0"/>
              <w:autoSpaceDN w:val="0"/>
              <w:adjustRightInd w:val="0"/>
              <w:spacing w:line="276" w:lineRule="auto"/>
              <w:rPr>
                <w:szCs w:val="22"/>
              </w:rPr>
            </w:pPr>
            <w:r>
              <w:rPr>
                <w:szCs w:val="22"/>
              </w:rPr>
              <w:t>C</w:t>
            </w:r>
            <w:r w:rsidRPr="0082251A">
              <w:rPr>
                <w:szCs w:val="22"/>
              </w:rPr>
              <w:t xml:space="preserve">oût total estimé des sinistres déclarés </w:t>
            </w:r>
            <w:r>
              <w:rPr>
                <w:szCs w:val="22"/>
              </w:rPr>
              <w:t xml:space="preserve">ou clos </w:t>
            </w:r>
            <w:r w:rsidRPr="0082251A">
              <w:rPr>
                <w:szCs w:val="22"/>
              </w:rPr>
              <w:t>au cours de l'exercice d’inventaire</w:t>
            </w:r>
            <w:r>
              <w:rPr>
                <w:szCs w:val="22"/>
              </w:rPr>
              <w:t>. Le premier</w:t>
            </w:r>
            <w:r w:rsidRPr="0082251A">
              <w:rPr>
                <w:szCs w:val="22"/>
              </w:rPr>
              <w:t xml:space="preserve"> correspond au montant estimé de l’ensemble des sinistres mentionnés dans le paragraphe relatif au nombre de sinistres.</w:t>
            </w:r>
            <w:r>
              <w:rPr>
                <w:szCs w:val="22"/>
              </w:rPr>
              <w:t xml:space="preserve"> Le second correspond </w:t>
            </w:r>
            <w:r w:rsidRPr="0082251A">
              <w:rPr>
                <w:szCs w:val="22"/>
              </w:rPr>
              <w:t>au montant estimé des sinistres dont l’assureur a terminé le règlement entre le premier janvier et le 31 décembre de l’exercice N.</w:t>
            </w:r>
          </w:p>
        </w:tc>
      </w:tr>
    </w:tbl>
    <w:p w14:paraId="3A24D63B" w14:textId="6AC6298A" w:rsidR="00AC7DEC" w:rsidRPr="00365E13" w:rsidRDefault="00AC7DEC" w:rsidP="0082251A">
      <w:pPr>
        <w:autoSpaceDE w:val="0"/>
        <w:autoSpaceDN w:val="0"/>
        <w:adjustRightInd w:val="0"/>
        <w:spacing w:line="276" w:lineRule="auto"/>
        <w:rPr>
          <w:szCs w:val="22"/>
        </w:rPr>
      </w:pPr>
      <w:r w:rsidRPr="00365E13">
        <w:rPr>
          <w:szCs w:val="22"/>
        </w:rPr>
        <w:t xml:space="preserve"> </w:t>
      </w:r>
    </w:p>
    <w:p w14:paraId="323B67EE" w14:textId="37AA1079" w:rsidR="00AC7DEC" w:rsidRPr="00365E13" w:rsidRDefault="00AC7DEC" w:rsidP="00AC7DEC">
      <w:pPr>
        <w:pStyle w:val="Paragraphedeliste"/>
        <w:numPr>
          <w:ilvl w:val="0"/>
          <w:numId w:val="12"/>
        </w:numPr>
        <w:spacing w:line="276" w:lineRule="auto"/>
        <w:jc w:val="left"/>
        <w:rPr>
          <w:rFonts w:ascii="Times New Roman" w:hAnsi="Times New Roman"/>
          <w:b/>
          <w:color w:val="000000"/>
          <w:sz w:val="22"/>
          <w:szCs w:val="22"/>
          <w:u w:val="single"/>
        </w:rPr>
      </w:pPr>
      <w:r w:rsidRPr="00365E13">
        <w:rPr>
          <w:rFonts w:ascii="Times New Roman" w:hAnsi="Times New Roman"/>
          <w:b/>
          <w:color w:val="000000"/>
          <w:sz w:val="22"/>
          <w:szCs w:val="22"/>
          <w:u w:val="single"/>
        </w:rPr>
        <w:t>Tableau</w:t>
      </w:r>
      <w:r w:rsidR="00A74695">
        <w:rPr>
          <w:rFonts w:ascii="Times New Roman" w:hAnsi="Times New Roman"/>
          <w:b/>
          <w:color w:val="000000"/>
          <w:sz w:val="22"/>
          <w:szCs w:val="22"/>
          <w:u w:val="single"/>
        </w:rPr>
        <w:t>x</w:t>
      </w:r>
      <w:r w:rsidRPr="00365E13">
        <w:rPr>
          <w:rFonts w:ascii="Times New Roman" w:hAnsi="Times New Roman"/>
          <w:b/>
          <w:color w:val="000000"/>
          <w:sz w:val="22"/>
          <w:szCs w:val="22"/>
          <w:u w:val="single"/>
        </w:rPr>
        <w:t xml:space="preserve"> </w:t>
      </w:r>
      <w:r w:rsidR="000E7237">
        <w:rPr>
          <w:rFonts w:ascii="Times New Roman" w:hAnsi="Times New Roman"/>
          <w:b/>
          <w:color w:val="000000"/>
          <w:sz w:val="22"/>
          <w:szCs w:val="22"/>
          <w:u w:val="single"/>
        </w:rPr>
        <w:t>FR.21.0</w:t>
      </w:r>
      <w:r w:rsidR="00A74695">
        <w:rPr>
          <w:rFonts w:ascii="Times New Roman" w:hAnsi="Times New Roman"/>
          <w:b/>
          <w:color w:val="000000"/>
          <w:sz w:val="22"/>
          <w:szCs w:val="22"/>
          <w:u w:val="single"/>
        </w:rPr>
        <w:t>1</w:t>
      </w:r>
      <w:r w:rsidR="000E7237">
        <w:rPr>
          <w:rFonts w:ascii="Times New Roman" w:hAnsi="Times New Roman"/>
          <w:b/>
          <w:color w:val="000000"/>
          <w:sz w:val="22"/>
          <w:szCs w:val="22"/>
          <w:u w:val="single"/>
        </w:rPr>
        <w:t>.03</w:t>
      </w:r>
      <w:r w:rsidR="00A74695">
        <w:rPr>
          <w:rFonts w:ascii="Times New Roman" w:hAnsi="Times New Roman"/>
          <w:b/>
          <w:color w:val="000000"/>
          <w:sz w:val="22"/>
          <w:szCs w:val="22"/>
          <w:u w:val="single"/>
        </w:rPr>
        <w:t xml:space="preserve"> à FR.21.05.03</w:t>
      </w:r>
      <w:r w:rsidR="000E7237" w:rsidRPr="00365E13">
        <w:rPr>
          <w:rFonts w:ascii="Times New Roman" w:hAnsi="Times New Roman"/>
          <w:b/>
          <w:color w:val="000000"/>
          <w:sz w:val="22"/>
          <w:szCs w:val="22"/>
          <w:u w:val="single"/>
        </w:rPr>
        <w:t> </w:t>
      </w:r>
      <w:r w:rsidRPr="00365E13">
        <w:rPr>
          <w:rFonts w:ascii="Times New Roman" w:hAnsi="Times New Roman"/>
          <w:b/>
          <w:color w:val="000000"/>
          <w:sz w:val="22"/>
          <w:szCs w:val="22"/>
          <w:u w:val="single"/>
        </w:rPr>
        <w:t>: Coût et rapport S/P par année de rattachement des sinistres</w:t>
      </w:r>
    </w:p>
    <w:p w14:paraId="2C0EEEC7" w14:textId="77777777" w:rsidR="00AC7DEC" w:rsidRPr="00365E13" w:rsidRDefault="00AC7DEC" w:rsidP="00AC7DEC">
      <w:pPr>
        <w:spacing w:line="276" w:lineRule="auto"/>
        <w:ind w:firstLine="708"/>
        <w:rPr>
          <w:szCs w:val="22"/>
          <w:highlight w:val="lightGray"/>
        </w:rPr>
      </w:pPr>
    </w:p>
    <w:p w14:paraId="53EB0F8D" w14:textId="618C8F00" w:rsidR="00AC7DEC" w:rsidRDefault="000E7237" w:rsidP="00CE32A1">
      <w:pPr>
        <w:spacing w:line="276" w:lineRule="auto"/>
        <w:rPr>
          <w:szCs w:val="22"/>
        </w:rPr>
      </w:pPr>
      <w:r>
        <w:rPr>
          <w:szCs w:val="22"/>
        </w:rPr>
        <w:t>C</w:t>
      </w:r>
      <w:r w:rsidRPr="00365E13">
        <w:rPr>
          <w:szCs w:val="22"/>
        </w:rPr>
        <w:t>e</w:t>
      </w:r>
      <w:r w:rsidR="00A74695">
        <w:rPr>
          <w:szCs w:val="22"/>
        </w:rPr>
        <w:t>s</w:t>
      </w:r>
      <w:r w:rsidRPr="00365E13">
        <w:rPr>
          <w:szCs w:val="22"/>
        </w:rPr>
        <w:t xml:space="preserve"> </w:t>
      </w:r>
      <w:r w:rsidR="00AC7DEC" w:rsidRPr="00365E13">
        <w:rPr>
          <w:szCs w:val="22"/>
        </w:rPr>
        <w:t>tableau</w:t>
      </w:r>
      <w:r w:rsidR="00A74695">
        <w:rPr>
          <w:szCs w:val="22"/>
        </w:rPr>
        <w:t>x</w:t>
      </w:r>
      <w:r w:rsidR="00AC7DEC" w:rsidRPr="00365E13">
        <w:rPr>
          <w:szCs w:val="22"/>
        </w:rPr>
        <w:t xml:space="preserve"> contien</w:t>
      </w:r>
      <w:r w:rsidR="00A74695">
        <w:rPr>
          <w:szCs w:val="22"/>
        </w:rPr>
        <w:t>nen</w:t>
      </w:r>
      <w:r w:rsidR="00AC7DEC" w:rsidRPr="00365E13">
        <w:rPr>
          <w:szCs w:val="22"/>
        </w:rPr>
        <w:t xml:space="preserve">t des informations de primes et de sinistralité, vues à la clôture de l’exercice comptable inventorié. </w:t>
      </w:r>
      <w:r w:rsidR="00CE32A1" w:rsidRPr="00365E13">
        <w:rPr>
          <w:szCs w:val="22"/>
        </w:rPr>
        <w:t xml:space="preserve">Elles sont ventilées en colonne par exercice de rattachement : </w:t>
      </w:r>
    </w:p>
    <w:p w14:paraId="3C7F8F14" w14:textId="77777777" w:rsidR="0071086D" w:rsidRPr="00365E13" w:rsidRDefault="0071086D" w:rsidP="0071086D">
      <w:pPr>
        <w:pStyle w:val="Paragraphedeliste"/>
        <w:numPr>
          <w:ilvl w:val="0"/>
          <w:numId w:val="16"/>
        </w:numPr>
        <w:autoSpaceDE w:val="0"/>
        <w:autoSpaceDN w:val="0"/>
        <w:adjustRightInd w:val="0"/>
        <w:spacing w:line="276" w:lineRule="auto"/>
        <w:ind w:left="0" w:firstLine="0"/>
        <w:rPr>
          <w:rFonts w:ascii="Times New Roman" w:hAnsi="Times New Roman"/>
          <w:sz w:val="22"/>
          <w:szCs w:val="22"/>
        </w:rPr>
      </w:pPr>
      <w:r w:rsidRPr="00365E13">
        <w:rPr>
          <w:rFonts w:ascii="Times New Roman" w:hAnsi="Times New Roman"/>
          <w:sz w:val="22"/>
          <w:szCs w:val="22"/>
        </w:rPr>
        <w:t>les montants renseignés dans la colonne "</w:t>
      </w:r>
      <w:r w:rsidRPr="00365E13">
        <w:rPr>
          <w:rFonts w:ascii="Times New Roman" w:hAnsi="Times New Roman"/>
          <w:i/>
          <w:sz w:val="22"/>
          <w:szCs w:val="22"/>
        </w:rPr>
        <w:t>année N</w:t>
      </w:r>
      <w:r w:rsidRPr="00365E13">
        <w:rPr>
          <w:rFonts w:ascii="Times New Roman" w:hAnsi="Times New Roman"/>
          <w:sz w:val="22"/>
          <w:szCs w:val="22"/>
        </w:rPr>
        <w:t xml:space="preserve">" </w:t>
      </w:r>
      <w:r>
        <w:rPr>
          <w:rFonts w:ascii="Times New Roman" w:hAnsi="Times New Roman"/>
          <w:sz w:val="22"/>
          <w:szCs w:val="22"/>
        </w:rPr>
        <w:t xml:space="preserve">(C0110) </w:t>
      </w:r>
      <w:r w:rsidRPr="00365E13">
        <w:rPr>
          <w:rFonts w:ascii="Times New Roman" w:hAnsi="Times New Roman"/>
          <w:sz w:val="22"/>
          <w:szCs w:val="22"/>
        </w:rPr>
        <w:t>(respectivement "</w:t>
      </w:r>
      <w:r w:rsidRPr="00365E13">
        <w:rPr>
          <w:rFonts w:ascii="Times New Roman" w:hAnsi="Times New Roman"/>
          <w:i/>
          <w:sz w:val="22"/>
          <w:szCs w:val="22"/>
        </w:rPr>
        <w:t>année N-1</w:t>
      </w:r>
      <w:r w:rsidRPr="00365E13">
        <w:rPr>
          <w:rFonts w:ascii="Times New Roman" w:hAnsi="Times New Roman"/>
          <w:sz w:val="22"/>
          <w:szCs w:val="22"/>
        </w:rPr>
        <w:t>"</w:t>
      </w:r>
      <w:r>
        <w:rPr>
          <w:rFonts w:ascii="Times New Roman" w:hAnsi="Times New Roman"/>
          <w:sz w:val="22"/>
          <w:szCs w:val="22"/>
        </w:rPr>
        <w:t xml:space="preserve"> (C0090)</w:t>
      </w:r>
      <w:r w:rsidRPr="00365E13">
        <w:rPr>
          <w:rFonts w:ascii="Times New Roman" w:hAnsi="Times New Roman"/>
          <w:sz w:val="22"/>
          <w:szCs w:val="22"/>
        </w:rPr>
        <w:t>, "</w:t>
      </w:r>
      <w:r w:rsidRPr="00365E13">
        <w:rPr>
          <w:rFonts w:ascii="Times New Roman" w:hAnsi="Times New Roman"/>
          <w:i/>
          <w:sz w:val="22"/>
          <w:szCs w:val="22"/>
        </w:rPr>
        <w:t>année N-2</w:t>
      </w:r>
      <w:r w:rsidRPr="00365E13">
        <w:rPr>
          <w:rFonts w:ascii="Times New Roman" w:hAnsi="Times New Roman"/>
          <w:sz w:val="22"/>
          <w:szCs w:val="22"/>
        </w:rPr>
        <w:t>"</w:t>
      </w:r>
      <w:r>
        <w:rPr>
          <w:rFonts w:ascii="Times New Roman" w:hAnsi="Times New Roman"/>
          <w:sz w:val="22"/>
          <w:szCs w:val="22"/>
        </w:rPr>
        <w:t xml:space="preserve"> (C0080)</w:t>
      </w:r>
      <w:r w:rsidRPr="00365E13">
        <w:rPr>
          <w:rFonts w:ascii="Times New Roman" w:hAnsi="Times New Roman"/>
          <w:sz w:val="22"/>
          <w:szCs w:val="22"/>
        </w:rPr>
        <w:t>, "</w:t>
      </w:r>
      <w:r w:rsidRPr="00365E13">
        <w:rPr>
          <w:rFonts w:ascii="Times New Roman" w:hAnsi="Times New Roman"/>
          <w:i/>
          <w:sz w:val="22"/>
          <w:szCs w:val="22"/>
        </w:rPr>
        <w:t>année N-3</w:t>
      </w:r>
      <w:r w:rsidRPr="00365E13">
        <w:rPr>
          <w:rFonts w:ascii="Times New Roman" w:hAnsi="Times New Roman"/>
          <w:sz w:val="22"/>
          <w:szCs w:val="22"/>
        </w:rPr>
        <w:t>"</w:t>
      </w:r>
      <w:r>
        <w:rPr>
          <w:rFonts w:ascii="Times New Roman" w:hAnsi="Times New Roman"/>
          <w:sz w:val="22"/>
          <w:szCs w:val="22"/>
        </w:rPr>
        <w:t xml:space="preserve"> (C0070)</w:t>
      </w:r>
      <w:r w:rsidRPr="00365E13">
        <w:rPr>
          <w:rFonts w:ascii="Times New Roman" w:hAnsi="Times New Roman"/>
          <w:sz w:val="22"/>
          <w:szCs w:val="22"/>
        </w:rPr>
        <w:t>, "</w:t>
      </w:r>
      <w:r w:rsidRPr="00365E13">
        <w:rPr>
          <w:rFonts w:ascii="Times New Roman" w:hAnsi="Times New Roman"/>
          <w:i/>
          <w:sz w:val="22"/>
          <w:szCs w:val="22"/>
        </w:rPr>
        <w:t>année N-4</w:t>
      </w:r>
      <w:r w:rsidRPr="00365E13">
        <w:rPr>
          <w:rFonts w:ascii="Times New Roman" w:hAnsi="Times New Roman"/>
          <w:sz w:val="22"/>
          <w:szCs w:val="22"/>
        </w:rPr>
        <w:t>"</w:t>
      </w:r>
      <w:r>
        <w:rPr>
          <w:rFonts w:ascii="Times New Roman" w:hAnsi="Times New Roman"/>
          <w:sz w:val="22"/>
          <w:szCs w:val="22"/>
        </w:rPr>
        <w:t xml:space="preserve"> (C0060)</w:t>
      </w:r>
      <w:r w:rsidRPr="00365E13">
        <w:rPr>
          <w:rFonts w:ascii="Times New Roman" w:hAnsi="Times New Roman"/>
          <w:sz w:val="22"/>
          <w:szCs w:val="22"/>
        </w:rPr>
        <w:t xml:space="preserve"> ou "</w:t>
      </w:r>
      <w:r w:rsidRPr="00365E13">
        <w:rPr>
          <w:rFonts w:ascii="Times New Roman" w:hAnsi="Times New Roman"/>
          <w:i/>
          <w:sz w:val="22"/>
          <w:szCs w:val="22"/>
        </w:rPr>
        <w:t>année N-5</w:t>
      </w:r>
      <w:r w:rsidRPr="00365E13">
        <w:rPr>
          <w:rFonts w:ascii="Times New Roman" w:hAnsi="Times New Roman"/>
          <w:sz w:val="22"/>
          <w:szCs w:val="22"/>
        </w:rPr>
        <w:t>"</w:t>
      </w:r>
      <w:r>
        <w:rPr>
          <w:rFonts w:ascii="Times New Roman" w:hAnsi="Times New Roman"/>
          <w:sz w:val="22"/>
          <w:szCs w:val="22"/>
        </w:rPr>
        <w:t xml:space="preserve"> (C0050)</w:t>
      </w:r>
      <w:r w:rsidRPr="00365E13">
        <w:rPr>
          <w:rFonts w:ascii="Times New Roman" w:hAnsi="Times New Roman"/>
          <w:sz w:val="22"/>
          <w:szCs w:val="22"/>
        </w:rPr>
        <w:t xml:space="preserve">) correspondent aux informations comptables rattachées à l’exercice de </w:t>
      </w:r>
      <w:r>
        <w:rPr>
          <w:rFonts w:ascii="Times New Roman" w:hAnsi="Times New Roman"/>
          <w:sz w:val="22"/>
          <w:szCs w:val="22"/>
        </w:rPr>
        <w:t>rattachement</w:t>
      </w:r>
      <w:r w:rsidRPr="00365E13">
        <w:rPr>
          <w:rFonts w:ascii="Times New Roman" w:hAnsi="Times New Roman"/>
          <w:sz w:val="22"/>
          <w:szCs w:val="22"/>
        </w:rPr>
        <w:t xml:space="preserve"> N (respectivement N-1, N-2, N-3, N-4, ou N-5). </w:t>
      </w:r>
    </w:p>
    <w:p w14:paraId="04A0D686" w14:textId="5E253BE0" w:rsidR="0071086D" w:rsidRPr="00365E13" w:rsidRDefault="0071086D" w:rsidP="0071086D">
      <w:pPr>
        <w:pStyle w:val="Paragraphedeliste"/>
        <w:numPr>
          <w:ilvl w:val="0"/>
          <w:numId w:val="16"/>
        </w:numPr>
        <w:autoSpaceDE w:val="0"/>
        <w:autoSpaceDN w:val="0"/>
        <w:adjustRightInd w:val="0"/>
        <w:spacing w:line="276" w:lineRule="auto"/>
        <w:rPr>
          <w:rFonts w:ascii="Times New Roman" w:hAnsi="Times New Roman"/>
          <w:sz w:val="22"/>
          <w:szCs w:val="22"/>
        </w:rPr>
      </w:pPr>
      <w:r>
        <w:rPr>
          <w:rFonts w:ascii="Times New Roman" w:hAnsi="Times New Roman"/>
          <w:sz w:val="22"/>
          <w:szCs w:val="22"/>
        </w:rPr>
        <w:t>l</w:t>
      </w:r>
      <w:r w:rsidRPr="00365E13">
        <w:rPr>
          <w:rFonts w:ascii="Times New Roman" w:hAnsi="Times New Roman"/>
          <w:sz w:val="22"/>
          <w:szCs w:val="22"/>
        </w:rPr>
        <w:t>a colonne "</w:t>
      </w:r>
      <w:r w:rsidRPr="00365E13">
        <w:rPr>
          <w:rFonts w:ascii="Times New Roman" w:hAnsi="Times New Roman"/>
          <w:i/>
          <w:sz w:val="22"/>
          <w:szCs w:val="22"/>
        </w:rPr>
        <w:t>Total</w:t>
      </w:r>
      <w:r>
        <w:rPr>
          <w:rFonts w:ascii="Times New Roman" w:hAnsi="Times New Roman"/>
          <w:i/>
          <w:sz w:val="22"/>
          <w:szCs w:val="22"/>
        </w:rPr>
        <w:t xml:space="preserve"> exercices </w:t>
      </w:r>
      <w:r w:rsidRPr="00365E13">
        <w:rPr>
          <w:rFonts w:ascii="Times New Roman" w:hAnsi="Times New Roman"/>
          <w:i/>
          <w:sz w:val="22"/>
          <w:szCs w:val="22"/>
        </w:rPr>
        <w:t>antérieurs</w:t>
      </w:r>
      <w:r w:rsidRPr="00365E13">
        <w:rPr>
          <w:rFonts w:ascii="Times New Roman" w:hAnsi="Times New Roman"/>
          <w:sz w:val="22"/>
          <w:szCs w:val="22"/>
        </w:rPr>
        <w:t xml:space="preserve">" </w:t>
      </w:r>
      <w:r>
        <w:rPr>
          <w:rFonts w:ascii="Times New Roman" w:hAnsi="Times New Roman"/>
          <w:sz w:val="22"/>
          <w:szCs w:val="22"/>
        </w:rPr>
        <w:t xml:space="preserve">(C0100) </w:t>
      </w:r>
      <w:r w:rsidRPr="00365E13">
        <w:rPr>
          <w:rFonts w:ascii="Times New Roman" w:hAnsi="Times New Roman"/>
          <w:sz w:val="22"/>
          <w:szCs w:val="22"/>
        </w:rPr>
        <w:t xml:space="preserve">correspond à la somme des informations comptables rattachées à l’exercice de </w:t>
      </w:r>
      <w:r>
        <w:rPr>
          <w:rFonts w:ascii="Times New Roman" w:hAnsi="Times New Roman"/>
          <w:sz w:val="22"/>
          <w:szCs w:val="22"/>
        </w:rPr>
        <w:t>rattachement</w:t>
      </w:r>
      <w:r w:rsidRPr="00365E13">
        <w:rPr>
          <w:rFonts w:ascii="Times New Roman" w:hAnsi="Times New Roman"/>
          <w:sz w:val="22"/>
          <w:szCs w:val="22"/>
        </w:rPr>
        <w:t xml:space="preserve"> N-</w:t>
      </w:r>
      <w:r>
        <w:rPr>
          <w:rFonts w:ascii="Times New Roman" w:hAnsi="Times New Roman"/>
          <w:sz w:val="22"/>
          <w:szCs w:val="22"/>
        </w:rPr>
        <w:t>1</w:t>
      </w:r>
      <w:r w:rsidRPr="00365E13">
        <w:rPr>
          <w:rFonts w:ascii="Times New Roman" w:hAnsi="Times New Roman"/>
          <w:sz w:val="22"/>
          <w:szCs w:val="22"/>
        </w:rPr>
        <w:t xml:space="preserve"> et aux exercices de </w:t>
      </w:r>
      <w:r>
        <w:rPr>
          <w:rFonts w:ascii="Times New Roman" w:hAnsi="Times New Roman"/>
          <w:sz w:val="22"/>
          <w:szCs w:val="22"/>
        </w:rPr>
        <w:t>rattachement</w:t>
      </w:r>
      <w:r w:rsidRPr="00365E13">
        <w:rPr>
          <w:rFonts w:ascii="Times New Roman" w:hAnsi="Times New Roman"/>
          <w:sz w:val="22"/>
          <w:szCs w:val="22"/>
        </w:rPr>
        <w:t xml:space="preserve"> précédents. </w:t>
      </w:r>
    </w:p>
    <w:p w14:paraId="2B7B83E4" w14:textId="77777777" w:rsidR="0071086D" w:rsidRPr="00365E13" w:rsidRDefault="0071086D" w:rsidP="00CE32A1">
      <w:pPr>
        <w:spacing w:line="276" w:lineRule="auto"/>
        <w:rPr>
          <w:szCs w:val="22"/>
        </w:rPr>
      </w:pPr>
    </w:p>
    <w:p w14:paraId="7BC06418" w14:textId="20FD1200" w:rsidR="00AC7DEC" w:rsidRDefault="0071086D" w:rsidP="00CE32A1">
      <w:pPr>
        <w:spacing w:line="276" w:lineRule="auto"/>
        <w:rPr>
          <w:szCs w:val="22"/>
        </w:rPr>
      </w:pPr>
      <w:r w:rsidRPr="00365E13">
        <w:rPr>
          <w:szCs w:val="22"/>
        </w:rPr>
        <w:t>Les informations demandées en ligne sont les suivantes :</w:t>
      </w:r>
    </w:p>
    <w:tbl>
      <w:tblPr>
        <w:tblStyle w:val="Grilledutableau"/>
        <w:tblW w:w="0" w:type="auto"/>
        <w:tblLook w:val="04A0" w:firstRow="1" w:lastRow="0" w:firstColumn="1" w:lastColumn="0" w:noHBand="0" w:noVBand="1"/>
      </w:tblPr>
      <w:tblGrid>
        <w:gridCol w:w="1475"/>
        <w:gridCol w:w="1428"/>
        <w:gridCol w:w="3556"/>
        <w:gridCol w:w="2829"/>
      </w:tblGrid>
      <w:tr w:rsidR="00CB2B3A" w14:paraId="72B90F82" w14:textId="046F4328" w:rsidTr="00CB2B3A">
        <w:tc>
          <w:tcPr>
            <w:tcW w:w="1292" w:type="dxa"/>
          </w:tcPr>
          <w:p w14:paraId="668B0E1B" w14:textId="68D04099" w:rsidR="00CB2B3A" w:rsidRDefault="00CB2B3A" w:rsidP="00CE32A1">
            <w:pPr>
              <w:spacing w:line="276" w:lineRule="auto"/>
              <w:jc w:val="center"/>
              <w:rPr>
                <w:szCs w:val="22"/>
              </w:rPr>
            </w:pPr>
            <w:r>
              <w:rPr>
                <w:b/>
              </w:rPr>
              <w:t>INTITULE</w:t>
            </w:r>
          </w:p>
        </w:tc>
        <w:tc>
          <w:tcPr>
            <w:tcW w:w="1437" w:type="dxa"/>
          </w:tcPr>
          <w:p w14:paraId="7FA91FC2" w14:textId="184B1908" w:rsidR="00CB2B3A" w:rsidRDefault="00CB2B3A" w:rsidP="00CE32A1">
            <w:pPr>
              <w:spacing w:line="276" w:lineRule="auto"/>
              <w:jc w:val="center"/>
              <w:rPr>
                <w:szCs w:val="22"/>
              </w:rPr>
            </w:pPr>
            <w:r>
              <w:rPr>
                <w:b/>
              </w:rPr>
              <w:t xml:space="preserve">NUMERO DE </w:t>
            </w:r>
            <w:r>
              <w:rPr>
                <w:b/>
              </w:rPr>
              <w:lastRenderedPageBreak/>
              <w:t>CELLULE</w:t>
            </w:r>
          </w:p>
        </w:tc>
        <w:tc>
          <w:tcPr>
            <w:tcW w:w="3663" w:type="dxa"/>
          </w:tcPr>
          <w:p w14:paraId="163462A5" w14:textId="140C0D85" w:rsidR="00CB2B3A" w:rsidRDefault="00CB2B3A" w:rsidP="00CE32A1">
            <w:pPr>
              <w:spacing w:line="276" w:lineRule="auto"/>
              <w:jc w:val="center"/>
              <w:rPr>
                <w:szCs w:val="22"/>
              </w:rPr>
            </w:pPr>
            <w:r w:rsidRPr="003B1F67">
              <w:rPr>
                <w:b/>
              </w:rPr>
              <w:lastRenderedPageBreak/>
              <w:t>DEFINITION</w:t>
            </w:r>
            <w:r>
              <w:rPr>
                <w:b/>
              </w:rPr>
              <w:t xml:space="preserve"> ET FORMULE</w:t>
            </w:r>
          </w:p>
        </w:tc>
        <w:tc>
          <w:tcPr>
            <w:tcW w:w="2896" w:type="dxa"/>
          </w:tcPr>
          <w:p w14:paraId="3B7001AA" w14:textId="153250E7" w:rsidR="00CB2B3A" w:rsidRPr="003B1F67" w:rsidRDefault="00CB2B3A" w:rsidP="00CE32A1">
            <w:pPr>
              <w:spacing w:line="276" w:lineRule="auto"/>
              <w:jc w:val="center"/>
              <w:rPr>
                <w:b/>
              </w:rPr>
            </w:pPr>
            <w:r>
              <w:rPr>
                <w:b/>
              </w:rPr>
              <w:t xml:space="preserve">CONTROLES </w:t>
            </w:r>
            <w:proofErr w:type="gramStart"/>
            <w:r>
              <w:rPr>
                <w:b/>
              </w:rPr>
              <w:t>ASSOCIES</w:t>
            </w:r>
            <w:proofErr w:type="gramEnd"/>
          </w:p>
        </w:tc>
      </w:tr>
      <w:tr w:rsidR="00CB2B3A" w14:paraId="0EA719B1" w14:textId="52FCB012" w:rsidTr="00CB2B3A">
        <w:tc>
          <w:tcPr>
            <w:tcW w:w="1292" w:type="dxa"/>
          </w:tcPr>
          <w:p w14:paraId="4094D793" w14:textId="6A371AC6" w:rsidR="00CB2B3A" w:rsidRPr="0071086D" w:rsidRDefault="00CB2B3A" w:rsidP="00CE32A1">
            <w:pPr>
              <w:spacing w:line="276" w:lineRule="auto"/>
              <w:rPr>
                <w:b/>
                <w:szCs w:val="22"/>
              </w:rPr>
            </w:pPr>
            <w:r w:rsidRPr="0071086D">
              <w:rPr>
                <w:b/>
                <w:szCs w:val="22"/>
              </w:rPr>
              <w:lastRenderedPageBreak/>
              <w:t>Cumuls paiements, net de recours, au cours des exercices antérieurs</w:t>
            </w:r>
          </w:p>
        </w:tc>
        <w:tc>
          <w:tcPr>
            <w:tcW w:w="1437" w:type="dxa"/>
          </w:tcPr>
          <w:p w14:paraId="291F0B3B" w14:textId="6B6D915D" w:rsidR="00CB2B3A" w:rsidRDefault="00CB2B3A" w:rsidP="0071086D">
            <w:pPr>
              <w:spacing w:line="276" w:lineRule="auto"/>
              <w:jc w:val="center"/>
              <w:rPr>
                <w:szCs w:val="22"/>
              </w:rPr>
            </w:pPr>
            <w:r>
              <w:rPr>
                <w:szCs w:val="22"/>
              </w:rPr>
              <w:t>R0050</w:t>
            </w:r>
          </w:p>
        </w:tc>
        <w:tc>
          <w:tcPr>
            <w:tcW w:w="3663" w:type="dxa"/>
          </w:tcPr>
          <w:p w14:paraId="26FE8E55" w14:textId="38F153C6" w:rsidR="00CB2B3A" w:rsidRDefault="00CB2B3A" w:rsidP="00CE32A1">
            <w:pPr>
              <w:spacing w:line="276" w:lineRule="auto"/>
              <w:rPr>
                <w:szCs w:val="22"/>
              </w:rPr>
            </w:pPr>
            <w:r>
              <w:rPr>
                <w:szCs w:val="22"/>
              </w:rPr>
              <w:t>C</w:t>
            </w:r>
            <w:r w:rsidRPr="0071086D">
              <w:rPr>
                <w:szCs w:val="22"/>
              </w:rPr>
              <w:t>orrespondent à la somme des montants effectivement réglés au cours des exercices comptables strictement antérieurs à l’exercice d’inventaire, nets de la somme des recours encaissés au cours des mêmes exercices comptables. Ces paiements incluent les frais de gestion internes et externes payés, ainsi que les capitaux constitutifs de rentes constituées au cours d’exercices comptables antérieures</w:t>
            </w:r>
            <w:r>
              <w:rPr>
                <w:szCs w:val="22"/>
              </w:rPr>
              <w:t xml:space="preserve"> (dont le montant est par ailleurs demandé en R0060)</w:t>
            </w:r>
            <w:r w:rsidRPr="0071086D">
              <w:rPr>
                <w:szCs w:val="22"/>
              </w:rPr>
              <w:t>. Dans la case « Total exercices antérieurs », il faut inscrire l’intégralité des paiements nets de recours qui ont été effectués antérieurement à l’exercice N, pour les années de rattachement pour lesquelles des sinistres sont encore ouverts ou ont été clos lors de l’exercice N.</w:t>
            </w:r>
          </w:p>
        </w:tc>
        <w:tc>
          <w:tcPr>
            <w:tcW w:w="2896" w:type="dxa"/>
          </w:tcPr>
          <w:p w14:paraId="42FB9029" w14:textId="352ACB40" w:rsidR="003C2BE7" w:rsidRDefault="003C2BE7" w:rsidP="003C2BE7">
            <w:pPr>
              <w:spacing w:line="276" w:lineRule="auto"/>
              <w:rPr>
                <w:szCs w:val="22"/>
              </w:rPr>
            </w:pPr>
          </w:p>
        </w:tc>
      </w:tr>
      <w:tr w:rsidR="00CB2B3A" w14:paraId="79382930" w14:textId="47D644C5" w:rsidTr="00CB2B3A">
        <w:tc>
          <w:tcPr>
            <w:tcW w:w="1292" w:type="dxa"/>
          </w:tcPr>
          <w:p w14:paraId="3B91415D" w14:textId="5A117726" w:rsidR="00CB2B3A" w:rsidRPr="00CA5091" w:rsidRDefault="00CB2B3A" w:rsidP="00CE32A1">
            <w:pPr>
              <w:spacing w:line="276" w:lineRule="auto"/>
              <w:rPr>
                <w:b/>
                <w:szCs w:val="22"/>
              </w:rPr>
            </w:pPr>
            <w:r w:rsidRPr="00CA5091">
              <w:rPr>
                <w:b/>
                <w:szCs w:val="22"/>
              </w:rPr>
              <w:t>Paiements, nets de recours, au cours de l’exercice inventorié</w:t>
            </w:r>
          </w:p>
        </w:tc>
        <w:tc>
          <w:tcPr>
            <w:tcW w:w="1437" w:type="dxa"/>
          </w:tcPr>
          <w:p w14:paraId="4E85711D" w14:textId="0F4EA3EB" w:rsidR="00CB2B3A" w:rsidRDefault="00CB2B3A" w:rsidP="00CA5091">
            <w:pPr>
              <w:spacing w:line="276" w:lineRule="auto"/>
              <w:jc w:val="center"/>
              <w:rPr>
                <w:szCs w:val="22"/>
              </w:rPr>
            </w:pPr>
            <w:r>
              <w:rPr>
                <w:szCs w:val="22"/>
              </w:rPr>
              <w:t>R0070</w:t>
            </w:r>
          </w:p>
        </w:tc>
        <w:tc>
          <w:tcPr>
            <w:tcW w:w="3663" w:type="dxa"/>
          </w:tcPr>
          <w:p w14:paraId="705147B0" w14:textId="1D27A3B4" w:rsidR="00CB2B3A" w:rsidRDefault="00CB2B3A" w:rsidP="00CE32A1">
            <w:pPr>
              <w:spacing w:line="276" w:lineRule="auto"/>
              <w:rPr>
                <w:szCs w:val="22"/>
              </w:rPr>
            </w:pPr>
            <w:r>
              <w:rPr>
                <w:szCs w:val="22"/>
              </w:rPr>
              <w:t>C</w:t>
            </w:r>
            <w:r w:rsidRPr="00CA5091">
              <w:rPr>
                <w:szCs w:val="22"/>
              </w:rPr>
              <w:t>orrespondent au montant effectivement réglé au cours de l’exercice d’inventaire, nets de la somme des recours effectivement encaissés au cours de ce même exercice. Ces paiements incluent les frais de gestion internes et externes payés, ainsi que les capitaux constitutifs de rentes constituées au cours de l’exercice d’inventaire</w:t>
            </w:r>
            <w:r>
              <w:rPr>
                <w:szCs w:val="22"/>
              </w:rPr>
              <w:t xml:space="preserve"> (dont le montant est par ailleurs demandé en R0080)</w:t>
            </w:r>
            <w:r w:rsidRPr="00CA5091">
              <w:rPr>
                <w:szCs w:val="22"/>
              </w:rPr>
              <w:t>. Dans la case « Total exercices antérieurs », il faut inscrire l’intégralité des paiements nets de recours qui ont été effectués durant l’exercice N, pour les années de rattachement inférieures à N. Les paiements nets de recours effectués durant l’exercice N au titre d’un sinistre rattaché à l’exercice N sont à reporter dans la case « N ».</w:t>
            </w:r>
          </w:p>
        </w:tc>
        <w:tc>
          <w:tcPr>
            <w:tcW w:w="2896" w:type="dxa"/>
          </w:tcPr>
          <w:p w14:paraId="0219052C" w14:textId="0F9B94E1" w:rsidR="003C2BE7" w:rsidRDefault="003C2BE7" w:rsidP="003C2BE7">
            <w:pPr>
              <w:spacing w:line="276" w:lineRule="auto"/>
              <w:rPr>
                <w:szCs w:val="22"/>
              </w:rPr>
            </w:pPr>
          </w:p>
        </w:tc>
      </w:tr>
      <w:tr w:rsidR="00CB2B3A" w14:paraId="4C4ABD75" w14:textId="14E82707" w:rsidTr="00CB2B3A">
        <w:tc>
          <w:tcPr>
            <w:tcW w:w="1292" w:type="dxa"/>
          </w:tcPr>
          <w:p w14:paraId="7A91192F" w14:textId="115746A7" w:rsidR="00CB2B3A" w:rsidRPr="00CA5091" w:rsidRDefault="00CB2B3A" w:rsidP="00CE32A1">
            <w:pPr>
              <w:spacing w:line="276" w:lineRule="auto"/>
              <w:rPr>
                <w:b/>
                <w:szCs w:val="22"/>
              </w:rPr>
            </w:pPr>
            <w:r w:rsidRPr="00CA5091">
              <w:rPr>
                <w:b/>
                <w:szCs w:val="22"/>
              </w:rPr>
              <w:t xml:space="preserve">Provision pour sinistres à </w:t>
            </w:r>
            <w:r w:rsidRPr="00CA5091">
              <w:rPr>
                <w:b/>
                <w:szCs w:val="22"/>
              </w:rPr>
              <w:lastRenderedPageBreak/>
              <w:t>payer</w:t>
            </w:r>
            <w:r>
              <w:rPr>
                <w:b/>
                <w:szCs w:val="22"/>
              </w:rPr>
              <w:t xml:space="preserve"> (PSAP)</w:t>
            </w:r>
          </w:p>
        </w:tc>
        <w:tc>
          <w:tcPr>
            <w:tcW w:w="1437" w:type="dxa"/>
          </w:tcPr>
          <w:p w14:paraId="2B801EEE" w14:textId="5C3E4045" w:rsidR="00CB2B3A" w:rsidRDefault="00CB2B3A" w:rsidP="004C0AC0">
            <w:pPr>
              <w:spacing w:line="276" w:lineRule="auto"/>
              <w:jc w:val="center"/>
              <w:rPr>
                <w:szCs w:val="22"/>
              </w:rPr>
            </w:pPr>
            <w:r>
              <w:rPr>
                <w:szCs w:val="22"/>
              </w:rPr>
              <w:lastRenderedPageBreak/>
              <w:t>R0090 et R0100</w:t>
            </w:r>
          </w:p>
        </w:tc>
        <w:tc>
          <w:tcPr>
            <w:tcW w:w="3663" w:type="dxa"/>
          </w:tcPr>
          <w:p w14:paraId="56C594C2" w14:textId="77777777" w:rsidR="00CB2B3A" w:rsidRDefault="00CB2B3A" w:rsidP="00CE32A1">
            <w:pPr>
              <w:spacing w:line="276" w:lineRule="auto"/>
              <w:rPr>
                <w:szCs w:val="22"/>
              </w:rPr>
            </w:pPr>
            <w:r>
              <w:rPr>
                <w:szCs w:val="22"/>
              </w:rPr>
              <w:t>P</w:t>
            </w:r>
            <w:r w:rsidRPr="004C0AC0">
              <w:rPr>
                <w:szCs w:val="22"/>
              </w:rPr>
              <w:t xml:space="preserve">rovision mentionnée au 4° de l’article </w:t>
            </w:r>
            <w:hyperlink r:id="rId19" w:history="1">
              <w:r w:rsidRPr="004C0AC0">
                <w:rPr>
                  <w:rStyle w:val="Lienhypertexte"/>
                  <w:szCs w:val="22"/>
                </w:rPr>
                <w:t>R. 343–7 du Code des Assurances</w:t>
              </w:r>
            </w:hyperlink>
            <w:r w:rsidRPr="004C0AC0">
              <w:rPr>
                <w:szCs w:val="22"/>
              </w:rPr>
              <w:t xml:space="preserve">. Elle correspond à la </w:t>
            </w:r>
            <w:r w:rsidRPr="004C0AC0">
              <w:rPr>
                <w:szCs w:val="22"/>
              </w:rPr>
              <w:lastRenderedPageBreak/>
              <w:t>valeur estimative des dépenses en principal et en frais, tant internes qu’externes, nécessaires au règlement de tous les sinistres réclamés mais non encore payés (y compris les capitaux constitutifs des rentes non encore mis à la charge de l’entreprise). Elle inclut les provisions dossier par dossier, les provisions pour t</w:t>
            </w:r>
            <w:r>
              <w:rPr>
                <w:szCs w:val="22"/>
              </w:rPr>
              <w:t>ardifs</w:t>
            </w:r>
            <w:r w:rsidRPr="004C0AC0">
              <w:rPr>
                <w:szCs w:val="22"/>
              </w:rPr>
              <w:t>, les éventuelles provisions pour aggravation et les provisions pour frais de gestion. En revanche, pour les beso</w:t>
            </w:r>
            <w:r>
              <w:rPr>
                <w:szCs w:val="22"/>
              </w:rPr>
              <w:t xml:space="preserve">ins de remplissage des états </w:t>
            </w:r>
            <w:r w:rsidRPr="004C0AC0">
              <w:rPr>
                <w:szCs w:val="22"/>
              </w:rPr>
              <w:t>FR.21, elle n’inclut pas l’éventuelle prov</w:t>
            </w:r>
            <w:r>
              <w:rPr>
                <w:szCs w:val="22"/>
              </w:rPr>
              <w:t>ision pour garantie subséquente</w:t>
            </w:r>
            <w:r w:rsidRPr="004C0AC0">
              <w:rPr>
                <w:szCs w:val="22"/>
              </w:rPr>
              <w:t>. La PSAP est exprimée nette des prévisions de recours.</w:t>
            </w:r>
          </w:p>
          <w:p w14:paraId="6D2F57DD" w14:textId="6C717BBC" w:rsidR="00CB2B3A" w:rsidRDefault="00CB2B3A" w:rsidP="004C0AC0">
            <w:pPr>
              <w:spacing w:line="276" w:lineRule="auto"/>
              <w:rPr>
                <w:szCs w:val="22"/>
              </w:rPr>
            </w:pPr>
            <w:r>
              <w:rPr>
                <w:szCs w:val="22"/>
              </w:rPr>
              <w:t>L</w:t>
            </w:r>
            <w:r w:rsidRPr="004C0AC0">
              <w:rPr>
                <w:szCs w:val="22"/>
              </w:rPr>
              <w:t>a somme des cases ‘</w:t>
            </w:r>
            <w:r w:rsidRPr="004C0AC0">
              <w:rPr>
                <w:i/>
                <w:szCs w:val="22"/>
              </w:rPr>
              <w:t>Total N-1 et antérieurs</w:t>
            </w:r>
            <w:r w:rsidRPr="004C0AC0">
              <w:rPr>
                <w:szCs w:val="22"/>
              </w:rPr>
              <w:t>’ et ‘</w:t>
            </w:r>
            <w:r w:rsidRPr="004C0AC0">
              <w:rPr>
                <w:i/>
                <w:szCs w:val="22"/>
              </w:rPr>
              <w:t>Exercice N</w:t>
            </w:r>
            <w:r w:rsidRPr="004C0AC0">
              <w:rPr>
                <w:szCs w:val="22"/>
              </w:rPr>
              <w:t>’ correspond au total des provisions nettes de recours à la clôture de l'exercice N.</w:t>
            </w:r>
          </w:p>
        </w:tc>
        <w:tc>
          <w:tcPr>
            <w:tcW w:w="2896" w:type="dxa"/>
          </w:tcPr>
          <w:p w14:paraId="73C666D9" w14:textId="77777777" w:rsidR="003C2BE7" w:rsidRDefault="003C2BE7" w:rsidP="003C2BE7">
            <w:pPr>
              <w:spacing w:line="276" w:lineRule="auto"/>
              <w:rPr>
                <w:szCs w:val="22"/>
              </w:rPr>
            </w:pPr>
          </w:p>
          <w:p w14:paraId="292DFA4F" w14:textId="69D1908B" w:rsidR="003C2BE7" w:rsidRDefault="003C2BE7" w:rsidP="003C2BE7">
            <w:pPr>
              <w:spacing w:line="276" w:lineRule="auto"/>
              <w:rPr>
                <w:szCs w:val="22"/>
              </w:rPr>
            </w:pPr>
          </w:p>
        </w:tc>
      </w:tr>
      <w:tr w:rsidR="00CB2B3A" w14:paraId="7F639F4D" w14:textId="63E86D1B" w:rsidTr="00CB2B3A">
        <w:tc>
          <w:tcPr>
            <w:tcW w:w="1292" w:type="dxa"/>
          </w:tcPr>
          <w:p w14:paraId="6A531B3A" w14:textId="3B30D3CD" w:rsidR="00CB2B3A" w:rsidRPr="004C0AC0" w:rsidRDefault="00CB2B3A" w:rsidP="00CE32A1">
            <w:pPr>
              <w:spacing w:line="276" w:lineRule="auto"/>
              <w:rPr>
                <w:b/>
                <w:szCs w:val="22"/>
              </w:rPr>
            </w:pPr>
            <w:r w:rsidRPr="004C0AC0">
              <w:rPr>
                <w:b/>
                <w:szCs w:val="22"/>
              </w:rPr>
              <w:lastRenderedPageBreak/>
              <w:t>Charge nette de recours</w:t>
            </w:r>
          </w:p>
        </w:tc>
        <w:tc>
          <w:tcPr>
            <w:tcW w:w="1437" w:type="dxa"/>
          </w:tcPr>
          <w:p w14:paraId="1148653A" w14:textId="5B3A37BD" w:rsidR="00CB2B3A" w:rsidRDefault="00CB2B3A" w:rsidP="004C0AC0">
            <w:pPr>
              <w:spacing w:line="276" w:lineRule="auto"/>
              <w:jc w:val="center"/>
              <w:rPr>
                <w:szCs w:val="22"/>
              </w:rPr>
            </w:pPr>
            <w:r>
              <w:rPr>
                <w:szCs w:val="22"/>
              </w:rPr>
              <w:t>R0110</w:t>
            </w:r>
          </w:p>
        </w:tc>
        <w:tc>
          <w:tcPr>
            <w:tcW w:w="3663" w:type="dxa"/>
          </w:tcPr>
          <w:p w14:paraId="21601DCA" w14:textId="2E561669" w:rsidR="00CB2B3A" w:rsidRDefault="00CB2B3A" w:rsidP="00CE32A1">
            <w:pPr>
              <w:spacing w:line="276" w:lineRule="auto"/>
              <w:rPr>
                <w:szCs w:val="22"/>
              </w:rPr>
            </w:pPr>
            <w:r>
              <w:rPr>
                <w:szCs w:val="22"/>
              </w:rPr>
              <w:t>C</w:t>
            </w:r>
            <w:r w:rsidRPr="004C0AC0">
              <w:rPr>
                <w:szCs w:val="22"/>
              </w:rPr>
              <w:t>orrespond à la somme des paiements cumulés (nets de recours encaissés) jusqu’à l’exercice d’inventaire et des provisions pour sinistres à payer (nettes des prévisions des recours).</w:t>
            </w:r>
          </w:p>
        </w:tc>
        <w:tc>
          <w:tcPr>
            <w:tcW w:w="2896" w:type="dxa"/>
          </w:tcPr>
          <w:p w14:paraId="7367CE89" w14:textId="5B61AE5F" w:rsidR="00CB2B3A" w:rsidRDefault="006C3630" w:rsidP="00CE32A1">
            <w:pPr>
              <w:spacing w:line="276" w:lineRule="auto"/>
              <w:rPr>
                <w:szCs w:val="22"/>
              </w:rPr>
            </w:pPr>
            <w:r>
              <w:rPr>
                <w:szCs w:val="22"/>
              </w:rPr>
              <w:t>R0110/C0050 = R0050/C0050 + R0070/C0050 + R0100/C0050 (contrôle dupliqué pour les colonnes C0060 à C0100).</w:t>
            </w:r>
          </w:p>
          <w:p w14:paraId="401A3470" w14:textId="77777777" w:rsidR="006C3630" w:rsidRDefault="006C3630" w:rsidP="00CE32A1">
            <w:pPr>
              <w:spacing w:line="276" w:lineRule="auto"/>
              <w:rPr>
                <w:szCs w:val="22"/>
              </w:rPr>
            </w:pPr>
          </w:p>
          <w:p w14:paraId="66AE9ECA" w14:textId="0C47A628" w:rsidR="003C2BE7" w:rsidRDefault="006C3630" w:rsidP="003C2BE7">
            <w:pPr>
              <w:spacing w:line="276" w:lineRule="auto"/>
              <w:rPr>
                <w:szCs w:val="22"/>
              </w:rPr>
            </w:pPr>
            <w:r>
              <w:rPr>
                <w:szCs w:val="22"/>
              </w:rPr>
              <w:t>R0110/C0110 = R0070/C0110 + R0100/C0110</w:t>
            </w:r>
          </w:p>
        </w:tc>
      </w:tr>
      <w:tr w:rsidR="00CB2B3A" w14:paraId="0E81E137" w14:textId="540EA07F" w:rsidTr="00CB2B3A">
        <w:tc>
          <w:tcPr>
            <w:tcW w:w="1292" w:type="dxa"/>
          </w:tcPr>
          <w:p w14:paraId="2BE353C5" w14:textId="706B5F9E" w:rsidR="00CB2B3A" w:rsidRPr="004C0AC0" w:rsidRDefault="00CB2B3A" w:rsidP="00CE32A1">
            <w:pPr>
              <w:spacing w:line="276" w:lineRule="auto"/>
              <w:rPr>
                <w:b/>
                <w:szCs w:val="22"/>
              </w:rPr>
            </w:pPr>
            <w:r w:rsidRPr="004C0AC0">
              <w:rPr>
                <w:b/>
                <w:szCs w:val="22"/>
              </w:rPr>
              <w:t>Nombre de sinistres</w:t>
            </w:r>
          </w:p>
        </w:tc>
        <w:tc>
          <w:tcPr>
            <w:tcW w:w="1437" w:type="dxa"/>
          </w:tcPr>
          <w:p w14:paraId="4B117DB7" w14:textId="51C8303F" w:rsidR="00CB2B3A" w:rsidRDefault="00CB2B3A" w:rsidP="004C0AC0">
            <w:pPr>
              <w:spacing w:line="276" w:lineRule="auto"/>
              <w:jc w:val="center"/>
              <w:rPr>
                <w:szCs w:val="22"/>
              </w:rPr>
            </w:pPr>
            <w:r>
              <w:rPr>
                <w:szCs w:val="22"/>
              </w:rPr>
              <w:t>R0130</w:t>
            </w:r>
          </w:p>
        </w:tc>
        <w:tc>
          <w:tcPr>
            <w:tcW w:w="3663" w:type="dxa"/>
          </w:tcPr>
          <w:p w14:paraId="337E6811" w14:textId="604BFE73" w:rsidR="00CB2B3A" w:rsidRPr="0021252B" w:rsidRDefault="00CB2B3A" w:rsidP="0021252B">
            <w:pPr>
              <w:spacing w:line="276" w:lineRule="auto"/>
              <w:rPr>
                <w:szCs w:val="22"/>
              </w:rPr>
            </w:pPr>
            <w:r>
              <w:rPr>
                <w:szCs w:val="22"/>
              </w:rPr>
              <w:t>R</w:t>
            </w:r>
            <w:r w:rsidRPr="0021252B">
              <w:rPr>
                <w:szCs w:val="22"/>
              </w:rPr>
              <w:t xml:space="preserve">ecense le nombre de sinistres, qu’ils soient clos ou encore ouverts : </w:t>
            </w:r>
          </w:p>
          <w:p w14:paraId="136B32BD" w14:textId="77777777" w:rsidR="00CB2B3A" w:rsidRPr="0021252B" w:rsidRDefault="00CB2B3A" w:rsidP="0021252B">
            <w:pPr>
              <w:spacing w:line="276" w:lineRule="auto"/>
              <w:rPr>
                <w:szCs w:val="22"/>
              </w:rPr>
            </w:pPr>
            <w:r w:rsidRPr="0021252B">
              <w:rPr>
                <w:szCs w:val="22"/>
              </w:rPr>
              <w:t>o</w:t>
            </w:r>
            <w:r w:rsidRPr="0021252B">
              <w:rPr>
                <w:szCs w:val="22"/>
              </w:rPr>
              <w:tab/>
              <w:t>réclamés au cours de l’exercice de rattachement, y compris les tardifs,</w:t>
            </w:r>
          </w:p>
          <w:p w14:paraId="7910A474" w14:textId="128638FB" w:rsidR="00CB2B3A" w:rsidRDefault="00CB2B3A" w:rsidP="0021252B">
            <w:pPr>
              <w:spacing w:line="276" w:lineRule="auto"/>
              <w:rPr>
                <w:szCs w:val="22"/>
              </w:rPr>
            </w:pPr>
            <w:r w:rsidRPr="0021252B">
              <w:rPr>
                <w:szCs w:val="22"/>
              </w:rPr>
              <w:t>o</w:t>
            </w:r>
            <w:r w:rsidRPr="0021252B">
              <w:rPr>
                <w:szCs w:val="22"/>
              </w:rPr>
              <w:tab/>
              <w:t>réclamés au cours de l’exercice de rattachement, relevant de la garantie subséquente lorsque celle-ci a été mise en œuvre.</w:t>
            </w:r>
          </w:p>
        </w:tc>
        <w:tc>
          <w:tcPr>
            <w:tcW w:w="2896" w:type="dxa"/>
          </w:tcPr>
          <w:p w14:paraId="502FFE4E" w14:textId="27A322C1" w:rsidR="00CB2B3A" w:rsidRDefault="00CB2B3A" w:rsidP="003C2BE7">
            <w:pPr>
              <w:spacing w:line="276" w:lineRule="auto"/>
              <w:rPr>
                <w:szCs w:val="22"/>
              </w:rPr>
            </w:pPr>
          </w:p>
        </w:tc>
      </w:tr>
      <w:tr w:rsidR="00CB2B3A" w14:paraId="2FAAE6B0" w14:textId="5C3BCBD4" w:rsidTr="00CB2B3A">
        <w:tc>
          <w:tcPr>
            <w:tcW w:w="1292" w:type="dxa"/>
          </w:tcPr>
          <w:p w14:paraId="27A9C430" w14:textId="419A6B20" w:rsidR="00CB2B3A" w:rsidRPr="0021252B" w:rsidRDefault="00CB2B3A" w:rsidP="00CE32A1">
            <w:pPr>
              <w:spacing w:line="276" w:lineRule="auto"/>
              <w:rPr>
                <w:b/>
                <w:szCs w:val="22"/>
              </w:rPr>
            </w:pPr>
            <w:r w:rsidRPr="0021252B">
              <w:rPr>
                <w:b/>
                <w:szCs w:val="22"/>
              </w:rPr>
              <w:t>Coût moyen net de recours</w:t>
            </w:r>
          </w:p>
        </w:tc>
        <w:tc>
          <w:tcPr>
            <w:tcW w:w="1437" w:type="dxa"/>
          </w:tcPr>
          <w:p w14:paraId="36D82AAC" w14:textId="5C0C7361" w:rsidR="00CB2B3A" w:rsidRDefault="00CB2B3A" w:rsidP="0021252B">
            <w:pPr>
              <w:spacing w:line="276" w:lineRule="auto"/>
              <w:jc w:val="center"/>
              <w:rPr>
                <w:szCs w:val="22"/>
              </w:rPr>
            </w:pPr>
            <w:r>
              <w:rPr>
                <w:szCs w:val="22"/>
              </w:rPr>
              <w:t>R0150</w:t>
            </w:r>
          </w:p>
        </w:tc>
        <w:tc>
          <w:tcPr>
            <w:tcW w:w="3663" w:type="dxa"/>
          </w:tcPr>
          <w:p w14:paraId="1DE9DC08" w14:textId="2A158FD7" w:rsidR="00CB2B3A" w:rsidRDefault="00CB2B3A" w:rsidP="00CE32A1">
            <w:pPr>
              <w:spacing w:line="276" w:lineRule="auto"/>
              <w:rPr>
                <w:szCs w:val="22"/>
              </w:rPr>
            </w:pPr>
            <w:r>
              <w:rPr>
                <w:szCs w:val="22"/>
              </w:rPr>
              <w:t>C</w:t>
            </w:r>
            <w:r w:rsidRPr="0021252B">
              <w:rPr>
                <w:szCs w:val="22"/>
              </w:rPr>
              <w:t>orrespond à charge de sinistres nette de recours, divisée par le  nombre de sinistres rattachés à l’exercice N.</w:t>
            </w:r>
          </w:p>
        </w:tc>
        <w:tc>
          <w:tcPr>
            <w:tcW w:w="2896" w:type="dxa"/>
          </w:tcPr>
          <w:p w14:paraId="7D076784" w14:textId="569C6BEF" w:rsidR="00CB2B3A" w:rsidRDefault="006C3630" w:rsidP="00CE32A1">
            <w:pPr>
              <w:spacing w:line="276" w:lineRule="auto"/>
              <w:rPr>
                <w:szCs w:val="22"/>
              </w:rPr>
            </w:pPr>
            <w:r>
              <w:rPr>
                <w:szCs w:val="22"/>
              </w:rPr>
              <w:t>R0150/C0050 = R0110/C0050 / R0130/C0050 (contrôle dupliqué pour les colonnes C0060 à C0110)</w:t>
            </w:r>
          </w:p>
        </w:tc>
      </w:tr>
      <w:tr w:rsidR="00CB2B3A" w14:paraId="6D6E5E29" w14:textId="201B3B8D" w:rsidTr="00CB2B3A">
        <w:tc>
          <w:tcPr>
            <w:tcW w:w="1292" w:type="dxa"/>
          </w:tcPr>
          <w:p w14:paraId="24A4CCD4" w14:textId="2A8638CB" w:rsidR="00CB2B3A" w:rsidRPr="0021252B" w:rsidRDefault="00CB2B3A" w:rsidP="00CE32A1">
            <w:pPr>
              <w:spacing w:line="276" w:lineRule="auto"/>
              <w:rPr>
                <w:b/>
                <w:szCs w:val="22"/>
              </w:rPr>
            </w:pPr>
            <w:r>
              <w:rPr>
                <w:b/>
                <w:szCs w:val="22"/>
              </w:rPr>
              <w:lastRenderedPageBreak/>
              <w:t>P</w:t>
            </w:r>
            <w:r w:rsidRPr="0021252B">
              <w:rPr>
                <w:b/>
                <w:szCs w:val="22"/>
              </w:rPr>
              <w:t>rimes acquises à l’année</w:t>
            </w:r>
          </w:p>
        </w:tc>
        <w:tc>
          <w:tcPr>
            <w:tcW w:w="1437" w:type="dxa"/>
          </w:tcPr>
          <w:p w14:paraId="6152959D" w14:textId="7A3D8E26" w:rsidR="00CB2B3A" w:rsidRDefault="00CB2B3A" w:rsidP="0021252B">
            <w:pPr>
              <w:spacing w:line="276" w:lineRule="auto"/>
              <w:jc w:val="center"/>
              <w:rPr>
                <w:szCs w:val="22"/>
              </w:rPr>
            </w:pPr>
            <w:r>
              <w:rPr>
                <w:szCs w:val="22"/>
              </w:rPr>
              <w:t>R0160</w:t>
            </w:r>
          </w:p>
        </w:tc>
        <w:tc>
          <w:tcPr>
            <w:tcW w:w="3663" w:type="dxa"/>
          </w:tcPr>
          <w:p w14:paraId="38429582" w14:textId="3A1AC36F" w:rsidR="00CB2B3A" w:rsidRDefault="00CB2B3A" w:rsidP="00CE32A1">
            <w:pPr>
              <w:spacing w:line="276" w:lineRule="auto"/>
              <w:rPr>
                <w:szCs w:val="22"/>
              </w:rPr>
            </w:pPr>
            <w:r>
              <w:rPr>
                <w:szCs w:val="22"/>
              </w:rPr>
              <w:t>C</w:t>
            </w:r>
            <w:r w:rsidRPr="0021252B">
              <w:rPr>
                <w:szCs w:val="22"/>
              </w:rPr>
              <w:t>orrespondent aux primes acquises à l’exercice d’inventaire N. Dans la case « total exercices antérieurs », il faut inscrire l’intégralité des primes qui ont été acquises antérieurement à l’exercice N, pour les années de rattachement pour lesquelles des sinistres sont encore ouverts ou ont été clos lors de l’exercice N.</w:t>
            </w:r>
          </w:p>
        </w:tc>
        <w:tc>
          <w:tcPr>
            <w:tcW w:w="2896" w:type="dxa"/>
          </w:tcPr>
          <w:p w14:paraId="4FC848CB" w14:textId="3878FC10" w:rsidR="00CB2B3A" w:rsidRDefault="00CB2B3A" w:rsidP="003C2BE7">
            <w:pPr>
              <w:spacing w:line="276" w:lineRule="auto"/>
              <w:rPr>
                <w:szCs w:val="22"/>
              </w:rPr>
            </w:pPr>
          </w:p>
        </w:tc>
      </w:tr>
      <w:tr w:rsidR="00CB2B3A" w14:paraId="4A685700" w14:textId="519D72E7" w:rsidTr="00CB2B3A">
        <w:tc>
          <w:tcPr>
            <w:tcW w:w="1292" w:type="dxa"/>
          </w:tcPr>
          <w:p w14:paraId="415F9BF4" w14:textId="35FA29B4" w:rsidR="00CB2B3A" w:rsidRDefault="00CB2B3A" w:rsidP="00CE32A1">
            <w:pPr>
              <w:spacing w:line="276" w:lineRule="auto"/>
              <w:rPr>
                <w:b/>
                <w:szCs w:val="22"/>
              </w:rPr>
            </w:pPr>
            <w:r>
              <w:rPr>
                <w:b/>
                <w:szCs w:val="22"/>
              </w:rPr>
              <w:t>P</w:t>
            </w:r>
            <w:r w:rsidRPr="0021252B">
              <w:rPr>
                <w:b/>
                <w:szCs w:val="22"/>
              </w:rPr>
              <w:t>rimes émises à l'année</w:t>
            </w:r>
            <w:r w:rsidR="00642DC4">
              <w:rPr>
                <w:b/>
                <w:szCs w:val="22"/>
              </w:rPr>
              <w:t xml:space="preserve">, </w:t>
            </w:r>
            <w:r w:rsidR="00642DC4" w:rsidRPr="00642DC4">
              <w:rPr>
                <w:b/>
                <w:szCs w:val="22"/>
              </w:rPr>
              <w:t>quel que soit leur exercice de rattachement</w:t>
            </w:r>
          </w:p>
        </w:tc>
        <w:tc>
          <w:tcPr>
            <w:tcW w:w="1437" w:type="dxa"/>
          </w:tcPr>
          <w:p w14:paraId="0BEEC77F" w14:textId="1F51A4FC" w:rsidR="00CB2B3A" w:rsidRDefault="00CB2B3A" w:rsidP="0021252B">
            <w:pPr>
              <w:spacing w:line="276" w:lineRule="auto"/>
              <w:jc w:val="center"/>
              <w:rPr>
                <w:szCs w:val="22"/>
              </w:rPr>
            </w:pPr>
            <w:r>
              <w:rPr>
                <w:szCs w:val="22"/>
              </w:rPr>
              <w:t>R0170</w:t>
            </w:r>
          </w:p>
        </w:tc>
        <w:tc>
          <w:tcPr>
            <w:tcW w:w="3663" w:type="dxa"/>
          </w:tcPr>
          <w:p w14:paraId="6267FD2B" w14:textId="56267775" w:rsidR="00CB2B3A" w:rsidRDefault="00CB2B3A" w:rsidP="00CE32A1">
            <w:pPr>
              <w:spacing w:line="276" w:lineRule="auto"/>
              <w:rPr>
                <w:szCs w:val="22"/>
              </w:rPr>
            </w:pPr>
            <w:r>
              <w:rPr>
                <w:szCs w:val="22"/>
              </w:rPr>
              <w:t>C</w:t>
            </w:r>
            <w:r w:rsidRPr="0021252B">
              <w:rPr>
                <w:szCs w:val="22"/>
              </w:rPr>
              <w:t>orrespondent au total des primes émises au cours de l’exercice d’inventaire N, quel que soit l’exercice au cours duquel elles sont acquises. Dans la case « total exercices antérieurs », il faut inscrire l’intégralité des primes qui ont été émises antérieurement à l’exercice N, pour les années de rattachement pour lesquelles des sinistres sont encore ouverts ou ont été clos lors de l’exercice N.</w:t>
            </w:r>
          </w:p>
        </w:tc>
        <w:tc>
          <w:tcPr>
            <w:tcW w:w="2896" w:type="dxa"/>
          </w:tcPr>
          <w:p w14:paraId="204DFBFC" w14:textId="146AC343" w:rsidR="00CB2B3A" w:rsidRDefault="00CB2B3A" w:rsidP="003C2BE7">
            <w:pPr>
              <w:spacing w:line="276" w:lineRule="auto"/>
              <w:rPr>
                <w:szCs w:val="22"/>
              </w:rPr>
            </w:pPr>
          </w:p>
        </w:tc>
      </w:tr>
      <w:tr w:rsidR="00CB2B3A" w14:paraId="2E425F45" w14:textId="6AC8B3E2" w:rsidTr="00CB2B3A">
        <w:tc>
          <w:tcPr>
            <w:tcW w:w="1292" w:type="dxa"/>
          </w:tcPr>
          <w:p w14:paraId="3C6551E1" w14:textId="784EC300" w:rsidR="00CB2B3A" w:rsidRDefault="00CB2B3A" w:rsidP="00CE32A1">
            <w:pPr>
              <w:spacing w:line="276" w:lineRule="auto"/>
              <w:rPr>
                <w:b/>
                <w:szCs w:val="22"/>
              </w:rPr>
            </w:pPr>
            <w:r>
              <w:rPr>
                <w:b/>
                <w:szCs w:val="22"/>
              </w:rPr>
              <w:t>P</w:t>
            </w:r>
            <w:r w:rsidRPr="0021252B">
              <w:rPr>
                <w:b/>
                <w:szCs w:val="22"/>
              </w:rPr>
              <w:t>rovision pour primes non acquises (PPNA)</w:t>
            </w:r>
          </w:p>
        </w:tc>
        <w:tc>
          <w:tcPr>
            <w:tcW w:w="1437" w:type="dxa"/>
          </w:tcPr>
          <w:p w14:paraId="160306AC" w14:textId="009BCB4B" w:rsidR="00CB2B3A" w:rsidRDefault="00CB2B3A" w:rsidP="0021252B">
            <w:pPr>
              <w:spacing w:line="276" w:lineRule="auto"/>
              <w:jc w:val="center"/>
              <w:rPr>
                <w:szCs w:val="22"/>
              </w:rPr>
            </w:pPr>
            <w:r>
              <w:rPr>
                <w:szCs w:val="22"/>
              </w:rPr>
              <w:t>R0180</w:t>
            </w:r>
          </w:p>
        </w:tc>
        <w:tc>
          <w:tcPr>
            <w:tcW w:w="3663" w:type="dxa"/>
          </w:tcPr>
          <w:p w14:paraId="0D23B779" w14:textId="68AF5B42" w:rsidR="00CB2B3A" w:rsidRDefault="00CB2B3A" w:rsidP="0021252B">
            <w:pPr>
              <w:spacing w:line="276" w:lineRule="auto"/>
              <w:rPr>
                <w:szCs w:val="22"/>
              </w:rPr>
            </w:pPr>
            <w:r>
              <w:rPr>
                <w:szCs w:val="22"/>
              </w:rPr>
              <w:t>P</w:t>
            </w:r>
            <w:r w:rsidRPr="00365E13">
              <w:rPr>
                <w:szCs w:val="22"/>
              </w:rPr>
              <w:t xml:space="preserve">rovision mentionnée au 2° de </w:t>
            </w:r>
            <w:r w:rsidRPr="00365E13">
              <w:rPr>
                <w:bCs/>
                <w:szCs w:val="22"/>
              </w:rPr>
              <w:t>l’</w:t>
            </w:r>
            <w:hyperlink r:id="rId20" w:history="1">
              <w:r w:rsidRPr="0021252B">
                <w:rPr>
                  <w:rStyle w:val="Lienhypertexte"/>
                  <w:szCs w:val="22"/>
                </w:rPr>
                <w:t>article R. 343 – 7 du Code des Assurances</w:t>
              </w:r>
            </w:hyperlink>
            <w:r w:rsidRPr="00365E13">
              <w:rPr>
                <w:szCs w:val="22"/>
              </w:rPr>
              <w:t xml:space="preserve">. Pour les besoins de remplissage des états </w:t>
            </w:r>
            <w:r>
              <w:rPr>
                <w:szCs w:val="22"/>
              </w:rPr>
              <w:t>FR.21</w:t>
            </w:r>
            <w:r w:rsidRPr="00365E13">
              <w:rPr>
                <w:szCs w:val="22"/>
              </w:rPr>
              <w:t>, elle comprend la provision pour garanties subséquentes.</w:t>
            </w:r>
          </w:p>
        </w:tc>
        <w:tc>
          <w:tcPr>
            <w:tcW w:w="2896" w:type="dxa"/>
          </w:tcPr>
          <w:p w14:paraId="30A9CDED" w14:textId="77777777" w:rsidR="00CB2B3A" w:rsidRDefault="00CB2B3A" w:rsidP="0021252B">
            <w:pPr>
              <w:spacing w:line="276" w:lineRule="auto"/>
              <w:rPr>
                <w:szCs w:val="22"/>
              </w:rPr>
            </w:pPr>
          </w:p>
        </w:tc>
      </w:tr>
      <w:tr w:rsidR="00CB2B3A" w14:paraId="3376D173" w14:textId="7D4DDB6E" w:rsidTr="00CB2B3A">
        <w:tc>
          <w:tcPr>
            <w:tcW w:w="1292" w:type="dxa"/>
          </w:tcPr>
          <w:p w14:paraId="7311DDBA" w14:textId="5A2BDFBA" w:rsidR="00CB2B3A" w:rsidRDefault="00CB2B3A" w:rsidP="00CE32A1">
            <w:pPr>
              <w:spacing w:line="276" w:lineRule="auto"/>
              <w:rPr>
                <w:b/>
                <w:szCs w:val="22"/>
              </w:rPr>
            </w:pPr>
            <w:r>
              <w:rPr>
                <w:b/>
                <w:szCs w:val="22"/>
              </w:rPr>
              <w:t>R</w:t>
            </w:r>
            <w:r w:rsidRPr="00365E13">
              <w:rPr>
                <w:b/>
                <w:szCs w:val="22"/>
              </w:rPr>
              <w:t xml:space="preserve">apport </w:t>
            </w:r>
            <w:r w:rsidRPr="00365E13">
              <w:rPr>
                <w:szCs w:val="22"/>
              </w:rPr>
              <w:t xml:space="preserve"> </w:t>
            </w:r>
            <w:r w:rsidRPr="00365E13">
              <w:rPr>
                <w:b/>
                <w:szCs w:val="22"/>
              </w:rPr>
              <w:t>S/P</w:t>
            </w:r>
          </w:p>
        </w:tc>
        <w:tc>
          <w:tcPr>
            <w:tcW w:w="1437" w:type="dxa"/>
          </w:tcPr>
          <w:p w14:paraId="0F741B97" w14:textId="6032B98F" w:rsidR="00CB2B3A" w:rsidRDefault="00CB2B3A" w:rsidP="0021252B">
            <w:pPr>
              <w:spacing w:line="276" w:lineRule="auto"/>
              <w:jc w:val="center"/>
              <w:rPr>
                <w:szCs w:val="22"/>
              </w:rPr>
            </w:pPr>
            <w:r>
              <w:rPr>
                <w:szCs w:val="22"/>
              </w:rPr>
              <w:t>R0190</w:t>
            </w:r>
          </w:p>
        </w:tc>
        <w:tc>
          <w:tcPr>
            <w:tcW w:w="3663" w:type="dxa"/>
          </w:tcPr>
          <w:p w14:paraId="74531C6F" w14:textId="27E18FC5" w:rsidR="00CB2B3A" w:rsidRDefault="00CB2B3A" w:rsidP="00CE32A1">
            <w:pPr>
              <w:spacing w:line="276" w:lineRule="auto"/>
              <w:rPr>
                <w:szCs w:val="22"/>
              </w:rPr>
            </w:pPr>
            <w:r>
              <w:rPr>
                <w:szCs w:val="22"/>
              </w:rPr>
              <w:t>C</w:t>
            </w:r>
            <w:r w:rsidRPr="00365E13">
              <w:rPr>
                <w:szCs w:val="22"/>
              </w:rPr>
              <w:t>orrespond à la charge comptable des sinistres rattachés à l’exercice N, nette de recours, divisée par les primes acquises à l’exercice N.</w:t>
            </w:r>
          </w:p>
        </w:tc>
        <w:tc>
          <w:tcPr>
            <w:tcW w:w="2896" w:type="dxa"/>
          </w:tcPr>
          <w:p w14:paraId="2EE7FF1A" w14:textId="281CCEB0" w:rsidR="00CB2B3A" w:rsidRDefault="006C3630" w:rsidP="006C3630">
            <w:pPr>
              <w:spacing w:line="276" w:lineRule="auto"/>
              <w:rPr>
                <w:szCs w:val="22"/>
              </w:rPr>
            </w:pPr>
            <w:r>
              <w:rPr>
                <w:szCs w:val="22"/>
              </w:rPr>
              <w:t>R0190/C0050 = R0110/C0050 / R0160/C0050 (contrôle dupliqué pour les colonnes C0060 à C0090 et pour la colonne C0110)</w:t>
            </w:r>
          </w:p>
        </w:tc>
      </w:tr>
    </w:tbl>
    <w:p w14:paraId="2A69E25E" w14:textId="77777777" w:rsidR="004C341D" w:rsidRPr="00365E13" w:rsidRDefault="004C341D" w:rsidP="006D663E">
      <w:pPr>
        <w:rPr>
          <w:vanish/>
          <w:sz w:val="24"/>
          <w:specVanish/>
        </w:rPr>
      </w:pPr>
    </w:p>
    <w:p w14:paraId="6D39F6D8" w14:textId="77777777" w:rsidR="00AE43A0" w:rsidRPr="00365E13" w:rsidRDefault="00AE43A0" w:rsidP="00E92248">
      <w:pPr>
        <w:pStyle w:val="Paragraphedeliste"/>
        <w:spacing w:line="276" w:lineRule="auto"/>
        <w:contextualSpacing w:val="0"/>
        <w:rPr>
          <w:rFonts w:ascii="Times New Roman" w:hAnsi="Times New Roman"/>
          <w:sz w:val="24"/>
        </w:rPr>
        <w:sectPr w:rsidR="00AE43A0" w:rsidRPr="00365E13" w:rsidSect="00E977BD">
          <w:headerReference w:type="default" r:id="rId21"/>
          <w:footerReference w:type="default" r:id="rId22"/>
          <w:pgSz w:w="11906" w:h="16838"/>
          <w:pgMar w:top="1417" w:right="1417" w:bottom="1417" w:left="1417" w:header="720" w:footer="720" w:gutter="0"/>
          <w:cols w:space="720"/>
          <w:docGrid w:linePitch="299"/>
        </w:sectPr>
      </w:pPr>
    </w:p>
    <w:p w14:paraId="4749FCD9" w14:textId="03781371" w:rsidR="002713A7" w:rsidRDefault="009C4677" w:rsidP="002713A7">
      <w:pPr>
        <w:pStyle w:val="Paragraphedeliste"/>
        <w:numPr>
          <w:ilvl w:val="0"/>
          <w:numId w:val="9"/>
        </w:numPr>
        <w:rPr>
          <w:rFonts w:ascii="Times New Roman" w:hAnsi="Times New Roman"/>
          <w:b/>
          <w:bCs/>
          <w:color w:val="345A8A"/>
          <w:sz w:val="28"/>
          <w:szCs w:val="32"/>
        </w:rPr>
      </w:pPr>
      <w:r>
        <w:rPr>
          <w:rFonts w:ascii="Times New Roman" w:hAnsi="Times New Roman"/>
          <w:b/>
          <w:bCs/>
          <w:color w:val="345A8A"/>
          <w:sz w:val="28"/>
          <w:szCs w:val="32"/>
        </w:rPr>
        <w:lastRenderedPageBreak/>
        <w:t>T</w:t>
      </w:r>
      <w:r w:rsidR="00B8685D" w:rsidRPr="00365E13">
        <w:rPr>
          <w:rFonts w:ascii="Times New Roman" w:hAnsi="Times New Roman"/>
          <w:b/>
          <w:bCs/>
          <w:color w:val="345A8A"/>
          <w:sz w:val="28"/>
          <w:szCs w:val="32"/>
        </w:rPr>
        <w:t>ableaux</w:t>
      </w:r>
      <w:r w:rsidR="00E977BD" w:rsidRPr="00365E13">
        <w:rPr>
          <w:rFonts w:ascii="Times New Roman" w:hAnsi="Times New Roman"/>
          <w:b/>
          <w:bCs/>
          <w:color w:val="345A8A"/>
          <w:sz w:val="28"/>
          <w:szCs w:val="32"/>
        </w:rPr>
        <w:t xml:space="preserve"> </w:t>
      </w:r>
      <w:r>
        <w:rPr>
          <w:rFonts w:ascii="Times New Roman" w:hAnsi="Times New Roman"/>
          <w:b/>
          <w:bCs/>
          <w:color w:val="345A8A"/>
          <w:sz w:val="28"/>
          <w:szCs w:val="32"/>
        </w:rPr>
        <w:t>FR.21</w:t>
      </w:r>
    </w:p>
    <w:p w14:paraId="1BFAE337" w14:textId="77777777" w:rsidR="00DB1A7E" w:rsidRDefault="00DB1A7E" w:rsidP="00DB1A7E">
      <w:pPr>
        <w:pStyle w:val="Paragraphedeliste"/>
        <w:rPr>
          <w:rFonts w:ascii="Times New Roman" w:hAnsi="Times New Roman"/>
          <w:b/>
          <w:bCs/>
          <w:color w:val="345A8A"/>
          <w:sz w:val="28"/>
          <w:szCs w:val="32"/>
        </w:rPr>
      </w:pPr>
    </w:p>
    <w:p w14:paraId="308E83D5" w14:textId="0489DCF5" w:rsidR="009C4677" w:rsidRPr="009C4677" w:rsidRDefault="004838D8" w:rsidP="009C4677">
      <w:pPr>
        <w:pStyle w:val="Paragraphedeliste"/>
        <w:ind w:left="0"/>
        <w:rPr>
          <w:rFonts w:ascii="Times New Roman" w:hAnsi="Times New Roman"/>
          <w:b/>
          <w:bCs/>
          <w:color w:val="345A8A"/>
          <w:sz w:val="16"/>
          <w:szCs w:val="32"/>
        </w:rPr>
      </w:pPr>
      <w:r w:rsidRPr="00567EFD">
        <w:rPr>
          <w:noProof/>
          <w:lang w:eastAsia="fr-FR"/>
        </w:rPr>
        <w:drawing>
          <wp:inline distT="0" distB="0" distL="0" distR="0" wp14:anchorId="37EE48FE" wp14:editId="1A7CF7B3">
            <wp:extent cx="8892540" cy="4093210"/>
            <wp:effectExtent l="0" t="0" r="3810" b="254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2540" cy="4093210"/>
                    </a:xfrm>
                    <a:prstGeom prst="rect">
                      <a:avLst/>
                    </a:prstGeom>
                    <a:noFill/>
                    <a:ln>
                      <a:noFill/>
                    </a:ln>
                  </pic:spPr>
                </pic:pic>
              </a:graphicData>
            </a:graphic>
          </wp:inline>
        </w:drawing>
      </w:r>
    </w:p>
    <w:p w14:paraId="66645B8B" w14:textId="77777777" w:rsidR="009C4677" w:rsidRPr="00365E13" w:rsidRDefault="009C4677" w:rsidP="009C4677">
      <w:pPr>
        <w:tabs>
          <w:tab w:val="left" w:pos="2410"/>
        </w:tabs>
        <w:rPr>
          <w:b/>
          <w:bCs/>
          <w:color w:val="345A8A"/>
          <w:sz w:val="28"/>
          <w:szCs w:val="32"/>
        </w:rPr>
        <w:sectPr w:rsidR="009C4677" w:rsidRPr="00365E13" w:rsidSect="00E733A4">
          <w:pgSz w:w="16838" w:h="11906" w:orient="landscape"/>
          <w:pgMar w:top="1417" w:right="1417" w:bottom="1417" w:left="1417" w:header="720" w:footer="720" w:gutter="0"/>
          <w:cols w:space="720"/>
          <w:docGrid w:linePitch="299"/>
        </w:sectPr>
      </w:pPr>
    </w:p>
    <w:p w14:paraId="1B4BC696" w14:textId="77777777" w:rsidR="003474B1" w:rsidRDefault="003474B1" w:rsidP="00BD3164">
      <w:pPr>
        <w:pStyle w:val="Paragraphedeliste"/>
        <w:numPr>
          <w:ilvl w:val="0"/>
          <w:numId w:val="9"/>
        </w:numPr>
        <w:rPr>
          <w:rFonts w:ascii="Times New Roman" w:hAnsi="Times New Roman"/>
          <w:b/>
          <w:bCs/>
          <w:color w:val="345A8A"/>
          <w:sz w:val="28"/>
          <w:szCs w:val="32"/>
        </w:rPr>
      </w:pPr>
      <w:r>
        <w:rPr>
          <w:rFonts w:ascii="Times New Roman" w:hAnsi="Times New Roman"/>
          <w:b/>
          <w:bCs/>
          <w:color w:val="345A8A"/>
          <w:sz w:val="28"/>
          <w:szCs w:val="32"/>
        </w:rPr>
        <w:lastRenderedPageBreak/>
        <w:t>Foire aux questions :</w:t>
      </w:r>
    </w:p>
    <w:p w14:paraId="450E1EE4" w14:textId="77777777" w:rsidR="003474B1" w:rsidRPr="00FA576B" w:rsidRDefault="00424D0C" w:rsidP="00424D0C">
      <w:pPr>
        <w:pStyle w:val="question"/>
      </w:pPr>
      <w:r w:rsidRPr="00FA576B">
        <w:t>La distinction selon les groupes de spécialités définis à l’article article D. 4135-2 du code de la santé publique</w:t>
      </w:r>
      <w:r w:rsidR="000D7BF5" w:rsidRPr="00FA576B">
        <w:t xml:space="preserve"> (CSP)</w:t>
      </w:r>
      <w:r w:rsidRPr="00FA576B">
        <w:t xml:space="preserve"> s’applique-t-elle aux établissements de santé ?</w:t>
      </w:r>
    </w:p>
    <w:p w14:paraId="49C3E5B9" w14:textId="77777777" w:rsidR="00424D0C" w:rsidRPr="00FA576B" w:rsidRDefault="00424D0C" w:rsidP="00424D0C">
      <w:pPr>
        <w:pStyle w:val="rponse"/>
      </w:pPr>
      <w:r w:rsidRPr="00FA576B">
        <w:t xml:space="preserve">La distinction selon les groupes de spécialités définis à l’article article D. 4135-2, ne s’applique qu’aux contrats souscrits en direct auprès de personnes </w:t>
      </w:r>
      <w:r w:rsidR="00462AFD" w:rsidRPr="00FA576B">
        <w:t xml:space="preserve">à titre libéral </w:t>
      </w:r>
      <w:r w:rsidRPr="00FA576B">
        <w:t>exerçant les spécialités mentionnées à l’article D. 4135-2.</w:t>
      </w:r>
    </w:p>
    <w:p w14:paraId="7B50BC53" w14:textId="77777777" w:rsidR="00424D0C" w:rsidRPr="00FA576B" w:rsidRDefault="00EF72D0" w:rsidP="00424D0C">
      <w:pPr>
        <w:pStyle w:val="question"/>
      </w:pPr>
      <w:r w:rsidRPr="00FA576B">
        <w:t>La colonne</w:t>
      </w:r>
      <w:r w:rsidR="00A367A1" w:rsidRPr="00FA576B">
        <w:t xml:space="preserve"> « total</w:t>
      </w:r>
      <w:r w:rsidRPr="00FA576B">
        <w:t xml:space="preserve"> sur antérieurs</w:t>
      </w:r>
      <w:r w:rsidR="00A367A1" w:rsidRPr="00FA576B">
        <w:t> »</w:t>
      </w:r>
      <w:r w:rsidRPr="00FA576B">
        <w:t xml:space="preserve"> comprend-elle les exercices de rattachement N-1, N-2, N-3, N-4 et N-5 ?</w:t>
      </w:r>
    </w:p>
    <w:p w14:paraId="6355BF5A" w14:textId="7118FE5A" w:rsidR="00A367A1" w:rsidRPr="00FA576B" w:rsidRDefault="00A367A1" w:rsidP="00A367A1">
      <w:pPr>
        <w:pStyle w:val="rponse"/>
      </w:pPr>
      <w:r w:rsidRPr="00FA576B">
        <w:t xml:space="preserve">Oui la colonne « total </w:t>
      </w:r>
      <w:r w:rsidR="00FE691E">
        <w:t>exercices</w:t>
      </w:r>
      <w:r w:rsidRPr="00FA576B">
        <w:t xml:space="preserve"> antérieurs » comprend les exercices de rattachement N-1, N-2, N-3, N-4 et N-5</w:t>
      </w:r>
      <w:r w:rsidR="009700BD" w:rsidRPr="00FA576B">
        <w:t>, en plus des exercices précédents</w:t>
      </w:r>
      <w:r w:rsidRPr="00FA576B">
        <w:t xml:space="preserve">. Par contre, la colonne relative à l’exercice de rattachement N-5 ne comprend que les informations relatives à cet exercice et pas </w:t>
      </w:r>
      <w:r w:rsidR="009700BD" w:rsidRPr="00FA576B">
        <w:t>celles</w:t>
      </w:r>
      <w:r w:rsidRPr="00FA576B">
        <w:t xml:space="preserve"> relatives aux exercices antérieurs à l’exercice N-5.</w:t>
      </w:r>
    </w:p>
    <w:p w14:paraId="6B9ABBA1" w14:textId="0D38103A" w:rsidR="00A367A1" w:rsidRDefault="00836B68" w:rsidP="00A367A1">
      <w:pPr>
        <w:pStyle w:val="rponse"/>
        <w:rPr>
          <w:rFonts w:ascii="Times New Roman" w:hAnsi="Times New Roman"/>
        </w:rPr>
      </w:pPr>
      <w:r w:rsidRPr="00FA576B">
        <w:t xml:space="preserve">Pour la case « total </w:t>
      </w:r>
      <w:r w:rsidR="00FE691E">
        <w:t>exercices</w:t>
      </w:r>
      <w:r w:rsidRPr="00FA576B">
        <w:t xml:space="preserve"> antérieurs » relative aux primes émises</w:t>
      </w:r>
      <w:r w:rsidR="003E7742">
        <w:t xml:space="preserve">, aux primes acquises </w:t>
      </w:r>
      <w:r w:rsidR="00FE691E">
        <w:t>et celle relative au cumul des paiements</w:t>
      </w:r>
      <w:r w:rsidRPr="00FA576B">
        <w:t xml:space="preserve">, </w:t>
      </w:r>
      <w:r w:rsidRPr="00FE691E">
        <w:t xml:space="preserve">il faut inscrire l’intégralité des primes </w:t>
      </w:r>
      <w:r w:rsidR="003E7742">
        <w:t xml:space="preserve">émise et acquises </w:t>
      </w:r>
      <w:r w:rsidRPr="00FE691E">
        <w:t>(resp</w:t>
      </w:r>
      <w:r w:rsidR="00FE691E">
        <w:t>ectivement des</w:t>
      </w:r>
      <w:r w:rsidRPr="00FE691E">
        <w:t xml:space="preserve"> paiements) qui ont eu lieu antérieurement à l’exercice N, au titre des années de rattachement pour lesquelles des sinistres sont encore ouverts ou ont été clos lors de l’exercice N.</w:t>
      </w:r>
    </w:p>
    <w:p w14:paraId="2A1D0AD2" w14:textId="77777777" w:rsidR="00005501" w:rsidRPr="00FA576B" w:rsidRDefault="00005501" w:rsidP="00005501">
      <w:pPr>
        <w:pStyle w:val="question"/>
      </w:pPr>
      <w:r w:rsidRPr="00FA576B">
        <w:t>Les chiffres « nombre de sinistres déclaré dans l’exercice » et « 5 – nombre de sinistres » pour l’exercice inventorié sont-ils identiques ?</w:t>
      </w:r>
    </w:p>
    <w:p w14:paraId="3734F361" w14:textId="77777777" w:rsidR="00005501" w:rsidRPr="00FA576B" w:rsidRDefault="00005501" w:rsidP="00005501">
      <w:pPr>
        <w:pStyle w:val="rponse"/>
      </w:pPr>
      <w:r w:rsidRPr="00FA576B">
        <w:t>Ces deux chiffres diffèrent du nombre de sinistres « tardifs », c’est-à-dire des sinistres qui ont été réclamés auprès de l’assuré mais dont l’assureur n’a pas encore connaissance au 31 décembre de l’exercice inventorié. Les sinistres « tardifs » sont inclus dans la case  « 5 – nombre de sinistres » mais pas dans la case « nombre de sinistres déclaré dans l’exercice ».</w:t>
      </w:r>
    </w:p>
    <w:p w14:paraId="0569A8F5" w14:textId="77777777" w:rsidR="00005501" w:rsidRPr="00FA576B" w:rsidRDefault="00005501" w:rsidP="00005501">
      <w:pPr>
        <w:pStyle w:val="question"/>
      </w:pPr>
      <w:r w:rsidRPr="00FA576B">
        <w:t>La provision pour garanties subséquentes contient-elle les sinistres pour lesquels la garantie subséquente a été mise en œuvre, mais pour lesquels le règlement n’est pas encore terminé ?</w:t>
      </w:r>
    </w:p>
    <w:p w14:paraId="418374E1" w14:textId="77777777" w:rsidR="00005501" w:rsidRPr="00FA576B" w:rsidRDefault="00CA4C64" w:rsidP="00005501">
      <w:pPr>
        <w:pStyle w:val="rponse"/>
      </w:pPr>
      <w:r w:rsidRPr="00FA576B">
        <w:t>Ces sinistres sont inclus dans la provision pour sinistres à payer. La provision pour garanties subséquentes correspond au coût estimé de tous les sinistres qui seront déclarés dans le délai subséquent, sans tenir compte d’une possible résiliation par l’assureur et du report de cette charge sur l’assureur suivant.</w:t>
      </w:r>
    </w:p>
    <w:p w14:paraId="6B27A637" w14:textId="77777777" w:rsidR="00B24D4B" w:rsidRPr="00FA576B" w:rsidRDefault="00B24D4B" w:rsidP="00B24D4B">
      <w:pPr>
        <w:pStyle w:val="question"/>
      </w:pPr>
      <w:r w:rsidRPr="00FA576B">
        <w:t>Les fournisseurs de produits cosmétiques sont</w:t>
      </w:r>
      <w:r w:rsidR="000D7BF5" w:rsidRPr="00FA576B">
        <w:t>-ils</w:t>
      </w:r>
      <w:r w:rsidRPr="00FA576B">
        <w:t xml:space="preserve"> concernés par l’étude dans la mesure où ils sont définis comme produits de santé en application de l’article L.5311-1 du code de la santé publique?</w:t>
      </w:r>
    </w:p>
    <w:p w14:paraId="6B207AF2" w14:textId="77777777" w:rsidR="000D7BF5" w:rsidRPr="00FA576B" w:rsidRDefault="000D7BF5" w:rsidP="000D7BF5">
      <w:pPr>
        <w:pStyle w:val="rponse"/>
      </w:pPr>
      <w:r w:rsidRPr="00FA576B">
        <w:t>Les fournisseurs, comme les producteurs et les exploitants de produits de santé, doivent en effet être assurés afin de garantir leur responsabilité civile  ou administrative,</w:t>
      </w:r>
      <w:r w:rsidRPr="00FA576B">
        <w:rPr>
          <w:b/>
        </w:rPr>
        <w:t xml:space="preserve"> à l’exception </w:t>
      </w:r>
      <w:r w:rsidRPr="00FA576B">
        <w:t>toutefois des produits mentionnés :</w:t>
      </w:r>
    </w:p>
    <w:p w14:paraId="58199691" w14:textId="77777777" w:rsidR="000D7BF5" w:rsidRPr="00FA576B" w:rsidRDefault="000D7BF5" w:rsidP="000D7BF5">
      <w:pPr>
        <w:pStyle w:val="rponse"/>
      </w:pPr>
      <w:r w:rsidRPr="00FA576B">
        <w:t>- Au 11° du L5311-1 du CSP (Les procédés et appareils destinés à la désinfection des locaux et des véhicules dans les cas prévus à l'article L. 3114-1 du CSP) ;</w:t>
      </w:r>
    </w:p>
    <w:p w14:paraId="68B20DDE" w14:textId="77777777" w:rsidR="000D7BF5" w:rsidRPr="00FA576B" w:rsidRDefault="000D7BF5" w:rsidP="000D7BF5">
      <w:pPr>
        <w:pStyle w:val="rponse"/>
      </w:pPr>
      <w:r w:rsidRPr="00FA576B">
        <w:lastRenderedPageBreak/>
        <w:t>- Au 14° du L5311-1 du CSP (Les lentilles oculaires non correctrices) ;</w:t>
      </w:r>
    </w:p>
    <w:p w14:paraId="11CAEBA5" w14:textId="2792CAAA" w:rsidR="000D7BF5" w:rsidRPr="00FA576B" w:rsidRDefault="000D7BF5" w:rsidP="000D7BF5">
      <w:pPr>
        <w:pStyle w:val="rponse"/>
      </w:pPr>
      <w:r w:rsidRPr="00FA576B">
        <w:t>- Au 15° du L5311-1 du CSP (Les produits cosmétiques</w:t>
      </w:r>
      <w:r>
        <w:t>)</w:t>
      </w:r>
      <w:r w:rsidRPr="00FA576B">
        <w:t> ;</w:t>
      </w:r>
    </w:p>
    <w:p w14:paraId="30BEE54B" w14:textId="77777777" w:rsidR="000D7BF5" w:rsidRPr="00FA576B" w:rsidRDefault="000D7BF5" w:rsidP="000D7BF5">
      <w:pPr>
        <w:pStyle w:val="rponse"/>
      </w:pPr>
      <w:r w:rsidRPr="00FA576B">
        <w:t>- Au 5° du L5311-1 du CSP (les produits sanguins labiles). Pour ces derniers produits, l’EFS doit s’assurer seulement pour les risques encourus par les donneurs.</w:t>
      </w:r>
    </w:p>
    <w:p w14:paraId="266F4B9C" w14:textId="77777777" w:rsidR="00C415C2" w:rsidRDefault="00C415C2" w:rsidP="000D7BF5">
      <w:pPr>
        <w:pStyle w:val="rponse"/>
      </w:pPr>
    </w:p>
    <w:p w14:paraId="16B45F97" w14:textId="77777777" w:rsidR="000D7BF5" w:rsidRDefault="000D7BF5" w:rsidP="000D7BF5">
      <w:pPr>
        <w:pStyle w:val="rponse"/>
      </w:pPr>
      <w:r>
        <w:t>Les contrats d’assurance couvrant la RC des fournisseurs de produits cosmétiques ne sont ainsi pas concernés.</w:t>
      </w:r>
    </w:p>
    <w:p w14:paraId="20C3D503" w14:textId="77777777" w:rsidR="00B24D4B" w:rsidRPr="00FA576B" w:rsidRDefault="00B24D4B" w:rsidP="00B24D4B">
      <w:pPr>
        <w:pStyle w:val="question"/>
      </w:pPr>
      <w:r w:rsidRPr="00FA576B">
        <w:t>Les compléments alimentaires sont-ils concernés par l’étude ?</w:t>
      </w:r>
    </w:p>
    <w:p w14:paraId="13CF8D90" w14:textId="77777777" w:rsidR="00B24D4B" w:rsidRDefault="00B24D4B" w:rsidP="00B24D4B">
      <w:pPr>
        <w:pStyle w:val="rponse"/>
      </w:pPr>
      <w:r w:rsidRPr="00FA576B">
        <w:t>Les compléments alimentaires rentrant dans le cadre du « Décret n°2006-352 du 20 mars 2006 relatif aux compléments alimentaires » qui transpose la directive européenne n°2002/46/CE  sur les compléments alimentaires commercialisés dans les pays de l’Union Européenne, ne sont pas de produits de santé au sens de l’article L5311-1 du CSP.</w:t>
      </w:r>
    </w:p>
    <w:p w14:paraId="1C768D01" w14:textId="3AD33B97" w:rsidR="00B24D4B" w:rsidRDefault="001D5D24" w:rsidP="00213D88">
      <w:pPr>
        <w:pStyle w:val="question"/>
      </w:pPr>
      <w:r>
        <w:t>Quelles sont les personnes physiques ou morales concernées par l’étude en question ?</w:t>
      </w:r>
    </w:p>
    <w:p w14:paraId="79BEE056" w14:textId="7EE285DB" w:rsidR="009B5576" w:rsidRDefault="009B5576" w:rsidP="00213D88">
      <w:pPr>
        <w:pStyle w:val="rponse"/>
      </w:pPr>
      <w:r>
        <w:t>L’arrêté du 24 juin 2008 définissant les modalités de transmission, à l’ACPR, des données relatives à la RCM, indique dans son article 1 que doivent être envoyées les informations relative aux risques de RCM par les personnes mentionnées au L. 1142-2 du Code de la Santé Publique (CSP).</w:t>
      </w:r>
    </w:p>
    <w:p w14:paraId="20EE57F6" w14:textId="77777777" w:rsidR="009F0D38" w:rsidRDefault="009F0D38" w:rsidP="00213D88">
      <w:pPr>
        <w:pStyle w:val="rponse"/>
      </w:pPr>
    </w:p>
    <w:p w14:paraId="10A3BD09" w14:textId="2CFB7EC1" w:rsidR="009F0D38" w:rsidRPr="009F0D38" w:rsidRDefault="009B2755" w:rsidP="009F0D38">
      <w:pPr>
        <w:pStyle w:val="rponse"/>
      </w:pPr>
      <w:r>
        <w:t>Plus précisément, l</w:t>
      </w:r>
      <w:r w:rsidR="009F0D38" w:rsidRPr="009F0D38">
        <w:t>’article L</w:t>
      </w:r>
      <w:r w:rsidR="000E7237">
        <w:t>. </w:t>
      </w:r>
      <w:r w:rsidR="009F0D38" w:rsidRPr="009F0D38">
        <w:t>1142-2 du code de la santé publique concerne :</w:t>
      </w:r>
    </w:p>
    <w:p w14:paraId="7497B691" w14:textId="7104AB06" w:rsidR="009F0D38" w:rsidRPr="009F0D38" w:rsidRDefault="009F0D38" w:rsidP="009B2755">
      <w:pPr>
        <w:pStyle w:val="rponse"/>
        <w:numPr>
          <w:ilvl w:val="0"/>
          <w:numId w:val="47"/>
        </w:numPr>
        <w:ind w:left="1134" w:hanging="283"/>
      </w:pPr>
      <w:r w:rsidRPr="009F0D38">
        <w:t>des personnes physiques : les professionnels de santé exerçant à titre libéral. Les professions de santé sont décrites dans la quatrième partie du code de la santé publique (</w:t>
      </w:r>
      <w:hyperlink r:id="rId24" w:history="1">
        <w:r w:rsidR="000E68D5">
          <w:rPr>
            <w:rStyle w:val="Lienhypertexte"/>
          </w:rPr>
          <w:t xml:space="preserve">lien </w:t>
        </w:r>
        <w:proofErr w:type="spellStart"/>
        <w:r w:rsidR="000E68D5">
          <w:rPr>
            <w:rStyle w:val="Lienhypertexte"/>
          </w:rPr>
          <w:t>le</w:t>
        </w:r>
        <w:r w:rsidRPr="009F0D38">
          <w:rPr>
            <w:rStyle w:val="Lienhypertexte"/>
          </w:rPr>
          <w:t>gifrance</w:t>
        </w:r>
        <w:proofErr w:type="spellEnd"/>
      </w:hyperlink>
      <w:r w:rsidRPr="009F0D38">
        <w:t>), ce sont :</w:t>
      </w:r>
    </w:p>
    <w:p w14:paraId="7B43D0A2" w14:textId="77777777" w:rsidR="009F0D38" w:rsidRPr="009F0D38" w:rsidRDefault="009F0D38" w:rsidP="00885810">
      <w:pPr>
        <w:pStyle w:val="rponse"/>
        <w:numPr>
          <w:ilvl w:val="1"/>
          <w:numId w:val="47"/>
        </w:numPr>
        <w:ind w:left="2127" w:hanging="284"/>
      </w:pPr>
      <w:r w:rsidRPr="009F0D38">
        <w:t>médecins,</w:t>
      </w:r>
    </w:p>
    <w:p w14:paraId="73A7CFB5" w14:textId="77777777" w:rsidR="009F0D38" w:rsidRPr="009F0D38" w:rsidRDefault="009F0D38" w:rsidP="00885810">
      <w:pPr>
        <w:pStyle w:val="rponse"/>
        <w:numPr>
          <w:ilvl w:val="1"/>
          <w:numId w:val="47"/>
        </w:numPr>
        <w:ind w:left="2127" w:hanging="284"/>
      </w:pPr>
      <w:r w:rsidRPr="009F0D38">
        <w:t>chirurgiens-dentistes,</w:t>
      </w:r>
    </w:p>
    <w:p w14:paraId="07D85283" w14:textId="77777777" w:rsidR="009F0D38" w:rsidRPr="009F0D38" w:rsidRDefault="009F0D38" w:rsidP="00885810">
      <w:pPr>
        <w:pStyle w:val="rponse"/>
        <w:numPr>
          <w:ilvl w:val="1"/>
          <w:numId w:val="47"/>
        </w:numPr>
        <w:ind w:left="2127" w:hanging="284"/>
      </w:pPr>
      <w:r w:rsidRPr="009F0D38">
        <w:t>sages-femmes,</w:t>
      </w:r>
    </w:p>
    <w:p w14:paraId="10E21388" w14:textId="77777777" w:rsidR="009F0D38" w:rsidRPr="009F0D38" w:rsidRDefault="009F0D38" w:rsidP="00885810">
      <w:pPr>
        <w:pStyle w:val="rponse"/>
        <w:numPr>
          <w:ilvl w:val="1"/>
          <w:numId w:val="47"/>
        </w:numPr>
        <w:ind w:left="2127" w:hanging="284"/>
      </w:pPr>
      <w:r w:rsidRPr="009F0D38">
        <w:t>pharmaciens,</w:t>
      </w:r>
    </w:p>
    <w:p w14:paraId="4C13F4C3" w14:textId="77777777" w:rsidR="009F0D38" w:rsidRPr="009F0D38" w:rsidRDefault="009F0D38" w:rsidP="00885810">
      <w:pPr>
        <w:pStyle w:val="rponse"/>
        <w:numPr>
          <w:ilvl w:val="1"/>
          <w:numId w:val="47"/>
        </w:numPr>
        <w:ind w:left="2127" w:hanging="284"/>
      </w:pPr>
      <w:r w:rsidRPr="009F0D38">
        <w:t>Auxiliaires médicaux (qui comprennent les infirmiers, les masseurs-kinésithérapeutes et pédicures-podologues, les ergothérapeutes et de psychomotriciens, les orthophonistes et orthoptistes, les manipulateurs d'électroradiologie médicale et techniciens de laboratoire médical, les audioprothésistes, opticiens-lunetiers, prothésistes et orthésistes pour l'appareillage des personnes handicapées, les diététiciens), aides-soignants, auxiliaires de puériculture et ambulanciers ;</w:t>
      </w:r>
    </w:p>
    <w:p w14:paraId="34A1CB0F" w14:textId="77777777" w:rsidR="009F0D38" w:rsidRPr="009F0D38" w:rsidRDefault="009F0D38" w:rsidP="009B2755">
      <w:pPr>
        <w:pStyle w:val="rponse"/>
        <w:numPr>
          <w:ilvl w:val="0"/>
          <w:numId w:val="47"/>
        </w:numPr>
        <w:ind w:left="1134" w:hanging="283"/>
      </w:pPr>
      <w:r w:rsidRPr="009F0D38">
        <w:t>Les établissements de santé et services de santé qui sont décrits dans la sixième partie du code de la santé publique ;</w:t>
      </w:r>
    </w:p>
    <w:p w14:paraId="3DF7DFB5" w14:textId="77777777" w:rsidR="009F0D38" w:rsidRPr="009F0D38" w:rsidRDefault="009F0D38" w:rsidP="009B2755">
      <w:pPr>
        <w:pStyle w:val="rponse"/>
        <w:numPr>
          <w:ilvl w:val="0"/>
          <w:numId w:val="47"/>
        </w:numPr>
        <w:ind w:left="1134" w:hanging="283"/>
      </w:pPr>
      <w:r w:rsidRPr="009F0D38">
        <w:t>Les organismes mentionnés à l’article L.1142-1 du CSP, à savoir tout établissement, service ou organisme dans lesquels sont réalisés des actes individuels de prévention, de diagnostic ou de soins ;</w:t>
      </w:r>
    </w:p>
    <w:p w14:paraId="694DF3C0" w14:textId="77777777" w:rsidR="009F0D38" w:rsidRPr="009F0D38" w:rsidRDefault="009F0D38" w:rsidP="009B2755">
      <w:pPr>
        <w:pStyle w:val="rponse"/>
        <w:numPr>
          <w:ilvl w:val="0"/>
          <w:numId w:val="47"/>
        </w:numPr>
        <w:ind w:left="1134" w:hanging="283"/>
      </w:pPr>
      <w:r w:rsidRPr="009F0D38">
        <w:t xml:space="preserve">Et les producteurs, exploitants et fournisseurs de produits de santé, à l'état de produits finis, mentionnés à l'article L. 5311-1 à l'exclusion du 5°, sous réserve des </w:t>
      </w:r>
      <w:r w:rsidRPr="009F0D38">
        <w:lastRenderedPageBreak/>
        <w:t>dispositions de l'article L. 1222-9, et des 11°, 14° et 15°, utilisés à l'occasion de ces activités.</w:t>
      </w:r>
    </w:p>
    <w:p w14:paraId="208EB929" w14:textId="77777777" w:rsidR="009F0D38" w:rsidRDefault="009F0D38" w:rsidP="009B5576">
      <w:pPr>
        <w:pStyle w:val="rponse"/>
      </w:pPr>
    </w:p>
    <w:p w14:paraId="4E91D13C" w14:textId="77777777" w:rsidR="00883FCA" w:rsidRDefault="00885810">
      <w:pPr>
        <w:pStyle w:val="rponse"/>
      </w:pPr>
      <w:r>
        <w:t>À la lecture de cette liste et au vu des décisions jurisprudentielles, il apparaît que les personnes pratiquant des actes relevant de la médecine non conventionnelle, telle que les massages, ou la réflexologie</w:t>
      </w:r>
      <w:r w:rsidR="00883FCA">
        <w:t>, ne sont pas concernées par le périmètre de cette étude.</w:t>
      </w:r>
    </w:p>
    <w:p w14:paraId="5F434DF5" w14:textId="69925E5F" w:rsidR="00625C0E" w:rsidRPr="000E68D5" w:rsidRDefault="00883FCA">
      <w:pPr>
        <w:pStyle w:val="rponse"/>
        <w:rPr>
          <w:rFonts w:eastAsia="Cambria"/>
          <w:color w:val="548DD4" w:themeColor="text2" w:themeTint="99"/>
          <w:lang w:eastAsia="en-US"/>
        </w:rPr>
      </w:pPr>
      <w:r>
        <w:t xml:space="preserve">En revanche, suite </w:t>
      </w:r>
      <w:r w:rsidR="0083250D">
        <w:t>à la loi n°2014-201 du 24 février 2014</w:t>
      </w:r>
      <w:r>
        <w:t>, les ostéopathes et chiropracteurs sont concernés par l’obligation d’assurance de responsabilité civile médicale, et font à ce titre partie du périmètre de cette étude.</w:t>
      </w:r>
    </w:p>
    <w:p w14:paraId="55DD7788" w14:textId="77777777" w:rsidR="009B5576" w:rsidRDefault="009B5576" w:rsidP="00213D88">
      <w:pPr>
        <w:pStyle w:val="rponse"/>
      </w:pPr>
    </w:p>
    <w:p w14:paraId="0B0C21FA" w14:textId="77777777" w:rsidR="00CA4C64" w:rsidRDefault="00CA4C64" w:rsidP="00005501">
      <w:pPr>
        <w:pStyle w:val="rponse"/>
      </w:pPr>
    </w:p>
    <w:p w14:paraId="6B8039A7" w14:textId="77777777" w:rsidR="003474B1" w:rsidRDefault="003474B1" w:rsidP="00005501">
      <w:pPr>
        <w:pStyle w:val="question"/>
      </w:pPr>
      <w:r>
        <w:br w:type="page"/>
      </w:r>
    </w:p>
    <w:p w14:paraId="3130A099" w14:textId="77777777" w:rsidR="001D1D2D" w:rsidRPr="00365E13" w:rsidRDefault="001D1D2D" w:rsidP="00BD3164">
      <w:pPr>
        <w:pStyle w:val="Paragraphedeliste"/>
        <w:numPr>
          <w:ilvl w:val="0"/>
          <w:numId w:val="9"/>
        </w:numPr>
        <w:rPr>
          <w:rFonts w:ascii="Times New Roman" w:hAnsi="Times New Roman"/>
          <w:b/>
          <w:bCs/>
          <w:color w:val="345A8A"/>
          <w:sz w:val="28"/>
          <w:szCs w:val="32"/>
        </w:rPr>
      </w:pPr>
      <w:r w:rsidRPr="00365E13">
        <w:rPr>
          <w:rFonts w:ascii="Times New Roman" w:hAnsi="Times New Roman"/>
          <w:b/>
          <w:bCs/>
          <w:color w:val="345A8A"/>
          <w:sz w:val="28"/>
          <w:szCs w:val="32"/>
        </w:rPr>
        <w:lastRenderedPageBreak/>
        <w:t>Annexes : Articles de loi mentionnés dans le texte</w:t>
      </w:r>
    </w:p>
    <w:p w14:paraId="318DDAD6" w14:textId="77777777" w:rsidR="001D1D2D" w:rsidRPr="00365E13" w:rsidRDefault="001D1D2D" w:rsidP="001D1D2D">
      <w:pPr>
        <w:pStyle w:val="Paragraphedeliste"/>
        <w:rPr>
          <w:rFonts w:ascii="Times New Roman" w:hAnsi="Times New Roman"/>
          <w:b/>
          <w:bCs/>
          <w:color w:val="345A8A"/>
          <w:sz w:val="28"/>
          <w:szCs w:val="32"/>
        </w:rPr>
      </w:pPr>
    </w:p>
    <w:p w14:paraId="2A1101A2" w14:textId="77777777" w:rsidR="001D1D2D" w:rsidRPr="00365E13" w:rsidRDefault="00E733A4" w:rsidP="00BD3164">
      <w:pPr>
        <w:numPr>
          <w:ilvl w:val="1"/>
          <w:numId w:val="9"/>
        </w:numPr>
        <w:spacing w:line="360" w:lineRule="auto"/>
        <w:rPr>
          <w:b/>
          <w:bCs/>
          <w:color w:val="4F81BD" w:themeColor="accent1"/>
          <w:szCs w:val="22"/>
        </w:rPr>
      </w:pPr>
      <w:r w:rsidRPr="00365E13">
        <w:rPr>
          <w:b/>
          <w:bCs/>
          <w:color w:val="4F81BD" w:themeColor="accent1"/>
          <w:szCs w:val="22"/>
        </w:rPr>
        <w:t>Article L. 1142-2 du Code de la santé Publique</w:t>
      </w:r>
    </w:p>
    <w:p w14:paraId="69787F09" w14:textId="77777777" w:rsidR="001D1D2D" w:rsidRPr="00365E13" w:rsidRDefault="001D1D2D" w:rsidP="00E733A4">
      <w:pPr>
        <w:pStyle w:val="newid"/>
        <w:ind w:left="0" w:firstLine="601"/>
        <w:rPr>
          <w:rFonts w:ascii="Times New Roman" w:hAnsi="Times New Roman"/>
        </w:rPr>
      </w:pPr>
      <w:r w:rsidRPr="00365E13">
        <w:rPr>
          <w:rFonts w:ascii="Times New Roman" w:hAnsi="Times New Roman"/>
        </w:rPr>
        <w:t xml:space="preserve">Modifié par </w:t>
      </w:r>
      <w:hyperlink r:id="rId25" w:anchor="LEGIARTI000020881122" w:history="1">
        <w:r w:rsidRPr="00365E13">
          <w:rPr>
            <w:rFonts w:ascii="Times New Roman" w:hAnsi="Times New Roman"/>
          </w:rPr>
          <w:t>LOI n°2009-879 du 21 juillet 2009 - art. 75</w:t>
        </w:r>
      </w:hyperlink>
      <w:r w:rsidRPr="00365E13">
        <w:rPr>
          <w:rFonts w:ascii="Times New Roman" w:hAnsi="Times New Roman"/>
        </w:rPr>
        <w:t xml:space="preserve"> </w:t>
      </w:r>
    </w:p>
    <w:p w14:paraId="4EAE7EA5" w14:textId="77777777" w:rsidR="001D1D2D" w:rsidRPr="00365E13" w:rsidRDefault="001D1D2D" w:rsidP="001D1D2D">
      <w:pPr>
        <w:pStyle w:val="newid"/>
        <w:rPr>
          <w:rFonts w:ascii="Times New Roman" w:hAnsi="Times New Roman"/>
        </w:rPr>
      </w:pPr>
      <w:r w:rsidRPr="00365E13">
        <w:rPr>
          <w:rFonts w:ascii="Times New Roman" w:hAnsi="Times New Roman"/>
        </w:rPr>
        <w:t xml:space="preserve">Les professionnels de santé exerçant à titre libéral, les établissements de santé, services de santé et organismes mentionnés à l'article </w:t>
      </w:r>
      <w:hyperlink r:id="rId26" w:history="1">
        <w:r w:rsidRPr="00365E13">
          <w:rPr>
            <w:rFonts w:ascii="Times New Roman" w:hAnsi="Times New Roman"/>
          </w:rPr>
          <w:t>L. 1142-1</w:t>
        </w:r>
      </w:hyperlink>
      <w:r w:rsidRPr="00365E13">
        <w:rPr>
          <w:rFonts w:ascii="Times New Roman" w:hAnsi="Times New Roman"/>
        </w:rPr>
        <w:t xml:space="preserve">, et toute autre personne morale, autre que l'Etat, exerçant des activités de prévention, de diagnostic ou de soins ainsi que les producteurs, exploitants et fournisseurs de produits de santé, à l'état de produits finis, mentionnés à l'article </w:t>
      </w:r>
      <w:hyperlink r:id="rId27" w:history="1">
        <w:r w:rsidRPr="00365E13">
          <w:rPr>
            <w:rFonts w:ascii="Times New Roman" w:hAnsi="Times New Roman"/>
          </w:rPr>
          <w:t xml:space="preserve">L. 5311-1 </w:t>
        </w:r>
      </w:hyperlink>
      <w:r w:rsidRPr="00365E13">
        <w:rPr>
          <w:rFonts w:ascii="Times New Roman" w:hAnsi="Times New Roman"/>
        </w:rPr>
        <w:t xml:space="preserve">à l'exclusion du 5°, sous réserve des dispositions de l'article </w:t>
      </w:r>
      <w:hyperlink r:id="rId28" w:history="1">
        <w:r w:rsidRPr="00365E13">
          <w:rPr>
            <w:rFonts w:ascii="Times New Roman" w:hAnsi="Times New Roman"/>
          </w:rPr>
          <w:t>L. 1222-9</w:t>
        </w:r>
      </w:hyperlink>
      <w:r w:rsidRPr="00365E13">
        <w:rPr>
          <w:rFonts w:ascii="Times New Roman" w:hAnsi="Times New Roman"/>
        </w:rPr>
        <w:t xml:space="preserve">, et des 11°, 14° et 15°, utilisés à l'occasion de ces activités, sont tenus de souscrire une assurance destinée à les garantir pour leur responsabilité civile ou administrative susceptible d'être engagée en raison de dommages subis par des tiers et résultant d'atteintes à la personne, survenant dans le cadre de l'ensemble de cette activité. </w:t>
      </w:r>
    </w:p>
    <w:p w14:paraId="173D5BE2" w14:textId="77777777" w:rsidR="001D1D2D" w:rsidRPr="00365E13" w:rsidRDefault="001D1D2D" w:rsidP="001D1D2D">
      <w:pPr>
        <w:pStyle w:val="newid"/>
        <w:rPr>
          <w:rFonts w:ascii="Times New Roman" w:hAnsi="Times New Roman"/>
        </w:rPr>
      </w:pPr>
      <w:r w:rsidRPr="00365E13">
        <w:rPr>
          <w:rFonts w:ascii="Times New Roman" w:hAnsi="Times New Roman"/>
        </w:rPr>
        <w:t xml:space="preserve">Une dérogation à l'obligation d'assurance prévue au premier alinéa peut être accordée par arrêté du ministre chargé de la santé aux établissements publics de santé disposant des ressources financières leur permettant d'indemniser les dommages dans des conditions équivalentes à celles qui résulteraient d'un contrat d'assurance. </w:t>
      </w:r>
    </w:p>
    <w:p w14:paraId="27FA9BB5" w14:textId="77777777" w:rsidR="001D1D2D" w:rsidRPr="00365E13" w:rsidRDefault="001D1D2D" w:rsidP="001D1D2D">
      <w:pPr>
        <w:pStyle w:val="newid"/>
        <w:rPr>
          <w:rFonts w:ascii="Times New Roman" w:hAnsi="Times New Roman"/>
        </w:rPr>
      </w:pPr>
      <w:r w:rsidRPr="00365E13">
        <w:rPr>
          <w:rFonts w:ascii="Times New Roman" w:hAnsi="Times New Roman"/>
        </w:rPr>
        <w:t>Les contrats d'assurance souscrits en application du premier alinéa peuvent prévoir des plafonds de garantie. Les conditions dans lesquelles le montant de la garantie peut être plafonné pour les professionnels de santé exerçant à titre libéral sont fixées par décret en Conseil d'</w:t>
      </w:r>
      <w:r w:rsidR="00181206" w:rsidRPr="00365E13">
        <w:rPr>
          <w:rFonts w:ascii="Times New Roman" w:hAnsi="Times New Roman"/>
        </w:rPr>
        <w:t>État</w:t>
      </w:r>
      <w:r w:rsidRPr="00365E13">
        <w:rPr>
          <w:rFonts w:ascii="Times New Roman" w:hAnsi="Times New Roman"/>
        </w:rPr>
        <w:t>.</w:t>
      </w:r>
    </w:p>
    <w:p w14:paraId="543447D8" w14:textId="77777777" w:rsidR="001D1D2D" w:rsidRPr="00365E13" w:rsidRDefault="001D1D2D" w:rsidP="001D1D2D">
      <w:pPr>
        <w:pStyle w:val="newid"/>
        <w:rPr>
          <w:rFonts w:ascii="Times New Roman" w:hAnsi="Times New Roman"/>
        </w:rPr>
      </w:pPr>
      <w:r w:rsidRPr="00365E13">
        <w:rPr>
          <w:rFonts w:ascii="Times New Roman" w:hAnsi="Times New Roman"/>
        </w:rPr>
        <w:t xml:space="preserve">L'assurance des professionnels de santé, des établissements, services et organismes mentionnés au premier alinéa couvre leurs salariés agissant dans la limite de la mission qui leur est impartie, même si ceux-ci disposent d'une indépendance dans l'exercice de l'art médical. </w:t>
      </w:r>
    </w:p>
    <w:p w14:paraId="74B5022E" w14:textId="77777777" w:rsidR="001D1D2D" w:rsidRPr="00365E13" w:rsidRDefault="001D1D2D" w:rsidP="001D1D2D">
      <w:pPr>
        <w:pStyle w:val="newid"/>
        <w:rPr>
          <w:rFonts w:ascii="Times New Roman" w:hAnsi="Times New Roman"/>
        </w:rPr>
      </w:pPr>
      <w:r w:rsidRPr="00365E13">
        <w:rPr>
          <w:rFonts w:ascii="Times New Roman" w:hAnsi="Times New Roman"/>
        </w:rPr>
        <w:t xml:space="preserve">Le </w:t>
      </w:r>
      <w:proofErr w:type="spellStart"/>
      <w:r w:rsidRPr="00365E13">
        <w:rPr>
          <w:rFonts w:ascii="Times New Roman" w:hAnsi="Times New Roman"/>
        </w:rPr>
        <w:t>crédit-bailleur</w:t>
      </w:r>
      <w:proofErr w:type="spellEnd"/>
      <w:r w:rsidRPr="00365E13">
        <w:rPr>
          <w:rFonts w:ascii="Times New Roman" w:hAnsi="Times New Roman"/>
        </w:rPr>
        <w:t xml:space="preserve"> de produits de santé ou le loueur assimilable au </w:t>
      </w:r>
      <w:proofErr w:type="spellStart"/>
      <w:r w:rsidRPr="00365E13">
        <w:rPr>
          <w:rFonts w:ascii="Times New Roman" w:hAnsi="Times New Roman"/>
        </w:rPr>
        <w:t>crédit-bailleur</w:t>
      </w:r>
      <w:proofErr w:type="spellEnd"/>
      <w:r w:rsidRPr="00365E13">
        <w:rPr>
          <w:rFonts w:ascii="Times New Roman" w:hAnsi="Times New Roman"/>
        </w:rPr>
        <w:t xml:space="preserve"> ne sont pas tenus à l'obligation d'assurance prévue au premier alinéa. </w:t>
      </w:r>
    </w:p>
    <w:p w14:paraId="5F21A14F" w14:textId="77777777" w:rsidR="001D1D2D" w:rsidRPr="00365E13" w:rsidRDefault="001D1D2D" w:rsidP="001D1D2D">
      <w:pPr>
        <w:pStyle w:val="newid"/>
        <w:rPr>
          <w:rFonts w:ascii="Times New Roman" w:hAnsi="Times New Roman"/>
        </w:rPr>
      </w:pPr>
      <w:r w:rsidRPr="00365E13">
        <w:rPr>
          <w:rFonts w:ascii="Times New Roman" w:hAnsi="Times New Roman"/>
        </w:rPr>
        <w:t>En cas de manquement à l'obligation d'assurance prévue au présent article, l'instance disciplinaire compétente peut prononcer des sanctions disciplinaires.</w:t>
      </w:r>
    </w:p>
    <w:p w14:paraId="2836449E" w14:textId="77777777" w:rsidR="00E733A4" w:rsidRPr="00365E13" w:rsidRDefault="00E733A4" w:rsidP="001D1D2D">
      <w:pPr>
        <w:pStyle w:val="newid"/>
        <w:rPr>
          <w:rFonts w:ascii="Times New Roman" w:hAnsi="Times New Roman"/>
        </w:rPr>
      </w:pPr>
    </w:p>
    <w:p w14:paraId="44F330F9" w14:textId="77777777" w:rsidR="00E733A4" w:rsidRPr="00365E13" w:rsidRDefault="00E733A4" w:rsidP="00BD3164">
      <w:pPr>
        <w:numPr>
          <w:ilvl w:val="1"/>
          <w:numId w:val="9"/>
        </w:numPr>
        <w:spacing w:line="360" w:lineRule="auto"/>
        <w:rPr>
          <w:b/>
          <w:bCs/>
          <w:color w:val="4F81BD" w:themeColor="accent1"/>
          <w:szCs w:val="22"/>
        </w:rPr>
      </w:pPr>
      <w:r w:rsidRPr="00365E13">
        <w:rPr>
          <w:b/>
          <w:bCs/>
          <w:color w:val="4F81BD" w:themeColor="accent1"/>
          <w:szCs w:val="22"/>
        </w:rPr>
        <w:t>Article L. 4135-1 du Code de la santé Publique</w:t>
      </w:r>
    </w:p>
    <w:p w14:paraId="40AA968D" w14:textId="77777777" w:rsidR="001D1D2D" w:rsidRPr="00365E13" w:rsidRDefault="001D1D2D" w:rsidP="001D1D2D">
      <w:pPr>
        <w:pStyle w:val="newid"/>
        <w:rPr>
          <w:rFonts w:ascii="Times New Roman" w:hAnsi="Times New Roman"/>
        </w:rPr>
      </w:pPr>
      <w:r w:rsidRPr="00365E13">
        <w:rPr>
          <w:rFonts w:ascii="Times New Roman" w:hAnsi="Times New Roman"/>
        </w:rPr>
        <w:t xml:space="preserve">Créé par </w:t>
      </w:r>
      <w:hyperlink r:id="rId29" w:anchor="LEGIARTI000006758943" w:history="1">
        <w:r w:rsidRPr="00365E13">
          <w:rPr>
            <w:rFonts w:ascii="Times New Roman" w:hAnsi="Times New Roman"/>
          </w:rPr>
          <w:t>Loi n°2004-810 du 13 août 2004 - art. 16 (V) JORF 17 août 2004</w:t>
        </w:r>
      </w:hyperlink>
      <w:r w:rsidRPr="00365E13">
        <w:rPr>
          <w:rFonts w:ascii="Times New Roman" w:hAnsi="Times New Roman"/>
        </w:rPr>
        <w:t xml:space="preserve"> </w:t>
      </w:r>
    </w:p>
    <w:p w14:paraId="6B5E6DBF" w14:textId="77777777" w:rsidR="001D1D2D" w:rsidRPr="00365E13" w:rsidRDefault="001D1D2D" w:rsidP="001D1D2D">
      <w:pPr>
        <w:pStyle w:val="newid"/>
        <w:rPr>
          <w:rFonts w:ascii="Times New Roman" w:hAnsi="Times New Roman"/>
        </w:rPr>
      </w:pPr>
      <w:r w:rsidRPr="00365E13">
        <w:rPr>
          <w:rFonts w:ascii="Times New Roman" w:hAnsi="Times New Roman"/>
        </w:rPr>
        <w:t xml:space="preserve">Les médecins ou les équipes médicales d'une même spécialité exerçant en établissements de santé peuvent demander à ce que la qualité de leur pratique professionnelle soit accréditée dans les conditions mentionnées à l'article </w:t>
      </w:r>
      <w:hyperlink r:id="rId30" w:history="1">
        <w:r w:rsidRPr="00365E13">
          <w:rPr>
            <w:rFonts w:ascii="Times New Roman" w:hAnsi="Times New Roman"/>
          </w:rPr>
          <w:t>L. 1414-3-3</w:t>
        </w:r>
      </w:hyperlink>
      <w:r w:rsidRPr="00365E13">
        <w:rPr>
          <w:rFonts w:ascii="Times New Roman" w:hAnsi="Times New Roman"/>
        </w:rPr>
        <w:t xml:space="preserve">.L'accréditation est valable pour une durée de quatre ans. Les résultats de la procédure d'accréditation sont publics. Les médecins et les équipes médicales engagés dans la procédure d'accréditation ou accrédités transmettent à la Haute Autorité de santé les informations nécessaires à l'analyse des événements médicaux indésirables. </w:t>
      </w:r>
    </w:p>
    <w:p w14:paraId="20A52004" w14:textId="77777777" w:rsidR="001D1D2D" w:rsidRPr="00365E13" w:rsidRDefault="001D1D2D" w:rsidP="001D1D2D">
      <w:pPr>
        <w:pStyle w:val="newid"/>
        <w:rPr>
          <w:rFonts w:ascii="Times New Roman" w:hAnsi="Times New Roman"/>
        </w:rPr>
      </w:pPr>
      <w:r w:rsidRPr="00365E13">
        <w:rPr>
          <w:rFonts w:ascii="Times New Roman" w:hAnsi="Times New Roman"/>
        </w:rPr>
        <w:t xml:space="preserve">Un décret précise les conditions de mise en œuvre du présent article et notamment les conditions dans lesquelles la demande d'accréditation </w:t>
      </w:r>
      <w:proofErr w:type="gramStart"/>
      <w:r w:rsidRPr="00365E13">
        <w:rPr>
          <w:rFonts w:ascii="Times New Roman" w:hAnsi="Times New Roman"/>
        </w:rPr>
        <w:t>peut</w:t>
      </w:r>
      <w:proofErr w:type="gramEnd"/>
      <w:r w:rsidRPr="00365E13">
        <w:rPr>
          <w:rFonts w:ascii="Times New Roman" w:hAnsi="Times New Roman"/>
        </w:rPr>
        <w:t xml:space="preserve"> être réservée aux médecins exerçant certaines spécialités particulièrement exposées au risque professionnel. </w:t>
      </w:r>
    </w:p>
    <w:p w14:paraId="79C9F505" w14:textId="77777777" w:rsidR="00E733A4" w:rsidRPr="00365E13" w:rsidRDefault="00E733A4" w:rsidP="001D1D2D">
      <w:pPr>
        <w:pStyle w:val="newid"/>
        <w:rPr>
          <w:rFonts w:ascii="Times New Roman" w:hAnsi="Times New Roman"/>
        </w:rPr>
      </w:pPr>
    </w:p>
    <w:p w14:paraId="53C9AA2A" w14:textId="77777777" w:rsidR="00AE300C" w:rsidRDefault="00AE300C">
      <w:pPr>
        <w:jc w:val="left"/>
        <w:rPr>
          <w:b/>
          <w:bCs/>
          <w:color w:val="4F81BD" w:themeColor="accent1"/>
          <w:szCs w:val="22"/>
        </w:rPr>
      </w:pPr>
      <w:r>
        <w:rPr>
          <w:b/>
          <w:bCs/>
          <w:color w:val="4F81BD" w:themeColor="accent1"/>
          <w:szCs w:val="22"/>
        </w:rPr>
        <w:br w:type="page"/>
      </w:r>
    </w:p>
    <w:p w14:paraId="7A91F5EE" w14:textId="77777777" w:rsidR="00E733A4" w:rsidRPr="00365E13" w:rsidRDefault="00E733A4" w:rsidP="00BD3164">
      <w:pPr>
        <w:numPr>
          <w:ilvl w:val="1"/>
          <w:numId w:val="9"/>
        </w:numPr>
        <w:spacing w:line="360" w:lineRule="auto"/>
        <w:rPr>
          <w:b/>
          <w:bCs/>
          <w:color w:val="4F81BD" w:themeColor="accent1"/>
          <w:szCs w:val="22"/>
        </w:rPr>
      </w:pPr>
      <w:r w:rsidRPr="00365E13">
        <w:rPr>
          <w:b/>
          <w:bCs/>
          <w:color w:val="4F81BD" w:themeColor="accent1"/>
          <w:szCs w:val="22"/>
        </w:rPr>
        <w:lastRenderedPageBreak/>
        <w:t>Article L. 4135-1 du Code de la santé Publique</w:t>
      </w:r>
    </w:p>
    <w:p w14:paraId="4C94A226" w14:textId="77777777" w:rsidR="001D1D2D" w:rsidRPr="00365E13" w:rsidRDefault="001D1D2D" w:rsidP="001D1D2D">
      <w:pPr>
        <w:pStyle w:val="newid"/>
        <w:rPr>
          <w:rFonts w:ascii="Times New Roman" w:hAnsi="Times New Roman"/>
        </w:rPr>
      </w:pPr>
      <w:r w:rsidRPr="00365E13">
        <w:rPr>
          <w:rFonts w:ascii="Times New Roman" w:hAnsi="Times New Roman"/>
        </w:rPr>
        <w:t xml:space="preserve">Créé par </w:t>
      </w:r>
      <w:hyperlink r:id="rId31" w:anchor="LEGIARTI000006253232" w:history="1">
        <w:r w:rsidRPr="00365E13">
          <w:rPr>
            <w:rFonts w:ascii="Times New Roman" w:hAnsi="Times New Roman"/>
          </w:rPr>
          <w:t>Décret n°2006-909 du 21 juillet 2006 - art. 1 JORF 23 juillet 2006</w:t>
        </w:r>
      </w:hyperlink>
    </w:p>
    <w:p w14:paraId="7D1D5ADA" w14:textId="77777777" w:rsidR="001D1D2D" w:rsidRPr="00365E13" w:rsidRDefault="001D1D2D" w:rsidP="001D1D2D">
      <w:pPr>
        <w:pStyle w:val="newid"/>
        <w:rPr>
          <w:rFonts w:ascii="Times New Roman" w:hAnsi="Times New Roman"/>
        </w:rPr>
      </w:pPr>
      <w:r w:rsidRPr="00365E13">
        <w:rPr>
          <w:rFonts w:ascii="Times New Roman" w:hAnsi="Times New Roman"/>
        </w:rPr>
        <w:t xml:space="preserve">Peuvent demander à être accrédités les médecins ou équipes médicales exerçant en établissements de santé ayant une activité d'obstétrique, d'échographie obstétricale, de réanimation, de soins intensifs ou exerçant l'une des spécialités suivantes : </w:t>
      </w:r>
    </w:p>
    <w:p w14:paraId="6A334F3C"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1° Chirurgie générale ; </w:t>
      </w:r>
    </w:p>
    <w:p w14:paraId="4D739C2B"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2° Neurochirurgie ; </w:t>
      </w:r>
    </w:p>
    <w:p w14:paraId="673B029F"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3° Chirurgie urologique ; </w:t>
      </w:r>
    </w:p>
    <w:p w14:paraId="5DE08845"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4° Chirurgie orthopédique et traumatologie ; </w:t>
      </w:r>
    </w:p>
    <w:p w14:paraId="09D8983C"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5° Chirurgie infantile ; </w:t>
      </w:r>
    </w:p>
    <w:p w14:paraId="5554EF1E"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6° Chirurgie de la face et du cou ; </w:t>
      </w:r>
    </w:p>
    <w:p w14:paraId="36662A04"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7° Chirurgie maxillo-faciale et stomatologie, ou chirurgie maxillo-faciale ; </w:t>
      </w:r>
    </w:p>
    <w:p w14:paraId="0866A64F"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8° Chirurgie plastique reconstructrice ; </w:t>
      </w:r>
    </w:p>
    <w:p w14:paraId="6506E9C8"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9° Chirurgie thoracique et cardio-vasculaire ; </w:t>
      </w:r>
    </w:p>
    <w:p w14:paraId="554389A0"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10° Chirurgie vasculaire ; </w:t>
      </w:r>
    </w:p>
    <w:p w14:paraId="1B03B584"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11° Chirurgie viscérale et digestive ; </w:t>
      </w:r>
    </w:p>
    <w:p w14:paraId="78573C20"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12° Gynécologie-obstétrique, ou gynécologie médicale et gynécologie-obstétrique ; </w:t>
      </w:r>
    </w:p>
    <w:p w14:paraId="45AA9A26"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13° Anesthésie-réanimation ; </w:t>
      </w:r>
    </w:p>
    <w:p w14:paraId="3CE88DAE"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14° Réanimation médicale ; </w:t>
      </w:r>
    </w:p>
    <w:p w14:paraId="409018F0"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15° Stomatologie ; </w:t>
      </w:r>
    </w:p>
    <w:p w14:paraId="73198906"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16° Oto-rhino-laryngologie ; </w:t>
      </w:r>
    </w:p>
    <w:p w14:paraId="35AAA337"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17° Ophtalmologie ; </w:t>
      </w:r>
    </w:p>
    <w:p w14:paraId="6E444E5E"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18° Cardiologie ; </w:t>
      </w:r>
    </w:p>
    <w:p w14:paraId="4D7F60BD"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19° Radiologie ; </w:t>
      </w:r>
    </w:p>
    <w:p w14:paraId="2AAEFE6A"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20° Gastro-entérologie ; </w:t>
      </w:r>
    </w:p>
    <w:p w14:paraId="1662F47D"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21° Pneumologie. </w:t>
      </w:r>
    </w:p>
    <w:p w14:paraId="6D4A19ED" w14:textId="77777777" w:rsidR="00E733A4" w:rsidRPr="00365E13" w:rsidRDefault="00E733A4" w:rsidP="001D1D2D">
      <w:pPr>
        <w:spacing w:line="276" w:lineRule="auto"/>
        <w:ind w:firstLine="708"/>
        <w:rPr>
          <w:rFonts w:eastAsia="Arial Unicode MS"/>
          <w:szCs w:val="22"/>
        </w:rPr>
      </w:pPr>
    </w:p>
    <w:p w14:paraId="4ED193FB"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Pour les spécialités mentionnées aux 15° à 21°, seuls les médecins exerçant une activité chirurgicale ou interventionnelle peuvent demander à être accrédités. </w:t>
      </w:r>
    </w:p>
    <w:p w14:paraId="5926D9D3"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Les médecins d'une même spécialité constituant une équipe médicale peuvent conjointement présenter une demande d'accréditation. Dans ce cas, l'accréditation est délivrée à chacun des médecins composant l'équipe médicale. </w:t>
      </w:r>
    </w:p>
    <w:p w14:paraId="427F6518" w14:textId="77777777" w:rsidR="00E733A4" w:rsidRPr="00365E13" w:rsidRDefault="00E733A4" w:rsidP="001D1D2D">
      <w:pPr>
        <w:spacing w:line="276" w:lineRule="auto"/>
        <w:ind w:firstLine="708"/>
        <w:rPr>
          <w:rFonts w:eastAsia="Arial Unicode MS"/>
          <w:szCs w:val="22"/>
        </w:rPr>
      </w:pPr>
    </w:p>
    <w:p w14:paraId="2C5623B6" w14:textId="48E8773B" w:rsidR="00E733A4" w:rsidRPr="00365E13" w:rsidRDefault="00E733A4" w:rsidP="00BD3164">
      <w:pPr>
        <w:numPr>
          <w:ilvl w:val="1"/>
          <w:numId w:val="9"/>
        </w:numPr>
        <w:spacing w:line="360" w:lineRule="auto"/>
        <w:rPr>
          <w:b/>
          <w:bCs/>
          <w:color w:val="4F81BD" w:themeColor="accent1"/>
          <w:szCs w:val="22"/>
        </w:rPr>
      </w:pPr>
      <w:r w:rsidRPr="00365E13">
        <w:rPr>
          <w:b/>
          <w:bCs/>
          <w:color w:val="4F81BD" w:themeColor="accent1"/>
          <w:szCs w:val="22"/>
        </w:rPr>
        <w:t xml:space="preserve">Article </w:t>
      </w:r>
      <w:hyperlink r:id="rId32" w:history="1">
        <w:r w:rsidRPr="00E639E9">
          <w:rPr>
            <w:rStyle w:val="Lienhypertexte"/>
            <w:b/>
            <w:bCs/>
            <w:szCs w:val="22"/>
          </w:rPr>
          <w:t>L.251-2 du Code des Assurances</w:t>
        </w:r>
      </w:hyperlink>
      <w:r w:rsidRPr="00365E13">
        <w:rPr>
          <w:b/>
          <w:bCs/>
          <w:color w:val="4F81BD" w:themeColor="accent1"/>
          <w:szCs w:val="22"/>
        </w:rPr>
        <w:t xml:space="preserve"> </w:t>
      </w:r>
    </w:p>
    <w:p w14:paraId="7FA4B65C"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Constitue un sinistre, pour les risques mentionnés à l'article L. 1142-2 du code de la santé publique, tout dommage ou ensemble de dommages causés à des tiers, engageant la responsabilité de l'assuré, résultant d'un fait dommageable ou d'un ensemble de faits dommageables ayant la même cause technique, imputable aux activités de l'assuré garanties par le contrat, et ayant donné lieu à une ou plusieurs réclamations. </w:t>
      </w:r>
    </w:p>
    <w:p w14:paraId="6CF4DEEE" w14:textId="77777777" w:rsidR="0073663C" w:rsidRPr="00365E13" w:rsidRDefault="0073663C" w:rsidP="001D1D2D">
      <w:pPr>
        <w:spacing w:line="276" w:lineRule="auto"/>
        <w:ind w:firstLine="708"/>
        <w:rPr>
          <w:rFonts w:eastAsia="Arial Unicode MS"/>
          <w:szCs w:val="22"/>
        </w:rPr>
      </w:pPr>
    </w:p>
    <w:p w14:paraId="091945E1"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Constitue une réclamation toute demande en réparation amiable ou contentieuse formée par la victime d'un dommage ou ses ayants droit, et adressée à l'assuré ou à son assureur. </w:t>
      </w:r>
    </w:p>
    <w:p w14:paraId="299A6E21" w14:textId="77777777" w:rsidR="0073663C" w:rsidRPr="00365E13" w:rsidRDefault="0073663C" w:rsidP="001D1D2D">
      <w:pPr>
        <w:spacing w:line="276" w:lineRule="auto"/>
        <w:ind w:firstLine="708"/>
        <w:rPr>
          <w:rFonts w:eastAsia="Arial Unicode MS"/>
          <w:szCs w:val="22"/>
        </w:rPr>
      </w:pPr>
    </w:p>
    <w:p w14:paraId="247FB3F8" w14:textId="77777777" w:rsidR="001D1D2D" w:rsidRPr="004B445D" w:rsidRDefault="001D1D2D" w:rsidP="001D1D2D">
      <w:pPr>
        <w:spacing w:line="276" w:lineRule="auto"/>
        <w:ind w:firstLine="708"/>
        <w:rPr>
          <w:rFonts w:eastAsia="Arial Unicode MS"/>
          <w:szCs w:val="22"/>
        </w:rPr>
      </w:pPr>
      <w:r w:rsidRPr="004B445D">
        <w:rPr>
          <w:rFonts w:eastAsia="Arial Unicode MS"/>
          <w:szCs w:val="22"/>
        </w:rPr>
        <w:t xml:space="preserve">Tout contrat d'assurance conclu en application de l'article L. 1142-2 du même code garantit l'assuré contre les conséquences pécuniaires des sinistres pour lesquels la première réclamation est formée pendant la période de validité du contrat, quelle que soit la date des autres éléments constitutifs </w:t>
      </w:r>
      <w:r w:rsidRPr="004B445D">
        <w:rPr>
          <w:rFonts w:eastAsia="Arial Unicode MS"/>
          <w:szCs w:val="22"/>
        </w:rPr>
        <w:lastRenderedPageBreak/>
        <w:t xml:space="preserve">du sinistre, dès lors que le fait dommageable est survenu dans le cadre des activités de l'assuré garanties au moment de la première réclamation. </w:t>
      </w:r>
    </w:p>
    <w:p w14:paraId="5227EB9D" w14:textId="77777777" w:rsidR="0073663C" w:rsidRPr="00365E13" w:rsidRDefault="0073663C" w:rsidP="001D1D2D">
      <w:pPr>
        <w:spacing w:line="276" w:lineRule="auto"/>
        <w:ind w:firstLine="708"/>
        <w:rPr>
          <w:rFonts w:eastAsia="Arial Unicode MS"/>
          <w:szCs w:val="22"/>
        </w:rPr>
      </w:pPr>
    </w:p>
    <w:p w14:paraId="6086BA8D"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Le contrat d'assurance garantit également les sinistres dont la première réclamation est formulée pendant un délai fixé par le contrat, à partir de la date d'expiration ou de résiliation de tout ou partie des garanties, dès lors que le fait dommageable est survenu pendant la période de validité du contrat et dans le cadre des activités garanties à la date de résiliation ou d'expiration des garanties, quelle que soit la date des autres éléments constitutifs du sinistre. Ce délai ne peut être inférieur à cinq ans. </w:t>
      </w:r>
    </w:p>
    <w:p w14:paraId="2BAFAF3B"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Le dernier contrat conclu, avant sa cessation d'activité professionnelle ou son décès, par un professionnel de santé mentionné à la quatrième partie du code de la santé publique exerçant à titre libéral, garantit également les sinistres pour lesquels la première réclamation est formulée pendant un délai fixé par le contrat, à partir de la date de résiliation ou d'expiration de tout ou partie des garanties, dès lors que le fait dommageable est survenu pendant la période de validité du contrat ou antérieurement à cette période dans le cadre des activités de l'assuré garanties à la date de résiliation ou d'expiration des garanties, quelle que soit la date des autres éléments constitutifs du sinistre. Ce délai ne peut être inférieur à dix ans. Cette garantie ne couvre pas les sinistres dont la première réclamation est postérieure à une éventuelle reprise d'activité. Le contrat ne peut prévoir pour cette garantie un plafond inférieur à celui de l'année précédant la fin du contrat. </w:t>
      </w:r>
    </w:p>
    <w:p w14:paraId="0DE23584" w14:textId="77777777" w:rsidR="0073663C" w:rsidRPr="00365E13" w:rsidRDefault="0073663C" w:rsidP="001D1D2D">
      <w:pPr>
        <w:spacing w:line="276" w:lineRule="auto"/>
        <w:ind w:firstLine="708"/>
        <w:rPr>
          <w:rFonts w:eastAsia="Arial Unicode MS"/>
          <w:szCs w:val="22"/>
        </w:rPr>
      </w:pPr>
    </w:p>
    <w:p w14:paraId="3A2BBC94" w14:textId="77777777" w:rsidR="001D1D2D" w:rsidRPr="00365E13" w:rsidRDefault="001D1D2D" w:rsidP="001D1D2D">
      <w:pPr>
        <w:spacing w:line="276" w:lineRule="auto"/>
        <w:ind w:firstLine="708"/>
        <w:rPr>
          <w:rFonts w:eastAsia="Arial Unicode MS"/>
          <w:szCs w:val="22"/>
        </w:rPr>
      </w:pPr>
      <w:r w:rsidRPr="00365E13">
        <w:rPr>
          <w:rFonts w:eastAsia="Arial Unicode MS"/>
          <w:szCs w:val="22"/>
        </w:rPr>
        <w:t xml:space="preserve">Le contrat ne garantit pas les sinistres dont le fait dommageable était connu de l'assuré à la date de la souscription. </w:t>
      </w:r>
    </w:p>
    <w:p w14:paraId="3AEE5960" w14:textId="77777777" w:rsidR="0073663C" w:rsidRPr="00365E13" w:rsidRDefault="0073663C" w:rsidP="001D1D2D">
      <w:pPr>
        <w:spacing w:line="276" w:lineRule="auto"/>
        <w:ind w:firstLine="708"/>
        <w:rPr>
          <w:rFonts w:eastAsia="Arial Unicode MS"/>
          <w:szCs w:val="22"/>
        </w:rPr>
      </w:pPr>
    </w:p>
    <w:p w14:paraId="64E78905" w14:textId="77777777" w:rsidR="001D1D2D" w:rsidRPr="00365E13" w:rsidRDefault="001D1D2D" w:rsidP="00E733A4">
      <w:pPr>
        <w:spacing w:line="276" w:lineRule="auto"/>
        <w:ind w:firstLine="708"/>
      </w:pPr>
      <w:r w:rsidRPr="00365E13">
        <w:rPr>
          <w:rFonts w:eastAsia="Arial Unicode MS"/>
          <w:szCs w:val="22"/>
        </w:rPr>
        <w:t>Lorsqu'un même sinistre est susceptible de mettre en jeu la garantie apportée par plusieurs contrats successifs, il est couvert en priorité par le contrat en vigueur au moment de la première réclamation, sans qu'il soit fait application des dispositions des quatrième et cinquième alinéas de l'article L. 121-4.</w:t>
      </w:r>
    </w:p>
    <w:p w14:paraId="21807A28" w14:textId="77777777" w:rsidR="001D1D2D" w:rsidRPr="00365E13" w:rsidRDefault="001D1D2D" w:rsidP="007B124D">
      <w:pPr>
        <w:jc w:val="left"/>
        <w:rPr>
          <w:color w:val="1F497D" w:themeColor="text2"/>
        </w:rPr>
      </w:pPr>
    </w:p>
    <w:sectPr w:rsidR="001D1D2D" w:rsidRPr="00365E13" w:rsidSect="00E977BD">
      <w:pgSz w:w="11906" w:h="16838"/>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B6F3B8" w14:textId="77777777" w:rsidR="003C2BE7" w:rsidRDefault="003C2BE7" w:rsidP="007D16A8">
      <w:r>
        <w:separator/>
      </w:r>
    </w:p>
  </w:endnote>
  <w:endnote w:type="continuationSeparator" w:id="0">
    <w:p w14:paraId="5C114B73" w14:textId="77777777" w:rsidR="003C2BE7" w:rsidRDefault="003C2BE7" w:rsidP="007D16A8">
      <w:r>
        <w:continuationSeparator/>
      </w:r>
    </w:p>
  </w:endnote>
  <w:endnote w:type="continuationNotice" w:id="1">
    <w:p w14:paraId="1080AAF3" w14:textId="77777777" w:rsidR="003C2BE7" w:rsidRDefault="003C2B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72141"/>
      <w:docPartObj>
        <w:docPartGallery w:val="Page Numbers (Bottom of Page)"/>
        <w:docPartUnique/>
      </w:docPartObj>
    </w:sdtPr>
    <w:sdtEndPr/>
    <w:sdtContent>
      <w:p w14:paraId="3E4C3F57" w14:textId="77777777" w:rsidR="003C2BE7" w:rsidRDefault="003C2BE7" w:rsidP="006D663E">
        <w:pPr>
          <w:pStyle w:val="Pieddepage"/>
          <w:jc w:val="left"/>
        </w:pPr>
        <w:r>
          <w:rPr>
            <w:szCs w:val="18"/>
          </w:rPr>
          <w:t xml:space="preserve">Secrétariat général de l’Autorité de contrôle prudentiel et de résolution                                                                 </w:t>
        </w:r>
        <w:r>
          <w:fldChar w:fldCharType="begin"/>
        </w:r>
        <w:r>
          <w:instrText xml:space="preserve"> PAGE   \* MERGEFORMAT </w:instrText>
        </w:r>
        <w:r>
          <w:fldChar w:fldCharType="separate"/>
        </w:r>
        <w:r w:rsidR="00BC4A8E">
          <w:rPr>
            <w:noProof/>
          </w:rPr>
          <w:t>1</w:t>
        </w:r>
        <w:r>
          <w:rPr>
            <w:noProof/>
          </w:rPr>
          <w:fldChar w:fldCharType="end"/>
        </w:r>
      </w:p>
    </w:sdtContent>
  </w:sdt>
  <w:p w14:paraId="0E26AFF8" w14:textId="77777777" w:rsidR="003C2BE7" w:rsidRDefault="003C2BE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1A6AB2" w14:textId="77777777" w:rsidR="003C2BE7" w:rsidRDefault="003C2BE7" w:rsidP="007D16A8">
      <w:r>
        <w:separator/>
      </w:r>
    </w:p>
  </w:footnote>
  <w:footnote w:type="continuationSeparator" w:id="0">
    <w:p w14:paraId="0E2333C9" w14:textId="77777777" w:rsidR="003C2BE7" w:rsidRDefault="003C2BE7" w:rsidP="007D16A8">
      <w:r>
        <w:continuationSeparator/>
      </w:r>
    </w:p>
  </w:footnote>
  <w:footnote w:type="continuationNotice" w:id="1">
    <w:p w14:paraId="566DE840" w14:textId="77777777" w:rsidR="003C2BE7" w:rsidRDefault="003C2BE7"/>
  </w:footnote>
  <w:footnote w:id="2">
    <w:p w14:paraId="58DB153D" w14:textId="72437880" w:rsidR="003C2BE7" w:rsidRPr="003474B1" w:rsidRDefault="003C2BE7">
      <w:pPr>
        <w:pStyle w:val="Notedebasdepage"/>
        <w:rPr>
          <w:sz w:val="18"/>
          <w:szCs w:val="18"/>
        </w:rPr>
      </w:pPr>
      <w:r w:rsidRPr="003474B1">
        <w:rPr>
          <w:rStyle w:val="Appelnotedebasdep"/>
          <w:sz w:val="18"/>
          <w:szCs w:val="18"/>
        </w:rPr>
        <w:footnoteRef/>
      </w:r>
      <w:r w:rsidRPr="003474B1">
        <w:rPr>
          <w:sz w:val="18"/>
          <w:szCs w:val="18"/>
        </w:rPr>
        <w:t xml:space="preserve"> Version en vigueur le </w:t>
      </w:r>
      <w:r>
        <w:rPr>
          <w:sz w:val="18"/>
          <w:szCs w:val="18"/>
        </w:rPr>
        <w:t>1er janvier 2016</w:t>
      </w:r>
      <w:r w:rsidRPr="003474B1">
        <w:rPr>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FD4AE" w14:textId="77777777" w:rsidR="003C2BE7" w:rsidRDefault="003C2BE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495B"/>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93432E5"/>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9B50FA3"/>
    <w:multiLevelType w:val="hybridMultilevel"/>
    <w:tmpl w:val="35E8565E"/>
    <w:lvl w:ilvl="0" w:tplc="0E7C2224">
      <w:numFmt w:val="bullet"/>
      <w:lvlText w:val="-"/>
      <w:lvlJc w:val="left"/>
      <w:pPr>
        <w:ind w:left="1068" w:hanging="360"/>
      </w:pPr>
      <w:rPr>
        <w:rFonts w:ascii="Times New Roman" w:eastAsiaTheme="maj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nsid w:val="09CC1160"/>
    <w:multiLevelType w:val="hybridMultilevel"/>
    <w:tmpl w:val="92AA02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nsid w:val="0AEB1BA7"/>
    <w:multiLevelType w:val="hybridMultilevel"/>
    <w:tmpl w:val="39EC5CDC"/>
    <w:lvl w:ilvl="0" w:tplc="E76C9F4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F735F2C"/>
    <w:multiLevelType w:val="hybridMultilevel"/>
    <w:tmpl w:val="0A222598"/>
    <w:lvl w:ilvl="0" w:tplc="BA944696">
      <w:start w:val="1"/>
      <w:numFmt w:val="bullet"/>
      <w:pStyle w:val="question"/>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2660E34"/>
    <w:multiLevelType w:val="hybridMultilevel"/>
    <w:tmpl w:val="5F84E94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77F1530"/>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9">
    <w:nsid w:val="20620DD9"/>
    <w:multiLevelType w:val="hybridMultilevel"/>
    <w:tmpl w:val="4D6CAC44"/>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11">
    <w:nsid w:val="25C65420"/>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9DD5064"/>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A454495"/>
    <w:multiLevelType w:val="hybridMultilevel"/>
    <w:tmpl w:val="7E006468"/>
    <w:lvl w:ilvl="0" w:tplc="5C127FF6">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2BBE5A80"/>
    <w:multiLevelType w:val="hybridMultilevel"/>
    <w:tmpl w:val="E14EF640"/>
    <w:lvl w:ilvl="0" w:tplc="9B6C221C">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351E110A"/>
    <w:multiLevelType w:val="hybridMultilevel"/>
    <w:tmpl w:val="CABAD174"/>
    <w:lvl w:ilvl="0" w:tplc="040C000F">
      <w:start w:val="1"/>
      <w:numFmt w:val="decimal"/>
      <w:lvlText w:val="%1."/>
      <w:lvlJc w:val="left"/>
      <w:pPr>
        <w:ind w:left="1428"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6">
    <w:nsid w:val="351F2240"/>
    <w:multiLevelType w:val="hybridMultilevel"/>
    <w:tmpl w:val="3E3A841A"/>
    <w:lvl w:ilvl="0" w:tplc="08A6373A">
      <w:start w:val="3"/>
      <w:numFmt w:val="bullet"/>
      <w:lvlText w:val="-"/>
      <w:lvlJc w:val="left"/>
      <w:pPr>
        <w:ind w:left="720" w:hanging="360"/>
      </w:pPr>
      <w:rPr>
        <w:rFonts w:ascii="Palatino Linotype" w:eastAsiaTheme="majorEastAsia"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DF21C0D"/>
    <w:multiLevelType w:val="hybridMultilevel"/>
    <w:tmpl w:val="5D10A9F6"/>
    <w:lvl w:ilvl="0" w:tplc="A50EA81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nsid w:val="3F6A0D02"/>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20">
    <w:nsid w:val="40F41BFF"/>
    <w:multiLevelType w:val="hybridMultilevel"/>
    <w:tmpl w:val="96B408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5482350"/>
    <w:multiLevelType w:val="hybridMultilevel"/>
    <w:tmpl w:val="C93CAC00"/>
    <w:lvl w:ilvl="0" w:tplc="CDF4A956">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nsid w:val="46376BF6"/>
    <w:multiLevelType w:val="multilevel"/>
    <w:tmpl w:val="C0B68616"/>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10000" w:hanging="360"/>
      </w:pPr>
      <w:rPr>
        <w:rFonts w:cs="Arial" w:hint="default"/>
      </w:rPr>
    </w:lvl>
    <w:lvl w:ilvl="2">
      <w:start w:val="1"/>
      <w:numFmt w:val="decimal"/>
      <w:isLgl/>
      <w:lvlText w:val="%1.%2.%3"/>
      <w:lvlJc w:val="left"/>
      <w:pPr>
        <w:ind w:left="1770" w:hanging="720"/>
      </w:pPr>
      <w:rPr>
        <w:rFonts w:cs="Arial" w:hint="default"/>
      </w:rPr>
    </w:lvl>
    <w:lvl w:ilvl="3">
      <w:start w:val="1"/>
      <w:numFmt w:val="decimal"/>
      <w:isLgl/>
      <w:lvlText w:val="%1.%2.%3.%4"/>
      <w:lvlJc w:val="left"/>
      <w:pPr>
        <w:ind w:left="2115" w:hanging="720"/>
      </w:pPr>
      <w:rPr>
        <w:rFonts w:cs="Arial" w:hint="default"/>
      </w:rPr>
    </w:lvl>
    <w:lvl w:ilvl="4">
      <w:start w:val="1"/>
      <w:numFmt w:val="decimal"/>
      <w:isLgl/>
      <w:lvlText w:val="%1.%2.%3.%4.%5"/>
      <w:lvlJc w:val="left"/>
      <w:pPr>
        <w:ind w:left="2820" w:hanging="1080"/>
      </w:pPr>
      <w:rPr>
        <w:rFonts w:cs="Arial" w:hint="default"/>
      </w:rPr>
    </w:lvl>
    <w:lvl w:ilvl="5">
      <w:start w:val="1"/>
      <w:numFmt w:val="decimal"/>
      <w:isLgl/>
      <w:lvlText w:val="%1.%2.%3.%4.%5.%6"/>
      <w:lvlJc w:val="left"/>
      <w:pPr>
        <w:ind w:left="3165" w:hanging="1080"/>
      </w:pPr>
      <w:rPr>
        <w:rFonts w:cs="Arial" w:hint="default"/>
      </w:rPr>
    </w:lvl>
    <w:lvl w:ilvl="6">
      <w:start w:val="1"/>
      <w:numFmt w:val="decimal"/>
      <w:isLgl/>
      <w:lvlText w:val="%1.%2.%3.%4.%5.%6.%7"/>
      <w:lvlJc w:val="left"/>
      <w:pPr>
        <w:ind w:left="3870" w:hanging="1440"/>
      </w:pPr>
      <w:rPr>
        <w:rFonts w:cs="Arial" w:hint="default"/>
      </w:rPr>
    </w:lvl>
    <w:lvl w:ilvl="7">
      <w:start w:val="1"/>
      <w:numFmt w:val="decimal"/>
      <w:isLgl/>
      <w:lvlText w:val="%1.%2.%3.%4.%5.%6.%7.%8"/>
      <w:lvlJc w:val="left"/>
      <w:pPr>
        <w:ind w:left="4215" w:hanging="1440"/>
      </w:pPr>
      <w:rPr>
        <w:rFonts w:cs="Arial" w:hint="default"/>
      </w:rPr>
    </w:lvl>
    <w:lvl w:ilvl="8">
      <w:start w:val="1"/>
      <w:numFmt w:val="decimal"/>
      <w:isLgl/>
      <w:lvlText w:val="%1.%2.%3.%4.%5.%6.%7.%8.%9"/>
      <w:lvlJc w:val="left"/>
      <w:pPr>
        <w:ind w:left="4560" w:hanging="1440"/>
      </w:pPr>
      <w:rPr>
        <w:rFonts w:cs="Arial" w:hint="default"/>
      </w:rPr>
    </w:lvl>
  </w:abstractNum>
  <w:abstractNum w:abstractNumId="23">
    <w:nsid w:val="49E16E8F"/>
    <w:multiLevelType w:val="hybridMultilevel"/>
    <w:tmpl w:val="00D66DCC"/>
    <w:lvl w:ilvl="0" w:tplc="4530CAEA">
      <w:numFmt w:val="bullet"/>
      <w:lvlText w:val="-"/>
      <w:lvlJc w:val="left"/>
      <w:pPr>
        <w:ind w:left="1068" w:hanging="360"/>
      </w:pPr>
      <w:rPr>
        <w:rFonts w:ascii="Times New Roman" w:eastAsia="Times New Roman" w:hAnsi="Times New Roman" w:cs="Times New Roman"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nsid w:val="4DD24717"/>
    <w:multiLevelType w:val="hybridMultilevel"/>
    <w:tmpl w:val="00F06FCC"/>
    <w:lvl w:ilvl="0" w:tplc="2396ACD6">
      <w:start w:val="1"/>
      <w:numFmt w:val="bullet"/>
      <w:lvlText w:val="-"/>
      <w:lvlJc w:val="left"/>
      <w:pPr>
        <w:ind w:left="720" w:hanging="360"/>
      </w:pPr>
      <w:rPr>
        <w:rFonts w:ascii="Calibri" w:eastAsia="Times New Roman" w:hAnsi="Calibri" w:cs="Times New Roman" w:hint="default"/>
        <w:color w:val="1F497D"/>
        <w:sz w:val="22"/>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nsid w:val="520727BF"/>
    <w:multiLevelType w:val="hybridMultilevel"/>
    <w:tmpl w:val="26DE91E2"/>
    <w:lvl w:ilvl="0" w:tplc="88A8153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nsid w:val="54DE19A5"/>
    <w:multiLevelType w:val="hybridMultilevel"/>
    <w:tmpl w:val="82E876A2"/>
    <w:lvl w:ilvl="0" w:tplc="3D487A3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B367970"/>
    <w:multiLevelType w:val="hybridMultilevel"/>
    <w:tmpl w:val="B250391C"/>
    <w:lvl w:ilvl="0" w:tplc="9D7E6F42">
      <w:numFmt w:val="bullet"/>
      <w:lvlText w:val="-"/>
      <w:lvlJc w:val="left"/>
      <w:pPr>
        <w:ind w:left="1069" w:hanging="360"/>
      </w:pPr>
      <w:rPr>
        <w:rFonts w:ascii="Times New Roman" w:eastAsia="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8">
    <w:nsid w:val="5DA66D09"/>
    <w:multiLevelType w:val="multilevel"/>
    <w:tmpl w:val="4F12CF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EC21623"/>
    <w:multiLevelType w:val="hybridMultilevel"/>
    <w:tmpl w:val="8BB649BE"/>
    <w:lvl w:ilvl="0" w:tplc="B8F66BD0">
      <w:numFmt w:val="bullet"/>
      <w:lvlText w:val="-"/>
      <w:lvlJc w:val="left"/>
      <w:pPr>
        <w:ind w:left="1068" w:hanging="360"/>
      </w:pPr>
      <w:rPr>
        <w:rFonts w:ascii="Times New Roman" w:eastAsia="Times New Roman" w:hAnsi="Times New Roman" w:cs="Times New Roman" w:hint="default"/>
        <w:color w:val="000000"/>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nsid w:val="5F197BBC"/>
    <w:multiLevelType w:val="hybridMultilevel"/>
    <w:tmpl w:val="53FC3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1414671"/>
    <w:multiLevelType w:val="hybridMultilevel"/>
    <w:tmpl w:val="1B029924"/>
    <w:lvl w:ilvl="0" w:tplc="EE062508">
      <w:numFmt w:val="bullet"/>
      <w:lvlText w:val=""/>
      <w:lvlJc w:val="left"/>
      <w:pPr>
        <w:ind w:left="720" w:hanging="360"/>
      </w:pPr>
      <w:rPr>
        <w:rFonts w:ascii="Wingdings" w:eastAsia="Calibri" w:hAnsi="Wingding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nsid w:val="64F97FFA"/>
    <w:multiLevelType w:val="hybridMultilevel"/>
    <w:tmpl w:val="9AD08936"/>
    <w:lvl w:ilvl="0" w:tplc="5184A7E6">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8D329E9"/>
    <w:multiLevelType w:val="multilevel"/>
    <w:tmpl w:val="CF3CDE36"/>
    <w:lvl w:ilvl="0">
      <w:start w:val="1"/>
      <w:numFmt w:val="decimal"/>
      <w:pStyle w:val="Titre10"/>
      <w:suff w:val="space"/>
      <w:lvlText w:val="%1."/>
      <w:lvlJc w:val="left"/>
      <w:pPr>
        <w:ind w:left="0" w:firstLine="0"/>
      </w:pPr>
    </w:lvl>
    <w:lvl w:ilvl="1">
      <w:start w:val="1"/>
      <w:numFmt w:val="decimal"/>
      <w:pStyle w:val="Titre20"/>
      <w:suff w:val="space"/>
      <w:lvlText w:val="%1.%2."/>
      <w:lvlJc w:val="left"/>
      <w:pPr>
        <w:ind w:left="0" w:firstLine="0"/>
      </w:pPr>
    </w:lvl>
    <w:lvl w:ilvl="2">
      <w:start w:val="1"/>
      <w:numFmt w:val="decimal"/>
      <w:pStyle w:val="Titre3"/>
      <w:suff w:val="space"/>
      <w:lvlText w:val="%1.%2.%3."/>
      <w:lvlJc w:val="left"/>
      <w:pPr>
        <w:ind w:left="0" w:firstLine="0"/>
      </w:pPr>
    </w:lvl>
    <w:lvl w:ilvl="3">
      <w:start w:val="1"/>
      <w:numFmt w:val="decimal"/>
      <w:pStyle w:val="Titre4"/>
      <w:suff w:val="space"/>
      <w:lvlText w:val="%1.%2.%3.%4."/>
      <w:lvlJc w:val="left"/>
      <w:pPr>
        <w:ind w:left="0" w:firstLine="0"/>
      </w:pPr>
    </w:lvl>
    <w:lvl w:ilvl="4">
      <w:start w:val="1"/>
      <w:numFmt w:val="none"/>
      <w:pStyle w:val="Titre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4">
    <w:nsid w:val="6AE77037"/>
    <w:multiLevelType w:val="hybridMultilevel"/>
    <w:tmpl w:val="83DC2730"/>
    <w:lvl w:ilvl="0" w:tplc="24064FB6">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E81154C"/>
    <w:multiLevelType w:val="multilevel"/>
    <w:tmpl w:val="E60E2682"/>
    <w:lvl w:ilvl="0">
      <w:start w:val="5"/>
      <w:numFmt w:val="decimal"/>
      <w:lvlText w:val="%1"/>
      <w:lvlJc w:val="left"/>
      <w:pPr>
        <w:ind w:left="360" w:hanging="360"/>
      </w:pPr>
      <w:rPr>
        <w:rFonts w:hint="default"/>
      </w:rPr>
    </w:lvl>
    <w:lvl w:ilvl="1">
      <w:start w:val="1"/>
      <w:numFmt w:val="decimal"/>
      <w:lvlText w:val="%1.%2"/>
      <w:lvlJc w:val="left"/>
      <w:pPr>
        <w:ind w:left="1770" w:hanging="360"/>
      </w:pPr>
      <w:rPr>
        <w:rFonts w:hint="default"/>
        <w:b/>
        <w:color w:val="4F81BD" w:themeColor="accent1"/>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540" w:hanging="108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2720" w:hanging="1440"/>
      </w:pPr>
      <w:rPr>
        <w:rFonts w:hint="default"/>
      </w:rPr>
    </w:lvl>
  </w:abstractNum>
  <w:abstractNum w:abstractNumId="36">
    <w:nsid w:val="6FBE08E5"/>
    <w:multiLevelType w:val="hybridMultilevel"/>
    <w:tmpl w:val="809E9708"/>
    <w:lvl w:ilvl="0" w:tplc="040C0011">
      <w:start w:val="1"/>
      <w:numFmt w:val="decimal"/>
      <w:lvlText w:val="%1)"/>
      <w:lvlJc w:val="left"/>
      <w:pPr>
        <w:ind w:left="1069" w:hanging="360"/>
      </w:p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37">
    <w:nsid w:val="782615E5"/>
    <w:multiLevelType w:val="hybridMultilevel"/>
    <w:tmpl w:val="A4AE1078"/>
    <w:lvl w:ilvl="0" w:tplc="26A60AB2">
      <w:numFmt w:val="bullet"/>
      <w:lvlText w:val=""/>
      <w:lvlJc w:val="left"/>
      <w:pPr>
        <w:ind w:left="1080" w:hanging="360"/>
      </w:pPr>
      <w:rPr>
        <w:rFonts w:ascii="Wingdings" w:eastAsia="Times New Roman" w:hAnsi="Wingdings"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33"/>
  </w:num>
  <w:num w:numId="2">
    <w:abstractNumId w:val="33"/>
  </w:num>
  <w:num w:numId="3">
    <w:abstractNumId w:val="33"/>
  </w:num>
  <w:num w:numId="4">
    <w:abstractNumId w:val="33"/>
  </w:num>
  <w:num w:numId="5">
    <w:abstractNumId w:val="33"/>
  </w:num>
  <w:num w:numId="6">
    <w:abstractNumId w:val="8"/>
  </w:num>
  <w:num w:numId="7">
    <w:abstractNumId w:val="19"/>
  </w:num>
  <w:num w:numId="8">
    <w:abstractNumId w:val="10"/>
  </w:num>
  <w:num w:numId="9">
    <w:abstractNumId w:val="12"/>
  </w:num>
  <w:num w:numId="10">
    <w:abstractNumId w:val="34"/>
  </w:num>
  <w:num w:numId="11">
    <w:abstractNumId w:val="28"/>
  </w:num>
  <w:num w:numId="12">
    <w:abstractNumId w:val="20"/>
  </w:num>
  <w:num w:numId="13">
    <w:abstractNumId w:val="4"/>
  </w:num>
  <w:num w:numId="14">
    <w:abstractNumId w:val="13"/>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0"/>
  </w:num>
  <w:num w:numId="18">
    <w:abstractNumId w:val="22"/>
  </w:num>
  <w:num w:numId="19">
    <w:abstractNumId w:val="16"/>
  </w:num>
  <w:num w:numId="20">
    <w:abstractNumId w:val="35"/>
  </w:num>
  <w:num w:numId="21">
    <w:abstractNumId w:val="11"/>
  </w:num>
  <w:num w:numId="22">
    <w:abstractNumId w:val="18"/>
  </w:num>
  <w:num w:numId="23">
    <w:abstractNumId w:val="1"/>
  </w:num>
  <w:num w:numId="24">
    <w:abstractNumId w:val="7"/>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4"/>
  </w:num>
  <w:num w:numId="28">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
  </w:num>
  <w:num w:numId="31">
    <w:abstractNumId w:val="30"/>
  </w:num>
  <w:num w:numId="32">
    <w:abstractNumId w:val="9"/>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6"/>
  </w:num>
  <w:num w:numId="36">
    <w:abstractNumId w:val="23"/>
  </w:num>
  <w:num w:numId="37">
    <w:abstractNumId w:val="27"/>
  </w:num>
  <w:num w:numId="38">
    <w:abstractNumId w:val="29"/>
  </w:num>
  <w:num w:numId="39">
    <w:abstractNumId w:val="26"/>
  </w:num>
  <w:num w:numId="40">
    <w:abstractNumId w:val="2"/>
  </w:num>
  <w:num w:numId="41">
    <w:abstractNumId w:val="5"/>
  </w:num>
  <w:num w:numId="42">
    <w:abstractNumId w:val="5"/>
  </w:num>
  <w:num w:numId="43">
    <w:abstractNumId w:val="5"/>
  </w:num>
  <w:num w:numId="44">
    <w:abstractNumId w:val="25"/>
  </w:num>
  <w:num w:numId="45">
    <w:abstractNumId w:val="5"/>
  </w:num>
  <w:num w:numId="46">
    <w:abstractNumId w:val="5"/>
  </w:num>
  <w:num w:numId="47">
    <w:abstractNumId w:val="3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7B124D"/>
    <w:rsid w:val="00005501"/>
    <w:rsid w:val="000439E5"/>
    <w:rsid w:val="00057C94"/>
    <w:rsid w:val="000617ED"/>
    <w:rsid w:val="00087C68"/>
    <w:rsid w:val="000934C4"/>
    <w:rsid w:val="00093B80"/>
    <w:rsid w:val="000A048D"/>
    <w:rsid w:val="000B0226"/>
    <w:rsid w:val="000C3928"/>
    <w:rsid w:val="000C63DE"/>
    <w:rsid w:val="000C7241"/>
    <w:rsid w:val="000C7C92"/>
    <w:rsid w:val="000D059D"/>
    <w:rsid w:val="000D713E"/>
    <w:rsid w:val="000D7BF5"/>
    <w:rsid w:val="000E6073"/>
    <w:rsid w:val="000E68D5"/>
    <w:rsid w:val="000E7237"/>
    <w:rsid w:val="000F7834"/>
    <w:rsid w:val="001270C9"/>
    <w:rsid w:val="001325D5"/>
    <w:rsid w:val="00143B5A"/>
    <w:rsid w:val="00146177"/>
    <w:rsid w:val="001751D8"/>
    <w:rsid w:val="00175E8F"/>
    <w:rsid w:val="00181206"/>
    <w:rsid w:val="00182299"/>
    <w:rsid w:val="0018506E"/>
    <w:rsid w:val="001862B1"/>
    <w:rsid w:val="00193024"/>
    <w:rsid w:val="001B40E5"/>
    <w:rsid w:val="001C0B2D"/>
    <w:rsid w:val="001D1D2D"/>
    <w:rsid w:val="001D5D24"/>
    <w:rsid w:val="001E4226"/>
    <w:rsid w:val="001E772F"/>
    <w:rsid w:val="001F12B6"/>
    <w:rsid w:val="001F4B5A"/>
    <w:rsid w:val="001F79EC"/>
    <w:rsid w:val="0020041D"/>
    <w:rsid w:val="00205B33"/>
    <w:rsid w:val="0021252B"/>
    <w:rsid w:val="00213AD3"/>
    <w:rsid w:val="00213D88"/>
    <w:rsid w:val="0022486B"/>
    <w:rsid w:val="00230E88"/>
    <w:rsid w:val="00234D00"/>
    <w:rsid w:val="00252C42"/>
    <w:rsid w:val="00253679"/>
    <w:rsid w:val="00263688"/>
    <w:rsid w:val="00263F5D"/>
    <w:rsid w:val="002669B3"/>
    <w:rsid w:val="002713A7"/>
    <w:rsid w:val="00297AE6"/>
    <w:rsid w:val="002A4D6C"/>
    <w:rsid w:val="002B4A34"/>
    <w:rsid w:val="002C5232"/>
    <w:rsid w:val="002C681D"/>
    <w:rsid w:val="002D156C"/>
    <w:rsid w:val="002F455C"/>
    <w:rsid w:val="002F75BF"/>
    <w:rsid w:val="003035EF"/>
    <w:rsid w:val="00303EDB"/>
    <w:rsid w:val="00304E30"/>
    <w:rsid w:val="0031663E"/>
    <w:rsid w:val="00322617"/>
    <w:rsid w:val="003313B7"/>
    <w:rsid w:val="00332B0B"/>
    <w:rsid w:val="003474B1"/>
    <w:rsid w:val="00352009"/>
    <w:rsid w:val="00352ED4"/>
    <w:rsid w:val="0035549E"/>
    <w:rsid w:val="00365E13"/>
    <w:rsid w:val="00392270"/>
    <w:rsid w:val="003A0464"/>
    <w:rsid w:val="003A6543"/>
    <w:rsid w:val="003B437F"/>
    <w:rsid w:val="003B4C70"/>
    <w:rsid w:val="003C2BE7"/>
    <w:rsid w:val="003D257B"/>
    <w:rsid w:val="003D5407"/>
    <w:rsid w:val="003E1149"/>
    <w:rsid w:val="003E7742"/>
    <w:rsid w:val="003F232A"/>
    <w:rsid w:val="00403ACF"/>
    <w:rsid w:val="00403EEE"/>
    <w:rsid w:val="00417476"/>
    <w:rsid w:val="00424D0C"/>
    <w:rsid w:val="004320B8"/>
    <w:rsid w:val="0044155E"/>
    <w:rsid w:val="0044432F"/>
    <w:rsid w:val="00453CB4"/>
    <w:rsid w:val="00462AFD"/>
    <w:rsid w:val="00466DD4"/>
    <w:rsid w:val="004703D9"/>
    <w:rsid w:val="00474009"/>
    <w:rsid w:val="004838D8"/>
    <w:rsid w:val="004A334C"/>
    <w:rsid w:val="004A4748"/>
    <w:rsid w:val="004B3206"/>
    <w:rsid w:val="004B445D"/>
    <w:rsid w:val="004C0AC0"/>
    <w:rsid w:val="004C341D"/>
    <w:rsid w:val="004E44DE"/>
    <w:rsid w:val="004F3423"/>
    <w:rsid w:val="004F5A68"/>
    <w:rsid w:val="004F6236"/>
    <w:rsid w:val="0050008F"/>
    <w:rsid w:val="00501B8F"/>
    <w:rsid w:val="0051214E"/>
    <w:rsid w:val="00517559"/>
    <w:rsid w:val="00521A1D"/>
    <w:rsid w:val="00521A34"/>
    <w:rsid w:val="005243FA"/>
    <w:rsid w:val="005274E6"/>
    <w:rsid w:val="00545978"/>
    <w:rsid w:val="00560B2E"/>
    <w:rsid w:val="00567EFD"/>
    <w:rsid w:val="0059773D"/>
    <w:rsid w:val="005A0D25"/>
    <w:rsid w:val="005A7475"/>
    <w:rsid w:val="005B367E"/>
    <w:rsid w:val="005E574A"/>
    <w:rsid w:val="005E5AA9"/>
    <w:rsid w:val="005F074E"/>
    <w:rsid w:val="005F1BCA"/>
    <w:rsid w:val="006079BC"/>
    <w:rsid w:val="0061247F"/>
    <w:rsid w:val="00613607"/>
    <w:rsid w:val="00625C0E"/>
    <w:rsid w:val="00636344"/>
    <w:rsid w:val="0064269F"/>
    <w:rsid w:val="00642DC4"/>
    <w:rsid w:val="006453F8"/>
    <w:rsid w:val="00662897"/>
    <w:rsid w:val="00662970"/>
    <w:rsid w:val="006664AA"/>
    <w:rsid w:val="00671E56"/>
    <w:rsid w:val="00677972"/>
    <w:rsid w:val="00684DB8"/>
    <w:rsid w:val="006861DE"/>
    <w:rsid w:val="006A60B0"/>
    <w:rsid w:val="006B0E32"/>
    <w:rsid w:val="006B229C"/>
    <w:rsid w:val="006C136D"/>
    <w:rsid w:val="006C3630"/>
    <w:rsid w:val="006D663E"/>
    <w:rsid w:val="006E631E"/>
    <w:rsid w:val="006E7D50"/>
    <w:rsid w:val="006F48DE"/>
    <w:rsid w:val="0070163E"/>
    <w:rsid w:val="0071086D"/>
    <w:rsid w:val="00721223"/>
    <w:rsid w:val="00722DE2"/>
    <w:rsid w:val="00727BBC"/>
    <w:rsid w:val="00731302"/>
    <w:rsid w:val="00733456"/>
    <w:rsid w:val="0073663C"/>
    <w:rsid w:val="00741C51"/>
    <w:rsid w:val="00757FB4"/>
    <w:rsid w:val="00760683"/>
    <w:rsid w:val="0076227F"/>
    <w:rsid w:val="007659C4"/>
    <w:rsid w:val="0077015F"/>
    <w:rsid w:val="00770D0A"/>
    <w:rsid w:val="0077330B"/>
    <w:rsid w:val="00781EBC"/>
    <w:rsid w:val="007A15AF"/>
    <w:rsid w:val="007A7CF7"/>
    <w:rsid w:val="007B124D"/>
    <w:rsid w:val="007C4DAE"/>
    <w:rsid w:val="007C56D1"/>
    <w:rsid w:val="007D16A8"/>
    <w:rsid w:val="007D2A28"/>
    <w:rsid w:val="007D3B18"/>
    <w:rsid w:val="007D6C8A"/>
    <w:rsid w:val="007E1ACB"/>
    <w:rsid w:val="007E6111"/>
    <w:rsid w:val="007F2377"/>
    <w:rsid w:val="007F5928"/>
    <w:rsid w:val="00816360"/>
    <w:rsid w:val="0082251A"/>
    <w:rsid w:val="0083250D"/>
    <w:rsid w:val="00836B68"/>
    <w:rsid w:val="00837782"/>
    <w:rsid w:val="00850407"/>
    <w:rsid w:val="008518A6"/>
    <w:rsid w:val="0085367F"/>
    <w:rsid w:val="008567A8"/>
    <w:rsid w:val="00862139"/>
    <w:rsid w:val="00864A07"/>
    <w:rsid w:val="008700AD"/>
    <w:rsid w:val="0087077B"/>
    <w:rsid w:val="008714D6"/>
    <w:rsid w:val="00871BB8"/>
    <w:rsid w:val="00872256"/>
    <w:rsid w:val="00883FCA"/>
    <w:rsid w:val="00885810"/>
    <w:rsid w:val="00891DB1"/>
    <w:rsid w:val="00892DC4"/>
    <w:rsid w:val="008A0A35"/>
    <w:rsid w:val="008A4626"/>
    <w:rsid w:val="008A7922"/>
    <w:rsid w:val="008B5DB2"/>
    <w:rsid w:val="008B6439"/>
    <w:rsid w:val="008C6973"/>
    <w:rsid w:val="008D0639"/>
    <w:rsid w:val="008D0F19"/>
    <w:rsid w:val="008D166E"/>
    <w:rsid w:val="008D2AE6"/>
    <w:rsid w:val="008F0849"/>
    <w:rsid w:val="008F27C4"/>
    <w:rsid w:val="00901671"/>
    <w:rsid w:val="0091690F"/>
    <w:rsid w:val="00916BED"/>
    <w:rsid w:val="00917A64"/>
    <w:rsid w:val="00922438"/>
    <w:rsid w:val="00924D6E"/>
    <w:rsid w:val="0092762A"/>
    <w:rsid w:val="00933963"/>
    <w:rsid w:val="00934E6B"/>
    <w:rsid w:val="0093565B"/>
    <w:rsid w:val="009526B3"/>
    <w:rsid w:val="009700BD"/>
    <w:rsid w:val="0097476D"/>
    <w:rsid w:val="00984B31"/>
    <w:rsid w:val="009873CE"/>
    <w:rsid w:val="009A3373"/>
    <w:rsid w:val="009A4B92"/>
    <w:rsid w:val="009A6A5C"/>
    <w:rsid w:val="009B0C6B"/>
    <w:rsid w:val="009B2755"/>
    <w:rsid w:val="009B5576"/>
    <w:rsid w:val="009B6E49"/>
    <w:rsid w:val="009C4677"/>
    <w:rsid w:val="009C48CC"/>
    <w:rsid w:val="009D6E45"/>
    <w:rsid w:val="009E62EA"/>
    <w:rsid w:val="009F07E8"/>
    <w:rsid w:val="009F0D38"/>
    <w:rsid w:val="009F45CE"/>
    <w:rsid w:val="00A04A60"/>
    <w:rsid w:val="00A06D4D"/>
    <w:rsid w:val="00A076BB"/>
    <w:rsid w:val="00A10CFF"/>
    <w:rsid w:val="00A14C46"/>
    <w:rsid w:val="00A14D96"/>
    <w:rsid w:val="00A14FB9"/>
    <w:rsid w:val="00A32377"/>
    <w:rsid w:val="00A367A1"/>
    <w:rsid w:val="00A36D09"/>
    <w:rsid w:val="00A442A6"/>
    <w:rsid w:val="00A50BF0"/>
    <w:rsid w:val="00A73C42"/>
    <w:rsid w:val="00A74695"/>
    <w:rsid w:val="00A75182"/>
    <w:rsid w:val="00A84A12"/>
    <w:rsid w:val="00A94CA9"/>
    <w:rsid w:val="00A9662F"/>
    <w:rsid w:val="00AA7C4E"/>
    <w:rsid w:val="00AC7DEC"/>
    <w:rsid w:val="00AD5033"/>
    <w:rsid w:val="00AD6654"/>
    <w:rsid w:val="00AE300C"/>
    <w:rsid w:val="00AE43A0"/>
    <w:rsid w:val="00AE5F9E"/>
    <w:rsid w:val="00AF0F7D"/>
    <w:rsid w:val="00AF3EF4"/>
    <w:rsid w:val="00B06B14"/>
    <w:rsid w:val="00B110D1"/>
    <w:rsid w:val="00B24D4B"/>
    <w:rsid w:val="00B278C8"/>
    <w:rsid w:val="00B34FED"/>
    <w:rsid w:val="00B35C87"/>
    <w:rsid w:val="00B44F4D"/>
    <w:rsid w:val="00B60262"/>
    <w:rsid w:val="00B67D10"/>
    <w:rsid w:val="00B81273"/>
    <w:rsid w:val="00B8685D"/>
    <w:rsid w:val="00B96F04"/>
    <w:rsid w:val="00BA0711"/>
    <w:rsid w:val="00BB14E5"/>
    <w:rsid w:val="00BC1534"/>
    <w:rsid w:val="00BC232F"/>
    <w:rsid w:val="00BC4A8E"/>
    <w:rsid w:val="00BC7A55"/>
    <w:rsid w:val="00BD11D7"/>
    <w:rsid w:val="00BD3164"/>
    <w:rsid w:val="00BD5956"/>
    <w:rsid w:val="00BE3652"/>
    <w:rsid w:val="00BE6557"/>
    <w:rsid w:val="00BF45C9"/>
    <w:rsid w:val="00BF4C15"/>
    <w:rsid w:val="00BF7226"/>
    <w:rsid w:val="00C02DA1"/>
    <w:rsid w:val="00C10927"/>
    <w:rsid w:val="00C209FF"/>
    <w:rsid w:val="00C25F39"/>
    <w:rsid w:val="00C32DE7"/>
    <w:rsid w:val="00C33583"/>
    <w:rsid w:val="00C34AB3"/>
    <w:rsid w:val="00C40EB8"/>
    <w:rsid w:val="00C41434"/>
    <w:rsid w:val="00C415C2"/>
    <w:rsid w:val="00C41EBC"/>
    <w:rsid w:val="00C4366B"/>
    <w:rsid w:val="00C44A70"/>
    <w:rsid w:val="00C502C6"/>
    <w:rsid w:val="00C52838"/>
    <w:rsid w:val="00C544BA"/>
    <w:rsid w:val="00C54F5F"/>
    <w:rsid w:val="00C61A74"/>
    <w:rsid w:val="00C61C7D"/>
    <w:rsid w:val="00C66FF7"/>
    <w:rsid w:val="00C671A5"/>
    <w:rsid w:val="00C834E3"/>
    <w:rsid w:val="00C84F91"/>
    <w:rsid w:val="00C94E47"/>
    <w:rsid w:val="00CA47DC"/>
    <w:rsid w:val="00CA4C64"/>
    <w:rsid w:val="00CA5091"/>
    <w:rsid w:val="00CB2B3A"/>
    <w:rsid w:val="00CB4307"/>
    <w:rsid w:val="00CB6C3B"/>
    <w:rsid w:val="00CC5EE1"/>
    <w:rsid w:val="00CC7478"/>
    <w:rsid w:val="00CE32A1"/>
    <w:rsid w:val="00CF176E"/>
    <w:rsid w:val="00D0080A"/>
    <w:rsid w:val="00D12D62"/>
    <w:rsid w:val="00D13C89"/>
    <w:rsid w:val="00D15160"/>
    <w:rsid w:val="00D253A7"/>
    <w:rsid w:val="00D42BB9"/>
    <w:rsid w:val="00D43B2A"/>
    <w:rsid w:val="00D537F5"/>
    <w:rsid w:val="00D60202"/>
    <w:rsid w:val="00D63AED"/>
    <w:rsid w:val="00D7196D"/>
    <w:rsid w:val="00D95AEB"/>
    <w:rsid w:val="00DB17B5"/>
    <w:rsid w:val="00DB1A7E"/>
    <w:rsid w:val="00DB4C16"/>
    <w:rsid w:val="00DC3E94"/>
    <w:rsid w:val="00DC5492"/>
    <w:rsid w:val="00DE14F7"/>
    <w:rsid w:val="00DE24D0"/>
    <w:rsid w:val="00DE55E1"/>
    <w:rsid w:val="00DF1C66"/>
    <w:rsid w:val="00E0561D"/>
    <w:rsid w:val="00E07654"/>
    <w:rsid w:val="00E25327"/>
    <w:rsid w:val="00E366F5"/>
    <w:rsid w:val="00E36875"/>
    <w:rsid w:val="00E4312B"/>
    <w:rsid w:val="00E53AEE"/>
    <w:rsid w:val="00E62A7E"/>
    <w:rsid w:val="00E633C0"/>
    <w:rsid w:val="00E639E9"/>
    <w:rsid w:val="00E733A4"/>
    <w:rsid w:val="00E74F0A"/>
    <w:rsid w:val="00E92248"/>
    <w:rsid w:val="00E977BD"/>
    <w:rsid w:val="00EA4F6C"/>
    <w:rsid w:val="00EC0F03"/>
    <w:rsid w:val="00ED009F"/>
    <w:rsid w:val="00ED75E2"/>
    <w:rsid w:val="00EE4BAD"/>
    <w:rsid w:val="00EE707C"/>
    <w:rsid w:val="00EF72D0"/>
    <w:rsid w:val="00F013E9"/>
    <w:rsid w:val="00F10C4E"/>
    <w:rsid w:val="00F15E0B"/>
    <w:rsid w:val="00F229E7"/>
    <w:rsid w:val="00F310D0"/>
    <w:rsid w:val="00F31281"/>
    <w:rsid w:val="00F33316"/>
    <w:rsid w:val="00F34843"/>
    <w:rsid w:val="00F42A3A"/>
    <w:rsid w:val="00F47F15"/>
    <w:rsid w:val="00F50EF3"/>
    <w:rsid w:val="00F62133"/>
    <w:rsid w:val="00F86927"/>
    <w:rsid w:val="00F902DC"/>
    <w:rsid w:val="00F91780"/>
    <w:rsid w:val="00F92A3C"/>
    <w:rsid w:val="00F95EB7"/>
    <w:rsid w:val="00FA576B"/>
    <w:rsid w:val="00FB08AA"/>
    <w:rsid w:val="00FB53F2"/>
    <w:rsid w:val="00FD2FA7"/>
    <w:rsid w:val="00FD7B88"/>
    <w:rsid w:val="00FE5C9E"/>
    <w:rsid w:val="00FE691E"/>
    <w:rsid w:val="00FF00E5"/>
    <w:rsid w:val="00FF37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Titre10">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Titre20">
    <w:name w:val="heading 2"/>
    <w:basedOn w:val="Titre10"/>
    <w:next w:val="Normal"/>
    <w:qFormat/>
    <w:rsid w:val="0061247F"/>
    <w:pPr>
      <w:numPr>
        <w:ilvl w:val="1"/>
        <w:numId w:val="2"/>
      </w:numPr>
      <w:spacing w:before="360" w:after="120"/>
      <w:ind w:left="624" w:hanging="624"/>
      <w:outlineLvl w:val="1"/>
    </w:pPr>
    <w:rPr>
      <w:b w:val="0"/>
      <w:sz w:val="32"/>
    </w:rPr>
  </w:style>
  <w:style w:type="paragraph" w:styleId="Titre3">
    <w:name w:val="heading 3"/>
    <w:basedOn w:val="Titre20"/>
    <w:next w:val="Normal"/>
    <w:qFormat/>
    <w:rsid w:val="0061247F"/>
    <w:pPr>
      <w:numPr>
        <w:ilvl w:val="2"/>
        <w:numId w:val="3"/>
      </w:numPr>
      <w:ind w:left="680" w:hanging="680"/>
      <w:outlineLvl w:val="2"/>
    </w:pPr>
    <w:rPr>
      <w:b/>
      <w:sz w:val="24"/>
    </w:rPr>
  </w:style>
  <w:style w:type="paragraph" w:styleId="Titre4">
    <w:name w:val="heading 4"/>
    <w:basedOn w:val="Titre3"/>
    <w:next w:val="Normal"/>
    <w:qFormat/>
    <w:rsid w:val="0061247F"/>
    <w:pPr>
      <w:numPr>
        <w:ilvl w:val="3"/>
        <w:numId w:val="4"/>
      </w:numPr>
      <w:spacing w:before="240"/>
      <w:ind w:left="794" w:hanging="794"/>
      <w:outlineLvl w:val="3"/>
    </w:pPr>
    <w:rPr>
      <w:b w:val="0"/>
      <w:sz w:val="22"/>
    </w:rPr>
  </w:style>
  <w:style w:type="paragraph" w:styleId="Titre5">
    <w:name w:val="heading 5"/>
    <w:basedOn w:val="Titre4"/>
    <w:qFormat/>
    <w:rsid w:val="0061247F"/>
    <w:pPr>
      <w:numPr>
        <w:ilvl w:val="4"/>
        <w:numId w:val="5"/>
      </w:numPr>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link w:val="NotedebasdepageCar"/>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C544BA"/>
    <w:rPr>
      <w:rFonts w:ascii="Arial" w:eastAsiaTheme="majorEastAsia" w:hAnsi="Arial" w:cstheme="majorBidi"/>
      <w:color w:val="17365D" w:themeColor="text2" w:themeShade="BF"/>
      <w:spacing w:val="5"/>
      <w:kern w:val="28"/>
      <w:sz w:val="52"/>
      <w:szCs w:val="52"/>
    </w:rPr>
  </w:style>
  <w:style w:type="paragraph" w:styleId="Textedebulles">
    <w:name w:val="Balloon Text"/>
    <w:basedOn w:val="Normal"/>
    <w:link w:val="TextedebullesCar"/>
    <w:rsid w:val="007B124D"/>
    <w:rPr>
      <w:rFonts w:ascii="Tahoma" w:hAnsi="Tahoma" w:cs="Tahoma"/>
      <w:sz w:val="16"/>
      <w:szCs w:val="16"/>
    </w:rPr>
  </w:style>
  <w:style w:type="character" w:customStyle="1" w:styleId="TextedebullesCar">
    <w:name w:val="Texte de bulles Car"/>
    <w:basedOn w:val="Policepardfaut"/>
    <w:link w:val="Textedebulles"/>
    <w:rsid w:val="007B124D"/>
    <w:rPr>
      <w:rFonts w:ascii="Tahoma" w:hAnsi="Tahoma" w:cs="Tahoma"/>
      <w:sz w:val="16"/>
      <w:szCs w:val="16"/>
    </w:rPr>
  </w:style>
  <w:style w:type="paragraph" w:customStyle="1" w:styleId="Default">
    <w:name w:val="Default"/>
    <w:rsid w:val="007B124D"/>
    <w:pPr>
      <w:autoSpaceDE w:val="0"/>
      <w:autoSpaceDN w:val="0"/>
      <w:adjustRightInd w:val="0"/>
    </w:pPr>
    <w:rPr>
      <w:rFonts w:ascii="Arial" w:hAnsi="Arial" w:cs="Arial"/>
      <w:color w:val="000000"/>
      <w:sz w:val="24"/>
      <w:szCs w:val="24"/>
    </w:rPr>
  </w:style>
  <w:style w:type="character" w:customStyle="1" w:styleId="PieddepageCar">
    <w:name w:val="Pied de page Car"/>
    <w:basedOn w:val="Policepardfaut"/>
    <w:link w:val="Pieddepage"/>
    <w:uiPriority w:val="99"/>
    <w:rsid w:val="007D16A8"/>
    <w:rPr>
      <w:rFonts w:ascii="Arial" w:hAnsi="Arial"/>
      <w:sz w:val="18"/>
    </w:rPr>
  </w:style>
  <w:style w:type="paragraph" w:styleId="Paragraphedeliste">
    <w:name w:val="List Paragraph"/>
    <w:basedOn w:val="Normal"/>
    <w:link w:val="ParagraphedelisteCar"/>
    <w:uiPriority w:val="34"/>
    <w:qFormat/>
    <w:rsid w:val="006D663E"/>
    <w:pPr>
      <w:ind w:left="720"/>
      <w:contextualSpacing/>
    </w:pPr>
    <w:rPr>
      <w:rFonts w:ascii="Arial" w:eastAsia="Cambria" w:hAnsi="Arial"/>
      <w:sz w:val="20"/>
      <w:szCs w:val="24"/>
      <w:lang w:eastAsia="en-US"/>
    </w:rPr>
  </w:style>
  <w:style w:type="character" w:customStyle="1" w:styleId="Style2">
    <w:name w:val="Style2"/>
    <w:basedOn w:val="Policepardfaut"/>
    <w:rsid w:val="006D663E"/>
    <w:rPr>
      <w:rFonts w:ascii="Arial" w:hAnsi="Arial"/>
      <w:sz w:val="18"/>
    </w:rPr>
  </w:style>
  <w:style w:type="character" w:customStyle="1" w:styleId="hps">
    <w:name w:val="hps"/>
    <w:basedOn w:val="Policepardfaut"/>
    <w:rsid w:val="006D663E"/>
  </w:style>
  <w:style w:type="character" w:customStyle="1" w:styleId="ParagraphedelisteCar">
    <w:name w:val="Paragraphe de liste Car"/>
    <w:basedOn w:val="Policepardfaut"/>
    <w:link w:val="Paragraphedeliste"/>
    <w:uiPriority w:val="34"/>
    <w:locked/>
    <w:rsid w:val="006D663E"/>
    <w:rPr>
      <w:rFonts w:ascii="Arial" w:eastAsia="Cambria" w:hAnsi="Arial"/>
      <w:szCs w:val="24"/>
      <w:lang w:eastAsia="en-US"/>
    </w:rPr>
  </w:style>
  <w:style w:type="character" w:styleId="Lienhypertexte">
    <w:name w:val="Hyperlink"/>
    <w:basedOn w:val="Policepardfaut"/>
    <w:uiPriority w:val="99"/>
    <w:unhideWhenUsed/>
    <w:rsid w:val="00F92A3C"/>
    <w:rPr>
      <w:color w:val="0000FF"/>
      <w:u w:val="single"/>
    </w:rPr>
  </w:style>
  <w:style w:type="character" w:styleId="Emphaseintense">
    <w:name w:val="Intense Emphasis"/>
    <w:basedOn w:val="Policepardfaut"/>
    <w:uiPriority w:val="21"/>
    <w:qFormat/>
    <w:rsid w:val="008A7922"/>
    <w:rPr>
      <w:b/>
      <w:bCs/>
      <w:i/>
      <w:iCs/>
      <w:color w:val="4F81BD" w:themeColor="accent1"/>
    </w:rPr>
  </w:style>
  <w:style w:type="paragraph" w:customStyle="1" w:styleId="para">
    <w:name w:val="para"/>
    <w:basedOn w:val="Normal"/>
    <w:link w:val="paraCar"/>
    <w:qFormat/>
    <w:rsid w:val="002D156C"/>
    <w:pPr>
      <w:autoSpaceDE w:val="0"/>
      <w:autoSpaceDN w:val="0"/>
      <w:adjustRightInd w:val="0"/>
      <w:spacing w:line="276" w:lineRule="auto"/>
      <w:ind w:left="176" w:firstLine="425"/>
    </w:pPr>
    <w:rPr>
      <w:rFonts w:ascii="Palatino Linotype" w:eastAsia="Arial Unicode MS" w:hAnsi="Palatino Linotype"/>
      <w:szCs w:val="22"/>
    </w:rPr>
  </w:style>
  <w:style w:type="character" w:customStyle="1" w:styleId="paraCar">
    <w:name w:val="para Car"/>
    <w:basedOn w:val="Policepardfaut"/>
    <w:link w:val="para"/>
    <w:rsid w:val="002D156C"/>
    <w:rPr>
      <w:rFonts w:ascii="Palatino Linotype" w:eastAsia="Arial Unicode MS" w:hAnsi="Palatino Linotype"/>
      <w:sz w:val="22"/>
      <w:szCs w:val="22"/>
    </w:rPr>
  </w:style>
  <w:style w:type="paragraph" w:customStyle="1" w:styleId="nbdp">
    <w:name w:val="nbdp"/>
    <w:basedOn w:val="Notedebasdepage"/>
    <w:link w:val="nbdpCar"/>
    <w:qFormat/>
    <w:rsid w:val="002D156C"/>
    <w:pPr>
      <w:spacing w:before="0" w:after="0"/>
      <w:ind w:left="0" w:right="0" w:firstLine="0"/>
    </w:pPr>
    <w:rPr>
      <w:rFonts w:ascii="Palatino Linotype" w:hAnsi="Palatino Linotype"/>
      <w:sz w:val="18"/>
      <w:szCs w:val="18"/>
    </w:rPr>
  </w:style>
  <w:style w:type="character" w:customStyle="1" w:styleId="nbdpCar">
    <w:name w:val="nbdp Car"/>
    <w:basedOn w:val="Policepardfaut"/>
    <w:link w:val="nbdp"/>
    <w:rsid w:val="002D156C"/>
    <w:rPr>
      <w:rFonts w:ascii="Palatino Linotype" w:hAnsi="Palatino Linotype"/>
      <w:sz w:val="18"/>
      <w:szCs w:val="18"/>
    </w:rPr>
  </w:style>
  <w:style w:type="paragraph" w:customStyle="1" w:styleId="Titre1">
    <w:name w:val="Titre1"/>
    <w:basedOn w:val="Titre"/>
    <w:qFormat/>
    <w:rsid w:val="001D1D2D"/>
    <w:pPr>
      <w:keepNext/>
      <w:keepLines/>
      <w:numPr>
        <w:numId w:val="18"/>
      </w:numPr>
      <w:pBdr>
        <w:bottom w:val="none" w:sz="0" w:space="0" w:color="auto"/>
      </w:pBdr>
      <w:spacing w:before="480" w:after="120"/>
      <w:contextualSpacing w:val="0"/>
      <w:jc w:val="center"/>
      <w:outlineLvl w:val="0"/>
    </w:pPr>
    <w:rPr>
      <w:rFonts w:ascii="Times New Roman" w:hAnsi="Times New Roman" w:cs="Times New Roman"/>
      <w:b/>
      <w:bCs/>
      <w:color w:val="4F81BD" w:themeColor="accent1"/>
      <w:spacing w:val="0"/>
      <w:kern w:val="0"/>
      <w:sz w:val="28"/>
      <w:szCs w:val="28"/>
      <w:lang w:eastAsia="en-US"/>
    </w:rPr>
  </w:style>
  <w:style w:type="paragraph" w:customStyle="1" w:styleId="Titre2">
    <w:name w:val="Titre2"/>
    <w:basedOn w:val="Titre20"/>
    <w:link w:val="Titre2Car"/>
    <w:qFormat/>
    <w:rsid w:val="001D1D2D"/>
    <w:pPr>
      <w:keepLines/>
      <w:numPr>
        <w:numId w:val="18"/>
      </w:numPr>
      <w:spacing w:before="200"/>
      <w:jc w:val="both"/>
    </w:pPr>
    <w:rPr>
      <w:rFonts w:ascii="Times New Roman" w:eastAsiaTheme="majorEastAsia" w:hAnsi="Times New Roman" w:cs="Arial"/>
      <w:b/>
      <w:bCs/>
      <w:color w:val="4F81BD" w:themeColor="accent1"/>
      <w:sz w:val="22"/>
      <w:szCs w:val="22"/>
      <w:lang w:eastAsia="en-US"/>
    </w:rPr>
  </w:style>
  <w:style w:type="character" w:customStyle="1" w:styleId="Titre2Car">
    <w:name w:val="Titre2 Car"/>
    <w:basedOn w:val="Policepardfaut"/>
    <w:link w:val="Titre2"/>
    <w:rsid w:val="001D1D2D"/>
    <w:rPr>
      <w:rFonts w:eastAsiaTheme="majorEastAsia" w:cs="Arial"/>
      <w:b/>
      <w:bCs/>
      <w:color w:val="4F81BD" w:themeColor="accent1"/>
      <w:sz w:val="22"/>
      <w:szCs w:val="22"/>
      <w:lang w:eastAsia="en-US"/>
    </w:rPr>
  </w:style>
  <w:style w:type="paragraph" w:customStyle="1" w:styleId="newid">
    <w:name w:val="newid"/>
    <w:basedOn w:val="para"/>
    <w:link w:val="newidCar"/>
    <w:qFormat/>
    <w:rsid w:val="001D1D2D"/>
    <w:pPr>
      <w:spacing w:before="180"/>
    </w:pPr>
  </w:style>
  <w:style w:type="character" w:customStyle="1" w:styleId="newidCar">
    <w:name w:val="newid Car"/>
    <w:basedOn w:val="paraCar"/>
    <w:link w:val="newid"/>
    <w:rsid w:val="001D1D2D"/>
    <w:rPr>
      <w:rFonts w:ascii="Palatino Linotype" w:eastAsia="Arial Unicode MS" w:hAnsi="Palatino Linotype"/>
      <w:sz w:val="22"/>
      <w:szCs w:val="22"/>
    </w:rPr>
  </w:style>
  <w:style w:type="paragraph" w:customStyle="1" w:styleId="tititre">
    <w:name w:val="tititre"/>
    <w:basedOn w:val="Normal"/>
    <w:link w:val="tititreCar"/>
    <w:qFormat/>
    <w:rsid w:val="001D1D2D"/>
    <w:pPr>
      <w:spacing w:before="240" w:after="120" w:line="360" w:lineRule="auto"/>
      <w:ind w:hanging="680"/>
    </w:pPr>
    <w:rPr>
      <w:rFonts w:ascii="Palatino Linotype" w:hAnsi="Palatino Linotype" w:cs="Arial"/>
      <w:szCs w:val="22"/>
      <w:u w:val="single"/>
    </w:rPr>
  </w:style>
  <w:style w:type="character" w:customStyle="1" w:styleId="tititreCar">
    <w:name w:val="tititre Car"/>
    <w:basedOn w:val="Policepardfaut"/>
    <w:link w:val="tititre"/>
    <w:rsid w:val="001D1D2D"/>
    <w:rPr>
      <w:rFonts w:ascii="Palatino Linotype" w:hAnsi="Palatino Linotype" w:cs="Arial"/>
      <w:sz w:val="22"/>
      <w:szCs w:val="22"/>
      <w:u w:val="single"/>
    </w:rPr>
  </w:style>
  <w:style w:type="character" w:customStyle="1" w:styleId="apple-converted-space">
    <w:name w:val="apple-converted-space"/>
    <w:basedOn w:val="Policepardfaut"/>
    <w:rsid w:val="00C502C6"/>
  </w:style>
  <w:style w:type="character" w:customStyle="1" w:styleId="surligne">
    <w:name w:val="surligne"/>
    <w:basedOn w:val="Policepardfaut"/>
    <w:rsid w:val="003B4C70"/>
  </w:style>
  <w:style w:type="character" w:styleId="Marquedecommentaire">
    <w:name w:val="annotation reference"/>
    <w:basedOn w:val="Policepardfaut"/>
    <w:uiPriority w:val="99"/>
    <w:rsid w:val="00A36D09"/>
    <w:rPr>
      <w:sz w:val="16"/>
      <w:szCs w:val="16"/>
    </w:rPr>
  </w:style>
  <w:style w:type="paragraph" w:styleId="Commentaire">
    <w:name w:val="annotation text"/>
    <w:basedOn w:val="Normal"/>
    <w:link w:val="CommentaireCar"/>
    <w:uiPriority w:val="99"/>
    <w:rsid w:val="00A36D09"/>
    <w:rPr>
      <w:sz w:val="20"/>
    </w:rPr>
  </w:style>
  <w:style w:type="character" w:customStyle="1" w:styleId="CommentaireCar">
    <w:name w:val="Commentaire Car"/>
    <w:basedOn w:val="Policepardfaut"/>
    <w:link w:val="Commentaire"/>
    <w:uiPriority w:val="99"/>
    <w:rsid w:val="00A36D09"/>
  </w:style>
  <w:style w:type="paragraph" w:styleId="Objetducommentaire">
    <w:name w:val="annotation subject"/>
    <w:basedOn w:val="Commentaire"/>
    <w:next w:val="Commentaire"/>
    <w:link w:val="ObjetducommentaireCar"/>
    <w:rsid w:val="00A36D09"/>
    <w:rPr>
      <w:b/>
      <w:bCs/>
    </w:rPr>
  </w:style>
  <w:style w:type="character" w:customStyle="1" w:styleId="ObjetducommentaireCar">
    <w:name w:val="Objet du commentaire Car"/>
    <w:basedOn w:val="CommentaireCar"/>
    <w:link w:val="Objetducommentaire"/>
    <w:rsid w:val="00A36D09"/>
    <w:rPr>
      <w:b/>
      <w:bCs/>
    </w:rPr>
  </w:style>
  <w:style w:type="character" w:styleId="Lienhypertextesuivivisit">
    <w:name w:val="FollowedHyperlink"/>
    <w:basedOn w:val="Policepardfaut"/>
    <w:rsid w:val="00E36875"/>
    <w:rPr>
      <w:color w:val="800080" w:themeColor="followedHyperlink"/>
      <w:u w:val="single"/>
    </w:rPr>
  </w:style>
  <w:style w:type="character" w:customStyle="1" w:styleId="NotedebasdepageCar">
    <w:name w:val="Note de bas de page Car"/>
    <w:basedOn w:val="Policepardfaut"/>
    <w:link w:val="Notedebasdepage"/>
    <w:semiHidden/>
    <w:rsid w:val="00AC7DEC"/>
    <w:rPr>
      <w:sz w:val="16"/>
    </w:rPr>
  </w:style>
  <w:style w:type="paragraph" w:styleId="Notedefin">
    <w:name w:val="endnote text"/>
    <w:basedOn w:val="Normal"/>
    <w:link w:val="NotedefinCar"/>
    <w:rsid w:val="001B40E5"/>
    <w:rPr>
      <w:sz w:val="20"/>
    </w:rPr>
  </w:style>
  <w:style w:type="character" w:customStyle="1" w:styleId="NotedefinCar">
    <w:name w:val="Note de fin Car"/>
    <w:basedOn w:val="Policepardfaut"/>
    <w:link w:val="Notedefin"/>
    <w:rsid w:val="001B40E5"/>
  </w:style>
  <w:style w:type="character" w:styleId="Appeldenotedefin">
    <w:name w:val="endnote reference"/>
    <w:basedOn w:val="Policepardfaut"/>
    <w:rsid w:val="001B40E5"/>
    <w:rPr>
      <w:vertAlign w:val="superscript"/>
    </w:rPr>
  </w:style>
  <w:style w:type="paragraph" w:customStyle="1" w:styleId="question">
    <w:name w:val="question"/>
    <w:basedOn w:val="newid"/>
    <w:link w:val="questionCar"/>
    <w:qFormat/>
    <w:rsid w:val="00424D0C"/>
    <w:pPr>
      <w:numPr>
        <w:numId w:val="41"/>
      </w:numPr>
    </w:pPr>
    <w:rPr>
      <w:rFonts w:eastAsia="Cambria"/>
      <w:color w:val="548DD4" w:themeColor="text2" w:themeTint="99"/>
      <w:lang w:eastAsia="en-US"/>
    </w:rPr>
  </w:style>
  <w:style w:type="paragraph" w:customStyle="1" w:styleId="rponse">
    <w:name w:val="réponse"/>
    <w:basedOn w:val="para"/>
    <w:link w:val="rponseCar"/>
    <w:qFormat/>
    <w:rsid w:val="00424D0C"/>
    <w:pPr>
      <w:ind w:firstLine="533"/>
    </w:pPr>
  </w:style>
  <w:style w:type="character" w:customStyle="1" w:styleId="questionCar">
    <w:name w:val="question Car"/>
    <w:basedOn w:val="newidCar"/>
    <w:link w:val="question"/>
    <w:rsid w:val="00424D0C"/>
    <w:rPr>
      <w:rFonts w:ascii="Palatino Linotype" w:eastAsia="Cambria" w:hAnsi="Palatino Linotype"/>
      <w:color w:val="548DD4" w:themeColor="text2" w:themeTint="99"/>
      <w:sz w:val="22"/>
      <w:szCs w:val="22"/>
      <w:lang w:eastAsia="en-US"/>
    </w:rPr>
  </w:style>
  <w:style w:type="character" w:customStyle="1" w:styleId="rponseCar">
    <w:name w:val="réponse Car"/>
    <w:basedOn w:val="paraCar"/>
    <w:link w:val="rponse"/>
    <w:rsid w:val="00424D0C"/>
    <w:rPr>
      <w:rFonts w:ascii="Palatino Linotype" w:eastAsia="Arial Unicode MS" w:hAnsi="Palatino Linotype"/>
      <w:sz w:val="22"/>
      <w:szCs w:val="22"/>
    </w:rPr>
  </w:style>
  <w:style w:type="paragraph" w:styleId="Rvision">
    <w:name w:val="Revision"/>
    <w:hidden/>
    <w:uiPriority w:val="99"/>
    <w:semiHidden/>
    <w:rsid w:val="001E772F"/>
    <w:rPr>
      <w:sz w:val="22"/>
    </w:rPr>
  </w:style>
  <w:style w:type="table" w:styleId="Grilledutableau">
    <w:name w:val="Table Grid"/>
    <w:basedOn w:val="TableauNormal"/>
    <w:rsid w:val="008D06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Titre10">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Titre20">
    <w:name w:val="heading 2"/>
    <w:basedOn w:val="Titre10"/>
    <w:next w:val="Normal"/>
    <w:qFormat/>
    <w:rsid w:val="0061247F"/>
    <w:pPr>
      <w:numPr>
        <w:ilvl w:val="1"/>
        <w:numId w:val="2"/>
      </w:numPr>
      <w:spacing w:before="360" w:after="120"/>
      <w:ind w:left="624" w:hanging="624"/>
      <w:outlineLvl w:val="1"/>
    </w:pPr>
    <w:rPr>
      <w:b w:val="0"/>
      <w:sz w:val="32"/>
    </w:rPr>
  </w:style>
  <w:style w:type="paragraph" w:styleId="Titre3">
    <w:name w:val="heading 3"/>
    <w:basedOn w:val="Titre20"/>
    <w:next w:val="Normal"/>
    <w:qFormat/>
    <w:rsid w:val="0061247F"/>
    <w:pPr>
      <w:numPr>
        <w:ilvl w:val="2"/>
        <w:numId w:val="3"/>
      </w:numPr>
      <w:ind w:left="680" w:hanging="680"/>
      <w:outlineLvl w:val="2"/>
    </w:pPr>
    <w:rPr>
      <w:b/>
      <w:sz w:val="24"/>
    </w:rPr>
  </w:style>
  <w:style w:type="paragraph" w:styleId="Titre4">
    <w:name w:val="heading 4"/>
    <w:basedOn w:val="Titre3"/>
    <w:next w:val="Normal"/>
    <w:qFormat/>
    <w:rsid w:val="0061247F"/>
    <w:pPr>
      <w:numPr>
        <w:ilvl w:val="3"/>
        <w:numId w:val="4"/>
      </w:numPr>
      <w:spacing w:before="240"/>
      <w:ind w:left="794" w:hanging="794"/>
      <w:outlineLvl w:val="3"/>
    </w:pPr>
    <w:rPr>
      <w:b w:val="0"/>
      <w:sz w:val="22"/>
    </w:rPr>
  </w:style>
  <w:style w:type="paragraph" w:styleId="Titre5">
    <w:name w:val="heading 5"/>
    <w:basedOn w:val="Titre4"/>
    <w:qFormat/>
    <w:rsid w:val="0061247F"/>
    <w:pPr>
      <w:numPr>
        <w:ilvl w:val="4"/>
        <w:numId w:val="5"/>
      </w:numPr>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link w:val="NotedebasdepageCar"/>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C544BA"/>
    <w:rPr>
      <w:rFonts w:ascii="Arial" w:eastAsiaTheme="majorEastAsia" w:hAnsi="Arial" w:cstheme="majorBidi"/>
      <w:color w:val="17365D" w:themeColor="text2" w:themeShade="BF"/>
      <w:spacing w:val="5"/>
      <w:kern w:val="28"/>
      <w:sz w:val="52"/>
      <w:szCs w:val="52"/>
    </w:rPr>
  </w:style>
  <w:style w:type="paragraph" w:styleId="Textedebulles">
    <w:name w:val="Balloon Text"/>
    <w:basedOn w:val="Normal"/>
    <w:link w:val="TextedebullesCar"/>
    <w:rsid w:val="007B124D"/>
    <w:rPr>
      <w:rFonts w:ascii="Tahoma" w:hAnsi="Tahoma" w:cs="Tahoma"/>
      <w:sz w:val="16"/>
      <w:szCs w:val="16"/>
    </w:rPr>
  </w:style>
  <w:style w:type="character" w:customStyle="1" w:styleId="TextedebullesCar">
    <w:name w:val="Texte de bulles Car"/>
    <w:basedOn w:val="Policepardfaut"/>
    <w:link w:val="Textedebulles"/>
    <w:rsid w:val="007B124D"/>
    <w:rPr>
      <w:rFonts w:ascii="Tahoma" w:hAnsi="Tahoma" w:cs="Tahoma"/>
      <w:sz w:val="16"/>
      <w:szCs w:val="16"/>
    </w:rPr>
  </w:style>
  <w:style w:type="paragraph" w:customStyle="1" w:styleId="Default">
    <w:name w:val="Default"/>
    <w:rsid w:val="007B124D"/>
    <w:pPr>
      <w:autoSpaceDE w:val="0"/>
      <w:autoSpaceDN w:val="0"/>
      <w:adjustRightInd w:val="0"/>
    </w:pPr>
    <w:rPr>
      <w:rFonts w:ascii="Arial" w:hAnsi="Arial" w:cs="Arial"/>
      <w:color w:val="000000"/>
      <w:sz w:val="24"/>
      <w:szCs w:val="24"/>
    </w:rPr>
  </w:style>
  <w:style w:type="character" w:customStyle="1" w:styleId="PieddepageCar">
    <w:name w:val="Pied de page Car"/>
    <w:basedOn w:val="Policepardfaut"/>
    <w:link w:val="Pieddepage"/>
    <w:uiPriority w:val="99"/>
    <w:rsid w:val="007D16A8"/>
    <w:rPr>
      <w:rFonts w:ascii="Arial" w:hAnsi="Arial"/>
      <w:sz w:val="18"/>
    </w:rPr>
  </w:style>
  <w:style w:type="paragraph" w:styleId="Paragraphedeliste">
    <w:name w:val="List Paragraph"/>
    <w:basedOn w:val="Normal"/>
    <w:link w:val="ParagraphedelisteCar"/>
    <w:uiPriority w:val="34"/>
    <w:qFormat/>
    <w:rsid w:val="006D663E"/>
    <w:pPr>
      <w:ind w:left="720"/>
      <w:contextualSpacing/>
    </w:pPr>
    <w:rPr>
      <w:rFonts w:ascii="Arial" w:eastAsia="Cambria" w:hAnsi="Arial"/>
      <w:sz w:val="20"/>
      <w:szCs w:val="24"/>
      <w:lang w:eastAsia="en-US"/>
    </w:rPr>
  </w:style>
  <w:style w:type="character" w:customStyle="1" w:styleId="Style2">
    <w:name w:val="Style2"/>
    <w:basedOn w:val="Policepardfaut"/>
    <w:rsid w:val="006D663E"/>
    <w:rPr>
      <w:rFonts w:ascii="Arial" w:hAnsi="Arial"/>
      <w:sz w:val="18"/>
    </w:rPr>
  </w:style>
  <w:style w:type="character" w:customStyle="1" w:styleId="hps">
    <w:name w:val="hps"/>
    <w:basedOn w:val="Policepardfaut"/>
    <w:rsid w:val="006D663E"/>
  </w:style>
  <w:style w:type="character" w:customStyle="1" w:styleId="ParagraphedelisteCar">
    <w:name w:val="Paragraphe de liste Car"/>
    <w:basedOn w:val="Policepardfaut"/>
    <w:link w:val="Paragraphedeliste"/>
    <w:uiPriority w:val="34"/>
    <w:locked/>
    <w:rsid w:val="006D663E"/>
    <w:rPr>
      <w:rFonts w:ascii="Arial" w:eastAsia="Cambria" w:hAnsi="Arial"/>
      <w:szCs w:val="24"/>
      <w:lang w:eastAsia="en-US"/>
    </w:rPr>
  </w:style>
  <w:style w:type="character" w:styleId="Lienhypertexte">
    <w:name w:val="Hyperlink"/>
    <w:basedOn w:val="Policepardfaut"/>
    <w:uiPriority w:val="99"/>
    <w:unhideWhenUsed/>
    <w:rsid w:val="00F92A3C"/>
    <w:rPr>
      <w:color w:val="0000FF"/>
      <w:u w:val="single"/>
    </w:rPr>
  </w:style>
  <w:style w:type="character" w:styleId="Emphaseintense">
    <w:name w:val="Intense Emphasis"/>
    <w:basedOn w:val="Policepardfaut"/>
    <w:uiPriority w:val="21"/>
    <w:qFormat/>
    <w:rsid w:val="008A7922"/>
    <w:rPr>
      <w:b/>
      <w:bCs/>
      <w:i/>
      <w:iCs/>
      <w:color w:val="4F81BD" w:themeColor="accent1"/>
    </w:rPr>
  </w:style>
  <w:style w:type="paragraph" w:customStyle="1" w:styleId="para">
    <w:name w:val="para"/>
    <w:basedOn w:val="Normal"/>
    <w:link w:val="paraCar"/>
    <w:qFormat/>
    <w:rsid w:val="002D156C"/>
    <w:pPr>
      <w:autoSpaceDE w:val="0"/>
      <w:autoSpaceDN w:val="0"/>
      <w:adjustRightInd w:val="0"/>
      <w:spacing w:line="276" w:lineRule="auto"/>
      <w:ind w:left="176" w:firstLine="425"/>
    </w:pPr>
    <w:rPr>
      <w:rFonts w:ascii="Palatino Linotype" w:eastAsia="Arial Unicode MS" w:hAnsi="Palatino Linotype"/>
      <w:szCs w:val="22"/>
    </w:rPr>
  </w:style>
  <w:style w:type="character" w:customStyle="1" w:styleId="paraCar">
    <w:name w:val="para Car"/>
    <w:basedOn w:val="Policepardfaut"/>
    <w:link w:val="para"/>
    <w:rsid w:val="002D156C"/>
    <w:rPr>
      <w:rFonts w:ascii="Palatino Linotype" w:eastAsia="Arial Unicode MS" w:hAnsi="Palatino Linotype"/>
      <w:sz w:val="22"/>
      <w:szCs w:val="22"/>
    </w:rPr>
  </w:style>
  <w:style w:type="paragraph" w:customStyle="1" w:styleId="nbdp">
    <w:name w:val="nbdp"/>
    <w:basedOn w:val="Notedebasdepage"/>
    <w:link w:val="nbdpCar"/>
    <w:qFormat/>
    <w:rsid w:val="002D156C"/>
    <w:pPr>
      <w:spacing w:before="0" w:after="0"/>
      <w:ind w:left="0" w:right="0" w:firstLine="0"/>
    </w:pPr>
    <w:rPr>
      <w:rFonts w:ascii="Palatino Linotype" w:hAnsi="Palatino Linotype"/>
      <w:sz w:val="18"/>
      <w:szCs w:val="18"/>
    </w:rPr>
  </w:style>
  <w:style w:type="character" w:customStyle="1" w:styleId="nbdpCar">
    <w:name w:val="nbdp Car"/>
    <w:basedOn w:val="Policepardfaut"/>
    <w:link w:val="nbdp"/>
    <w:rsid w:val="002D156C"/>
    <w:rPr>
      <w:rFonts w:ascii="Palatino Linotype" w:hAnsi="Palatino Linotype"/>
      <w:sz w:val="18"/>
      <w:szCs w:val="18"/>
    </w:rPr>
  </w:style>
  <w:style w:type="paragraph" w:customStyle="1" w:styleId="Titre1">
    <w:name w:val="Titre1"/>
    <w:basedOn w:val="Titre"/>
    <w:qFormat/>
    <w:rsid w:val="001D1D2D"/>
    <w:pPr>
      <w:keepNext/>
      <w:keepLines/>
      <w:numPr>
        <w:numId w:val="18"/>
      </w:numPr>
      <w:pBdr>
        <w:bottom w:val="none" w:sz="0" w:space="0" w:color="auto"/>
      </w:pBdr>
      <w:spacing w:before="480" w:after="120"/>
      <w:contextualSpacing w:val="0"/>
      <w:jc w:val="center"/>
      <w:outlineLvl w:val="0"/>
    </w:pPr>
    <w:rPr>
      <w:rFonts w:ascii="Times New Roman" w:hAnsi="Times New Roman" w:cs="Times New Roman"/>
      <w:b/>
      <w:bCs/>
      <w:color w:val="4F81BD" w:themeColor="accent1"/>
      <w:spacing w:val="0"/>
      <w:kern w:val="0"/>
      <w:sz w:val="28"/>
      <w:szCs w:val="28"/>
      <w:lang w:eastAsia="en-US"/>
    </w:rPr>
  </w:style>
  <w:style w:type="paragraph" w:customStyle="1" w:styleId="Titre2">
    <w:name w:val="Titre2"/>
    <w:basedOn w:val="Titre20"/>
    <w:link w:val="Titre2Car"/>
    <w:qFormat/>
    <w:rsid w:val="001D1D2D"/>
    <w:pPr>
      <w:keepLines/>
      <w:numPr>
        <w:numId w:val="18"/>
      </w:numPr>
      <w:spacing w:before="200"/>
      <w:jc w:val="both"/>
    </w:pPr>
    <w:rPr>
      <w:rFonts w:ascii="Times New Roman" w:eastAsiaTheme="majorEastAsia" w:hAnsi="Times New Roman" w:cs="Arial"/>
      <w:b/>
      <w:bCs/>
      <w:color w:val="4F81BD" w:themeColor="accent1"/>
      <w:sz w:val="22"/>
      <w:szCs w:val="22"/>
      <w:lang w:eastAsia="en-US"/>
    </w:rPr>
  </w:style>
  <w:style w:type="character" w:customStyle="1" w:styleId="Titre2Car">
    <w:name w:val="Titre2 Car"/>
    <w:basedOn w:val="Policepardfaut"/>
    <w:link w:val="Titre2"/>
    <w:rsid w:val="001D1D2D"/>
    <w:rPr>
      <w:rFonts w:eastAsiaTheme="majorEastAsia" w:cs="Arial"/>
      <w:b/>
      <w:bCs/>
      <w:color w:val="4F81BD" w:themeColor="accent1"/>
      <w:sz w:val="22"/>
      <w:szCs w:val="22"/>
      <w:lang w:eastAsia="en-US"/>
    </w:rPr>
  </w:style>
  <w:style w:type="paragraph" w:customStyle="1" w:styleId="newid">
    <w:name w:val="newid"/>
    <w:basedOn w:val="para"/>
    <w:link w:val="newidCar"/>
    <w:qFormat/>
    <w:rsid w:val="001D1D2D"/>
    <w:pPr>
      <w:spacing w:before="180"/>
    </w:pPr>
  </w:style>
  <w:style w:type="character" w:customStyle="1" w:styleId="newidCar">
    <w:name w:val="newid Car"/>
    <w:basedOn w:val="paraCar"/>
    <w:link w:val="newid"/>
    <w:rsid w:val="001D1D2D"/>
    <w:rPr>
      <w:rFonts w:ascii="Palatino Linotype" w:eastAsia="Arial Unicode MS" w:hAnsi="Palatino Linotype"/>
      <w:sz w:val="22"/>
      <w:szCs w:val="22"/>
    </w:rPr>
  </w:style>
  <w:style w:type="paragraph" w:customStyle="1" w:styleId="tititre">
    <w:name w:val="tititre"/>
    <w:basedOn w:val="Normal"/>
    <w:link w:val="tititreCar"/>
    <w:qFormat/>
    <w:rsid w:val="001D1D2D"/>
    <w:pPr>
      <w:spacing w:before="240" w:after="120" w:line="360" w:lineRule="auto"/>
      <w:ind w:hanging="680"/>
    </w:pPr>
    <w:rPr>
      <w:rFonts w:ascii="Palatino Linotype" w:hAnsi="Palatino Linotype" w:cs="Arial"/>
      <w:szCs w:val="22"/>
      <w:u w:val="single"/>
    </w:rPr>
  </w:style>
  <w:style w:type="character" w:customStyle="1" w:styleId="tititreCar">
    <w:name w:val="tititre Car"/>
    <w:basedOn w:val="Policepardfaut"/>
    <w:link w:val="tititre"/>
    <w:rsid w:val="001D1D2D"/>
    <w:rPr>
      <w:rFonts w:ascii="Palatino Linotype" w:hAnsi="Palatino Linotype" w:cs="Arial"/>
      <w:sz w:val="22"/>
      <w:szCs w:val="22"/>
      <w:u w:val="single"/>
    </w:rPr>
  </w:style>
  <w:style w:type="character" w:customStyle="1" w:styleId="apple-converted-space">
    <w:name w:val="apple-converted-space"/>
    <w:basedOn w:val="Policepardfaut"/>
    <w:rsid w:val="00C502C6"/>
  </w:style>
  <w:style w:type="character" w:customStyle="1" w:styleId="surligne">
    <w:name w:val="surligne"/>
    <w:basedOn w:val="Policepardfaut"/>
    <w:rsid w:val="003B4C70"/>
  </w:style>
  <w:style w:type="character" w:styleId="Marquedecommentaire">
    <w:name w:val="annotation reference"/>
    <w:basedOn w:val="Policepardfaut"/>
    <w:uiPriority w:val="99"/>
    <w:rsid w:val="00A36D09"/>
    <w:rPr>
      <w:sz w:val="16"/>
      <w:szCs w:val="16"/>
    </w:rPr>
  </w:style>
  <w:style w:type="paragraph" w:styleId="Commentaire">
    <w:name w:val="annotation text"/>
    <w:basedOn w:val="Normal"/>
    <w:link w:val="CommentaireCar"/>
    <w:uiPriority w:val="99"/>
    <w:rsid w:val="00A36D09"/>
    <w:rPr>
      <w:sz w:val="20"/>
    </w:rPr>
  </w:style>
  <w:style w:type="character" w:customStyle="1" w:styleId="CommentaireCar">
    <w:name w:val="Commentaire Car"/>
    <w:basedOn w:val="Policepardfaut"/>
    <w:link w:val="Commentaire"/>
    <w:uiPriority w:val="99"/>
    <w:rsid w:val="00A36D09"/>
  </w:style>
  <w:style w:type="paragraph" w:styleId="Objetducommentaire">
    <w:name w:val="annotation subject"/>
    <w:basedOn w:val="Commentaire"/>
    <w:next w:val="Commentaire"/>
    <w:link w:val="ObjetducommentaireCar"/>
    <w:rsid w:val="00A36D09"/>
    <w:rPr>
      <w:b/>
      <w:bCs/>
    </w:rPr>
  </w:style>
  <w:style w:type="character" w:customStyle="1" w:styleId="ObjetducommentaireCar">
    <w:name w:val="Objet du commentaire Car"/>
    <w:basedOn w:val="CommentaireCar"/>
    <w:link w:val="Objetducommentaire"/>
    <w:rsid w:val="00A36D09"/>
    <w:rPr>
      <w:b/>
      <w:bCs/>
    </w:rPr>
  </w:style>
  <w:style w:type="character" w:styleId="Lienhypertextesuivivisit">
    <w:name w:val="FollowedHyperlink"/>
    <w:basedOn w:val="Policepardfaut"/>
    <w:rsid w:val="00E36875"/>
    <w:rPr>
      <w:color w:val="800080" w:themeColor="followedHyperlink"/>
      <w:u w:val="single"/>
    </w:rPr>
  </w:style>
  <w:style w:type="character" w:customStyle="1" w:styleId="NotedebasdepageCar">
    <w:name w:val="Note de bas de page Car"/>
    <w:basedOn w:val="Policepardfaut"/>
    <w:link w:val="Notedebasdepage"/>
    <w:semiHidden/>
    <w:rsid w:val="00AC7DEC"/>
    <w:rPr>
      <w:sz w:val="16"/>
    </w:rPr>
  </w:style>
  <w:style w:type="paragraph" w:styleId="Notedefin">
    <w:name w:val="endnote text"/>
    <w:basedOn w:val="Normal"/>
    <w:link w:val="NotedefinCar"/>
    <w:rsid w:val="001B40E5"/>
    <w:rPr>
      <w:sz w:val="20"/>
    </w:rPr>
  </w:style>
  <w:style w:type="character" w:customStyle="1" w:styleId="NotedefinCar">
    <w:name w:val="Note de fin Car"/>
    <w:basedOn w:val="Policepardfaut"/>
    <w:link w:val="Notedefin"/>
    <w:rsid w:val="001B40E5"/>
  </w:style>
  <w:style w:type="character" w:styleId="Appeldenotedefin">
    <w:name w:val="endnote reference"/>
    <w:basedOn w:val="Policepardfaut"/>
    <w:rsid w:val="001B40E5"/>
    <w:rPr>
      <w:vertAlign w:val="superscript"/>
    </w:rPr>
  </w:style>
  <w:style w:type="paragraph" w:customStyle="1" w:styleId="question">
    <w:name w:val="question"/>
    <w:basedOn w:val="newid"/>
    <w:link w:val="questionCar"/>
    <w:qFormat/>
    <w:rsid w:val="00424D0C"/>
    <w:pPr>
      <w:numPr>
        <w:numId w:val="41"/>
      </w:numPr>
    </w:pPr>
    <w:rPr>
      <w:rFonts w:eastAsia="Cambria"/>
      <w:color w:val="548DD4" w:themeColor="text2" w:themeTint="99"/>
      <w:lang w:eastAsia="en-US"/>
    </w:rPr>
  </w:style>
  <w:style w:type="paragraph" w:customStyle="1" w:styleId="rponse">
    <w:name w:val="réponse"/>
    <w:basedOn w:val="para"/>
    <w:link w:val="rponseCar"/>
    <w:qFormat/>
    <w:rsid w:val="00424D0C"/>
    <w:pPr>
      <w:ind w:firstLine="533"/>
    </w:pPr>
  </w:style>
  <w:style w:type="character" w:customStyle="1" w:styleId="questionCar">
    <w:name w:val="question Car"/>
    <w:basedOn w:val="newidCar"/>
    <w:link w:val="question"/>
    <w:rsid w:val="00424D0C"/>
    <w:rPr>
      <w:rFonts w:ascii="Palatino Linotype" w:eastAsia="Cambria" w:hAnsi="Palatino Linotype"/>
      <w:color w:val="548DD4" w:themeColor="text2" w:themeTint="99"/>
      <w:sz w:val="22"/>
      <w:szCs w:val="22"/>
      <w:lang w:eastAsia="en-US"/>
    </w:rPr>
  </w:style>
  <w:style w:type="character" w:customStyle="1" w:styleId="rponseCar">
    <w:name w:val="réponse Car"/>
    <w:basedOn w:val="paraCar"/>
    <w:link w:val="rponse"/>
    <w:rsid w:val="00424D0C"/>
    <w:rPr>
      <w:rFonts w:ascii="Palatino Linotype" w:eastAsia="Arial Unicode MS" w:hAnsi="Palatino Linotype"/>
      <w:sz w:val="22"/>
      <w:szCs w:val="22"/>
    </w:rPr>
  </w:style>
  <w:style w:type="paragraph" w:styleId="Rvision">
    <w:name w:val="Revision"/>
    <w:hidden/>
    <w:uiPriority w:val="99"/>
    <w:semiHidden/>
    <w:rsid w:val="001E772F"/>
    <w:rPr>
      <w:sz w:val="22"/>
    </w:rPr>
  </w:style>
  <w:style w:type="table" w:styleId="Grilledutableau">
    <w:name w:val="Table Grid"/>
    <w:basedOn w:val="TableauNormal"/>
    <w:rsid w:val="008D06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0594">
      <w:bodyDiv w:val="1"/>
      <w:marLeft w:val="0"/>
      <w:marRight w:val="0"/>
      <w:marTop w:val="0"/>
      <w:marBottom w:val="0"/>
      <w:divBdr>
        <w:top w:val="none" w:sz="0" w:space="0" w:color="auto"/>
        <w:left w:val="none" w:sz="0" w:space="0" w:color="auto"/>
        <w:bottom w:val="none" w:sz="0" w:space="0" w:color="auto"/>
        <w:right w:val="none" w:sz="0" w:space="0" w:color="auto"/>
      </w:divBdr>
    </w:div>
    <w:div w:id="62677145">
      <w:bodyDiv w:val="1"/>
      <w:marLeft w:val="0"/>
      <w:marRight w:val="0"/>
      <w:marTop w:val="0"/>
      <w:marBottom w:val="0"/>
      <w:divBdr>
        <w:top w:val="none" w:sz="0" w:space="0" w:color="auto"/>
        <w:left w:val="none" w:sz="0" w:space="0" w:color="auto"/>
        <w:bottom w:val="none" w:sz="0" w:space="0" w:color="auto"/>
        <w:right w:val="none" w:sz="0" w:space="0" w:color="auto"/>
      </w:divBdr>
    </w:div>
    <w:div w:id="78067855">
      <w:bodyDiv w:val="1"/>
      <w:marLeft w:val="0"/>
      <w:marRight w:val="0"/>
      <w:marTop w:val="0"/>
      <w:marBottom w:val="0"/>
      <w:divBdr>
        <w:top w:val="none" w:sz="0" w:space="0" w:color="auto"/>
        <w:left w:val="none" w:sz="0" w:space="0" w:color="auto"/>
        <w:bottom w:val="none" w:sz="0" w:space="0" w:color="auto"/>
        <w:right w:val="none" w:sz="0" w:space="0" w:color="auto"/>
      </w:divBdr>
    </w:div>
    <w:div w:id="181937551">
      <w:bodyDiv w:val="1"/>
      <w:marLeft w:val="0"/>
      <w:marRight w:val="0"/>
      <w:marTop w:val="0"/>
      <w:marBottom w:val="0"/>
      <w:divBdr>
        <w:top w:val="none" w:sz="0" w:space="0" w:color="auto"/>
        <w:left w:val="none" w:sz="0" w:space="0" w:color="auto"/>
        <w:bottom w:val="none" w:sz="0" w:space="0" w:color="auto"/>
        <w:right w:val="none" w:sz="0" w:space="0" w:color="auto"/>
      </w:divBdr>
    </w:div>
    <w:div w:id="257981304">
      <w:bodyDiv w:val="1"/>
      <w:marLeft w:val="0"/>
      <w:marRight w:val="0"/>
      <w:marTop w:val="0"/>
      <w:marBottom w:val="0"/>
      <w:divBdr>
        <w:top w:val="none" w:sz="0" w:space="0" w:color="auto"/>
        <w:left w:val="none" w:sz="0" w:space="0" w:color="auto"/>
        <w:bottom w:val="none" w:sz="0" w:space="0" w:color="auto"/>
        <w:right w:val="none" w:sz="0" w:space="0" w:color="auto"/>
      </w:divBdr>
    </w:div>
    <w:div w:id="348485629">
      <w:bodyDiv w:val="1"/>
      <w:marLeft w:val="0"/>
      <w:marRight w:val="0"/>
      <w:marTop w:val="0"/>
      <w:marBottom w:val="0"/>
      <w:divBdr>
        <w:top w:val="none" w:sz="0" w:space="0" w:color="auto"/>
        <w:left w:val="none" w:sz="0" w:space="0" w:color="auto"/>
        <w:bottom w:val="none" w:sz="0" w:space="0" w:color="auto"/>
        <w:right w:val="none" w:sz="0" w:space="0" w:color="auto"/>
      </w:divBdr>
    </w:div>
    <w:div w:id="393429702">
      <w:bodyDiv w:val="1"/>
      <w:marLeft w:val="0"/>
      <w:marRight w:val="0"/>
      <w:marTop w:val="0"/>
      <w:marBottom w:val="0"/>
      <w:divBdr>
        <w:top w:val="none" w:sz="0" w:space="0" w:color="auto"/>
        <w:left w:val="none" w:sz="0" w:space="0" w:color="auto"/>
        <w:bottom w:val="none" w:sz="0" w:space="0" w:color="auto"/>
        <w:right w:val="none" w:sz="0" w:space="0" w:color="auto"/>
      </w:divBdr>
    </w:div>
    <w:div w:id="400955110">
      <w:bodyDiv w:val="1"/>
      <w:marLeft w:val="0"/>
      <w:marRight w:val="0"/>
      <w:marTop w:val="0"/>
      <w:marBottom w:val="0"/>
      <w:divBdr>
        <w:top w:val="none" w:sz="0" w:space="0" w:color="auto"/>
        <w:left w:val="none" w:sz="0" w:space="0" w:color="auto"/>
        <w:bottom w:val="none" w:sz="0" w:space="0" w:color="auto"/>
        <w:right w:val="none" w:sz="0" w:space="0" w:color="auto"/>
      </w:divBdr>
    </w:div>
    <w:div w:id="459808304">
      <w:bodyDiv w:val="1"/>
      <w:marLeft w:val="0"/>
      <w:marRight w:val="0"/>
      <w:marTop w:val="0"/>
      <w:marBottom w:val="0"/>
      <w:divBdr>
        <w:top w:val="none" w:sz="0" w:space="0" w:color="auto"/>
        <w:left w:val="none" w:sz="0" w:space="0" w:color="auto"/>
        <w:bottom w:val="none" w:sz="0" w:space="0" w:color="auto"/>
        <w:right w:val="none" w:sz="0" w:space="0" w:color="auto"/>
      </w:divBdr>
    </w:div>
    <w:div w:id="688796226">
      <w:bodyDiv w:val="1"/>
      <w:marLeft w:val="0"/>
      <w:marRight w:val="0"/>
      <w:marTop w:val="0"/>
      <w:marBottom w:val="0"/>
      <w:divBdr>
        <w:top w:val="none" w:sz="0" w:space="0" w:color="auto"/>
        <w:left w:val="none" w:sz="0" w:space="0" w:color="auto"/>
        <w:bottom w:val="none" w:sz="0" w:space="0" w:color="auto"/>
        <w:right w:val="none" w:sz="0" w:space="0" w:color="auto"/>
      </w:divBdr>
    </w:div>
    <w:div w:id="777024655">
      <w:bodyDiv w:val="1"/>
      <w:marLeft w:val="0"/>
      <w:marRight w:val="0"/>
      <w:marTop w:val="0"/>
      <w:marBottom w:val="0"/>
      <w:divBdr>
        <w:top w:val="none" w:sz="0" w:space="0" w:color="auto"/>
        <w:left w:val="none" w:sz="0" w:space="0" w:color="auto"/>
        <w:bottom w:val="none" w:sz="0" w:space="0" w:color="auto"/>
        <w:right w:val="none" w:sz="0" w:space="0" w:color="auto"/>
      </w:divBdr>
    </w:div>
    <w:div w:id="802188755">
      <w:bodyDiv w:val="1"/>
      <w:marLeft w:val="0"/>
      <w:marRight w:val="0"/>
      <w:marTop w:val="0"/>
      <w:marBottom w:val="0"/>
      <w:divBdr>
        <w:top w:val="none" w:sz="0" w:space="0" w:color="auto"/>
        <w:left w:val="none" w:sz="0" w:space="0" w:color="auto"/>
        <w:bottom w:val="none" w:sz="0" w:space="0" w:color="auto"/>
        <w:right w:val="none" w:sz="0" w:space="0" w:color="auto"/>
      </w:divBdr>
    </w:div>
    <w:div w:id="852301465">
      <w:bodyDiv w:val="1"/>
      <w:marLeft w:val="0"/>
      <w:marRight w:val="0"/>
      <w:marTop w:val="0"/>
      <w:marBottom w:val="0"/>
      <w:divBdr>
        <w:top w:val="none" w:sz="0" w:space="0" w:color="auto"/>
        <w:left w:val="none" w:sz="0" w:space="0" w:color="auto"/>
        <w:bottom w:val="none" w:sz="0" w:space="0" w:color="auto"/>
        <w:right w:val="none" w:sz="0" w:space="0" w:color="auto"/>
      </w:divBdr>
    </w:div>
    <w:div w:id="887304525">
      <w:bodyDiv w:val="1"/>
      <w:marLeft w:val="0"/>
      <w:marRight w:val="0"/>
      <w:marTop w:val="0"/>
      <w:marBottom w:val="0"/>
      <w:divBdr>
        <w:top w:val="none" w:sz="0" w:space="0" w:color="auto"/>
        <w:left w:val="none" w:sz="0" w:space="0" w:color="auto"/>
        <w:bottom w:val="none" w:sz="0" w:space="0" w:color="auto"/>
        <w:right w:val="none" w:sz="0" w:space="0" w:color="auto"/>
      </w:divBdr>
    </w:div>
    <w:div w:id="1009675296">
      <w:bodyDiv w:val="1"/>
      <w:marLeft w:val="0"/>
      <w:marRight w:val="0"/>
      <w:marTop w:val="0"/>
      <w:marBottom w:val="0"/>
      <w:divBdr>
        <w:top w:val="none" w:sz="0" w:space="0" w:color="auto"/>
        <w:left w:val="none" w:sz="0" w:space="0" w:color="auto"/>
        <w:bottom w:val="none" w:sz="0" w:space="0" w:color="auto"/>
        <w:right w:val="none" w:sz="0" w:space="0" w:color="auto"/>
      </w:divBdr>
    </w:div>
    <w:div w:id="1095831990">
      <w:bodyDiv w:val="1"/>
      <w:marLeft w:val="0"/>
      <w:marRight w:val="0"/>
      <w:marTop w:val="0"/>
      <w:marBottom w:val="0"/>
      <w:divBdr>
        <w:top w:val="none" w:sz="0" w:space="0" w:color="auto"/>
        <w:left w:val="none" w:sz="0" w:space="0" w:color="auto"/>
        <w:bottom w:val="none" w:sz="0" w:space="0" w:color="auto"/>
        <w:right w:val="none" w:sz="0" w:space="0" w:color="auto"/>
      </w:divBdr>
    </w:div>
    <w:div w:id="1178930122">
      <w:bodyDiv w:val="1"/>
      <w:marLeft w:val="0"/>
      <w:marRight w:val="0"/>
      <w:marTop w:val="0"/>
      <w:marBottom w:val="0"/>
      <w:divBdr>
        <w:top w:val="none" w:sz="0" w:space="0" w:color="auto"/>
        <w:left w:val="none" w:sz="0" w:space="0" w:color="auto"/>
        <w:bottom w:val="none" w:sz="0" w:space="0" w:color="auto"/>
        <w:right w:val="none" w:sz="0" w:space="0" w:color="auto"/>
      </w:divBdr>
    </w:div>
    <w:div w:id="1215890555">
      <w:bodyDiv w:val="1"/>
      <w:marLeft w:val="0"/>
      <w:marRight w:val="0"/>
      <w:marTop w:val="0"/>
      <w:marBottom w:val="0"/>
      <w:divBdr>
        <w:top w:val="none" w:sz="0" w:space="0" w:color="auto"/>
        <w:left w:val="none" w:sz="0" w:space="0" w:color="auto"/>
        <w:bottom w:val="none" w:sz="0" w:space="0" w:color="auto"/>
        <w:right w:val="none" w:sz="0" w:space="0" w:color="auto"/>
      </w:divBdr>
    </w:div>
    <w:div w:id="1218660869">
      <w:bodyDiv w:val="1"/>
      <w:marLeft w:val="0"/>
      <w:marRight w:val="0"/>
      <w:marTop w:val="0"/>
      <w:marBottom w:val="0"/>
      <w:divBdr>
        <w:top w:val="none" w:sz="0" w:space="0" w:color="auto"/>
        <w:left w:val="none" w:sz="0" w:space="0" w:color="auto"/>
        <w:bottom w:val="none" w:sz="0" w:space="0" w:color="auto"/>
        <w:right w:val="none" w:sz="0" w:space="0" w:color="auto"/>
      </w:divBdr>
    </w:div>
    <w:div w:id="1355573661">
      <w:bodyDiv w:val="1"/>
      <w:marLeft w:val="0"/>
      <w:marRight w:val="0"/>
      <w:marTop w:val="0"/>
      <w:marBottom w:val="0"/>
      <w:divBdr>
        <w:top w:val="none" w:sz="0" w:space="0" w:color="auto"/>
        <w:left w:val="none" w:sz="0" w:space="0" w:color="auto"/>
        <w:bottom w:val="none" w:sz="0" w:space="0" w:color="auto"/>
        <w:right w:val="none" w:sz="0" w:space="0" w:color="auto"/>
      </w:divBdr>
    </w:div>
    <w:div w:id="1357386520">
      <w:bodyDiv w:val="1"/>
      <w:marLeft w:val="0"/>
      <w:marRight w:val="0"/>
      <w:marTop w:val="0"/>
      <w:marBottom w:val="0"/>
      <w:divBdr>
        <w:top w:val="none" w:sz="0" w:space="0" w:color="auto"/>
        <w:left w:val="none" w:sz="0" w:space="0" w:color="auto"/>
        <w:bottom w:val="none" w:sz="0" w:space="0" w:color="auto"/>
        <w:right w:val="none" w:sz="0" w:space="0" w:color="auto"/>
      </w:divBdr>
    </w:div>
    <w:div w:id="1560089937">
      <w:bodyDiv w:val="1"/>
      <w:marLeft w:val="0"/>
      <w:marRight w:val="0"/>
      <w:marTop w:val="0"/>
      <w:marBottom w:val="0"/>
      <w:divBdr>
        <w:top w:val="none" w:sz="0" w:space="0" w:color="auto"/>
        <w:left w:val="none" w:sz="0" w:space="0" w:color="auto"/>
        <w:bottom w:val="none" w:sz="0" w:space="0" w:color="auto"/>
        <w:right w:val="none" w:sz="0" w:space="0" w:color="auto"/>
      </w:divBdr>
    </w:div>
    <w:div w:id="1565219185">
      <w:bodyDiv w:val="1"/>
      <w:marLeft w:val="0"/>
      <w:marRight w:val="0"/>
      <w:marTop w:val="0"/>
      <w:marBottom w:val="0"/>
      <w:divBdr>
        <w:top w:val="none" w:sz="0" w:space="0" w:color="auto"/>
        <w:left w:val="none" w:sz="0" w:space="0" w:color="auto"/>
        <w:bottom w:val="none" w:sz="0" w:space="0" w:color="auto"/>
        <w:right w:val="none" w:sz="0" w:space="0" w:color="auto"/>
      </w:divBdr>
    </w:div>
    <w:div w:id="1583023790">
      <w:bodyDiv w:val="1"/>
      <w:marLeft w:val="0"/>
      <w:marRight w:val="0"/>
      <w:marTop w:val="0"/>
      <w:marBottom w:val="0"/>
      <w:divBdr>
        <w:top w:val="none" w:sz="0" w:space="0" w:color="auto"/>
        <w:left w:val="none" w:sz="0" w:space="0" w:color="auto"/>
        <w:bottom w:val="none" w:sz="0" w:space="0" w:color="auto"/>
        <w:right w:val="none" w:sz="0" w:space="0" w:color="auto"/>
      </w:divBdr>
    </w:div>
    <w:div w:id="1627808486">
      <w:bodyDiv w:val="1"/>
      <w:marLeft w:val="0"/>
      <w:marRight w:val="0"/>
      <w:marTop w:val="0"/>
      <w:marBottom w:val="0"/>
      <w:divBdr>
        <w:top w:val="none" w:sz="0" w:space="0" w:color="auto"/>
        <w:left w:val="none" w:sz="0" w:space="0" w:color="auto"/>
        <w:bottom w:val="none" w:sz="0" w:space="0" w:color="auto"/>
        <w:right w:val="none" w:sz="0" w:space="0" w:color="auto"/>
      </w:divBdr>
    </w:div>
    <w:div w:id="1775247954">
      <w:bodyDiv w:val="1"/>
      <w:marLeft w:val="0"/>
      <w:marRight w:val="0"/>
      <w:marTop w:val="0"/>
      <w:marBottom w:val="0"/>
      <w:divBdr>
        <w:top w:val="none" w:sz="0" w:space="0" w:color="auto"/>
        <w:left w:val="none" w:sz="0" w:space="0" w:color="auto"/>
        <w:bottom w:val="none" w:sz="0" w:space="0" w:color="auto"/>
        <w:right w:val="none" w:sz="0" w:space="0" w:color="auto"/>
      </w:divBdr>
    </w:div>
    <w:div w:id="1787772333">
      <w:bodyDiv w:val="1"/>
      <w:marLeft w:val="0"/>
      <w:marRight w:val="0"/>
      <w:marTop w:val="0"/>
      <w:marBottom w:val="0"/>
      <w:divBdr>
        <w:top w:val="none" w:sz="0" w:space="0" w:color="auto"/>
        <w:left w:val="none" w:sz="0" w:space="0" w:color="auto"/>
        <w:bottom w:val="none" w:sz="0" w:space="0" w:color="auto"/>
        <w:right w:val="none" w:sz="0" w:space="0" w:color="auto"/>
      </w:divBdr>
    </w:div>
    <w:div w:id="1808013104">
      <w:bodyDiv w:val="1"/>
      <w:marLeft w:val="0"/>
      <w:marRight w:val="0"/>
      <w:marTop w:val="0"/>
      <w:marBottom w:val="0"/>
      <w:divBdr>
        <w:top w:val="none" w:sz="0" w:space="0" w:color="auto"/>
        <w:left w:val="none" w:sz="0" w:space="0" w:color="auto"/>
        <w:bottom w:val="none" w:sz="0" w:space="0" w:color="auto"/>
        <w:right w:val="none" w:sz="0" w:space="0" w:color="auto"/>
      </w:divBdr>
    </w:div>
    <w:div w:id="1879973196">
      <w:bodyDiv w:val="1"/>
      <w:marLeft w:val="0"/>
      <w:marRight w:val="0"/>
      <w:marTop w:val="0"/>
      <w:marBottom w:val="0"/>
      <w:divBdr>
        <w:top w:val="none" w:sz="0" w:space="0" w:color="auto"/>
        <w:left w:val="none" w:sz="0" w:space="0" w:color="auto"/>
        <w:bottom w:val="none" w:sz="0" w:space="0" w:color="auto"/>
        <w:right w:val="none" w:sz="0" w:space="0" w:color="auto"/>
      </w:divBdr>
    </w:div>
    <w:div w:id="1888106010">
      <w:bodyDiv w:val="1"/>
      <w:marLeft w:val="0"/>
      <w:marRight w:val="0"/>
      <w:marTop w:val="0"/>
      <w:marBottom w:val="0"/>
      <w:divBdr>
        <w:top w:val="none" w:sz="0" w:space="0" w:color="auto"/>
        <w:left w:val="none" w:sz="0" w:space="0" w:color="auto"/>
        <w:bottom w:val="none" w:sz="0" w:space="0" w:color="auto"/>
        <w:right w:val="none" w:sz="0" w:space="0" w:color="auto"/>
      </w:divBdr>
    </w:div>
    <w:div w:id="1924416682">
      <w:bodyDiv w:val="1"/>
      <w:marLeft w:val="0"/>
      <w:marRight w:val="0"/>
      <w:marTop w:val="0"/>
      <w:marBottom w:val="0"/>
      <w:divBdr>
        <w:top w:val="none" w:sz="0" w:space="0" w:color="auto"/>
        <w:left w:val="none" w:sz="0" w:space="0" w:color="auto"/>
        <w:bottom w:val="none" w:sz="0" w:space="0" w:color="auto"/>
        <w:right w:val="none" w:sz="0" w:space="0" w:color="auto"/>
      </w:divBdr>
    </w:div>
    <w:div w:id="207920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egifrance.gouv.fr/affichCodeArticle.do?cidTexte=LEGITEXT000006072665&amp;idArticle=LEGIARTI000006686118&amp;dateTexte=&amp;categorieLien=cid" TargetMode="External"/><Relationship Id="rId18" Type="http://schemas.openxmlformats.org/officeDocument/2006/relationships/hyperlink" Target="http://www.legifrance.gouv.fr/affichTexte.do?cidTexte=JORFTEXT000000234122&amp;dateTexte" TargetMode="External"/><Relationship Id="rId26" Type="http://schemas.openxmlformats.org/officeDocument/2006/relationships/hyperlink" Target="http://www.legifrance.gouv.fr/affichCodeArticle.do;jsessionid=7EFB116486CB81D6A76446AEEAA91A55.tpdjo16v_2?cidTexte=LEGITEXT000006072665&amp;idArticle=LEGIARTI000006685992&amp;dateTexte=&amp;categorieLien=cid" TargetMode="Externa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legifrance.gouv.fr/affichTexte.do?cidTexte=JORFTEXT000019144094" TargetMode="External"/><Relationship Id="rId17" Type="http://schemas.openxmlformats.org/officeDocument/2006/relationships/hyperlink" Target="http://www.legifrance.gouv.fr/affichCodeArticle.do;jsessionid=3C0C534FED459512864C801F2D7F996F.tpdjo08v_1?cidTexte=LEGITEXT000006072665&amp;idArticle=LEGIARTI000006686118&amp;dateTexte=&amp;categorieLien=cid" TargetMode="External"/><Relationship Id="rId25" Type="http://schemas.openxmlformats.org/officeDocument/2006/relationships/hyperlink" Target="http://www.legifrance.gouv.fr/affichTexteArticle.do;jsessionid=7EFB116486CB81D6A76446AEEAA91A55.tpdjo16v_2?cidTexte=JORFTEXT000020879475&amp;idArticle=LEGIARTI000020881122&amp;dateTexte=20110326&amp;categorieLien=id"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egifrance.gouv.fr/affichCodeArticle.do;jsessionid=3C0C534FED459512864C801F2D7F996F.tpdjo08v_1?cidTexte=LEGITEXT000006072665&amp;idArticle=LEGIARTI000006690344&amp;dateTexte=&amp;categorieLien=cid" TargetMode="External"/><Relationship Id="rId20" Type="http://schemas.openxmlformats.org/officeDocument/2006/relationships/hyperlink" Target="https://www.legifrance.gouv.fr/affichCodeArticle.do?cidTexte=LEGITEXT000006073984&amp;idArticle=LEGIARTI000030576281" TargetMode="External"/><Relationship Id="rId29" Type="http://schemas.openxmlformats.org/officeDocument/2006/relationships/hyperlink" Target="http://www.legifrance.gouv.fr/affichTexteArticle.do;jsessionid=7EFB116486CB81D6A76446AEEAA91A55.tpdjo16v_2?cidTexte=JORFTEXT000000625158&amp;idArticle=LEGIARTI000006758943&amp;dateTexte=20120907&amp;categorieLien=i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gifrance.gouv.fr/affichCodeArticle.do?cidTexte=LEGITEXT000006072665&amp;idArticle=LEGIARTI000020891399&amp;dateTexte=20110326" TargetMode="External"/><Relationship Id="rId24" Type="http://schemas.openxmlformats.org/officeDocument/2006/relationships/hyperlink" Target="http://legifrance.gouv.fr/affichCode.do?cidTexte=LEGITEXT000006072665" TargetMode="External"/><Relationship Id="rId32" Type="http://schemas.openxmlformats.org/officeDocument/2006/relationships/hyperlink" Target="https://www.legifrance.gouv.fr/affichCodeArticle.do?idArticle=LEGIARTI000006796162&amp;cidTexte=LEGITEXT000006073984&amp;dateTexte=20160502&amp;oldAction=rechCodeArticle&amp;fastReqId=1604469515&amp;nbResultRech=1" TargetMode="External"/><Relationship Id="rId5" Type="http://schemas.openxmlformats.org/officeDocument/2006/relationships/settings" Target="settings.xml"/><Relationship Id="rId15" Type="http://schemas.openxmlformats.org/officeDocument/2006/relationships/hyperlink" Target="http://www.legifrance.gouv.fr/affichCodeArticle.do?cidTexte=LEGITEXT000006072665&amp;idArticle=LEGIARTI000006913381&amp;dateTexte=20120122" TargetMode="External"/><Relationship Id="rId23" Type="http://schemas.openxmlformats.org/officeDocument/2006/relationships/image" Target="media/image2.emf"/><Relationship Id="rId28" Type="http://schemas.openxmlformats.org/officeDocument/2006/relationships/hyperlink" Target="http://www.legifrance.gouv.fr/affichCodeArticle.do;jsessionid=7EFB116486CB81D6A76446AEEAA91A55.tpdjo16v_2?cidTexte=LEGITEXT000006072665&amp;idArticle=LEGIARTI000006686118&amp;dateTexte=&amp;categorieLien=cid" TargetMode="External"/><Relationship Id="rId10" Type="http://schemas.openxmlformats.org/officeDocument/2006/relationships/hyperlink" Target="http://www.legifrance.gouv.fr/affichTexte.do?cidTexte=JORFTEXT000000822417&amp;dateTexte=&amp;categorieLien=id" TargetMode="External"/><Relationship Id="rId19" Type="http://schemas.openxmlformats.org/officeDocument/2006/relationships/hyperlink" Target="https://www.legifrance.gouv.fr/affichCodeArticle.do?cidTexte=LEGITEXT000006073984&amp;idArticle=LEGIARTI000030576281" TargetMode="External"/><Relationship Id="rId31" Type="http://schemas.openxmlformats.org/officeDocument/2006/relationships/hyperlink" Target="affichTexteArticle.do;jsessionid=3ACD3DE8F525C34CD0E8AB97A04D32AF.tpdjo10v_3?cidTexte=JORFTEXT000000266492&amp;idArticle=LEGIARTI000006253232&amp;dateTexte=20101112&amp;categorieLien=id"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legifrance.gouv.fr/affichCodeArticle.do?cidTexte=LEGITEXT000006072665&amp;idArticle=LEGIARTI000006688891&amp;dateTexte=&amp;categorieLien=cid" TargetMode="External"/><Relationship Id="rId22" Type="http://schemas.openxmlformats.org/officeDocument/2006/relationships/footer" Target="footer1.xml"/><Relationship Id="rId27" Type="http://schemas.openxmlformats.org/officeDocument/2006/relationships/hyperlink" Target="http://www.legifrance.gouv.fr/affichCodeArticle.do;jsessionid=7EFB116486CB81D6A76446AEEAA91A55.tpdjo16v_2?cidTexte=LEGITEXT000006072665&amp;idArticle=LEGIARTI000006690344&amp;dateTexte=&amp;categorieLien=cid" TargetMode="External"/><Relationship Id="rId30" Type="http://schemas.openxmlformats.org/officeDocument/2006/relationships/hyperlink" Target="http://www.legifrance.gouv.fr/affichCodeArticle.do;jsessionid=7EFB116486CB81D6A76446AEEAA91A55.tpdjo16v_2?cidTexte=LEGITEXT000006072665&amp;idArticle=LEGIARTI000006687005&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42D19-C154-461C-8393-E0EE26F38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E98E8CA1.dotm</Template>
  <TotalTime>406</TotalTime>
  <Pages>14</Pages>
  <Words>4457</Words>
  <Characters>27961</Characters>
  <Application>Microsoft Office Word</Application>
  <DocSecurity>0</DocSecurity>
  <Lines>233</Lines>
  <Paragraphs>64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32354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GANDOLPHE</dc:creator>
  <cp:lastModifiedBy>Cyril GRUFFAT</cp:lastModifiedBy>
  <cp:revision>14</cp:revision>
  <cp:lastPrinted>2015-01-23T11:00:00Z</cp:lastPrinted>
  <dcterms:created xsi:type="dcterms:W3CDTF">2016-04-11T15:57:00Z</dcterms:created>
  <dcterms:modified xsi:type="dcterms:W3CDTF">2016-07-22T07:51:00Z</dcterms:modified>
</cp:coreProperties>
</file>