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B994" w14:textId="77777777" w:rsidR="00EB4EDC" w:rsidRDefault="00EB4EDC" w:rsidP="00EB4EDC">
      <w:r>
        <w:rPr>
          <w:noProof/>
          <w:lang w:val="en-GB" w:eastAsia="en-GB"/>
        </w:rPr>
        <w:drawing>
          <wp:inline distT="0" distB="0" distL="0" distR="0" wp14:anchorId="1CD9977D" wp14:editId="6295525A">
            <wp:extent cx="886460" cy="876300"/>
            <wp:effectExtent l="0" t="0" r="889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876300"/>
                    </a:xfrm>
                    <a:prstGeom prst="rect">
                      <a:avLst/>
                    </a:prstGeom>
                    <a:noFill/>
                    <a:ln>
                      <a:noFill/>
                    </a:ln>
                  </pic:spPr>
                </pic:pic>
              </a:graphicData>
            </a:graphic>
          </wp:inline>
        </w:drawing>
      </w:r>
    </w:p>
    <w:p w14:paraId="2F7B2827" w14:textId="77777777" w:rsidR="00EB4EDC" w:rsidRDefault="00EB4EDC" w:rsidP="00EB4EDC"/>
    <w:p w14:paraId="22C01B4A" w14:textId="77777777" w:rsidR="00EB4EDC" w:rsidRDefault="00EB4EDC" w:rsidP="00EB4EDC">
      <w:pPr>
        <w:spacing w:line="240" w:lineRule="auto"/>
        <w:jc w:val="both"/>
        <w:rPr>
          <w:rFonts w:ascii="Arial" w:eastAsia="Times New Roman" w:hAnsi="Arial" w:cs="Arial"/>
          <w:b/>
          <w:color w:val="1F497D" w:themeColor="text2"/>
          <w:u w:val="single"/>
          <w:lang w:eastAsia="fr-FR"/>
        </w:rPr>
      </w:pPr>
      <w:r>
        <w:rPr>
          <w:noProof/>
          <w:lang w:val="en-GB" w:eastAsia="en-GB"/>
        </w:rPr>
        <mc:AlternateContent>
          <mc:Choice Requires="wps">
            <w:drawing>
              <wp:anchor distT="91440" distB="91440" distL="114300" distR="114300" simplePos="0" relativeHeight="251661312" behindDoc="0" locked="0" layoutInCell="0" allowOverlap="1" wp14:anchorId="15852C87" wp14:editId="3109E4C0">
                <wp:simplePos x="0" y="0"/>
                <wp:positionH relativeFrom="margin">
                  <wp:posOffset>509270</wp:posOffset>
                </wp:positionH>
                <wp:positionV relativeFrom="margin">
                  <wp:posOffset>1253490</wp:posOffset>
                </wp:positionV>
                <wp:extent cx="4867275" cy="1494790"/>
                <wp:effectExtent l="38100" t="38100" r="142875" b="12192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149479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4B97A1D" w14:textId="77777777" w:rsidR="004A1167" w:rsidRPr="002A75B9" w:rsidRDefault="004A1167" w:rsidP="00EB4EDC">
                            <w:pPr>
                              <w:ind w:left="-2268" w:firstLine="2268"/>
                              <w:jc w:val="center"/>
                              <w:rPr>
                                <w:b/>
                                <w:color w:val="1F497D" w:themeColor="text2"/>
                                <w:sz w:val="32"/>
                                <w:szCs w:val="32"/>
                              </w:rPr>
                            </w:pPr>
                            <w:r w:rsidRPr="002A75B9">
                              <w:rPr>
                                <w:b/>
                                <w:color w:val="1F497D" w:themeColor="text2"/>
                                <w:sz w:val="32"/>
                                <w:szCs w:val="32"/>
                              </w:rPr>
                              <w:t>Formulaire de demande d’agrément</w:t>
                            </w:r>
                          </w:p>
                          <w:p w14:paraId="2A8E5579" w14:textId="77777777" w:rsidR="004A1167" w:rsidRPr="002A75B9" w:rsidRDefault="004A1167" w:rsidP="00EB4EDC">
                            <w:pPr>
                              <w:ind w:left="-2268" w:firstLine="2268"/>
                              <w:jc w:val="center"/>
                              <w:rPr>
                                <w:b/>
                                <w:color w:val="1F497D" w:themeColor="text2"/>
                                <w:sz w:val="40"/>
                                <w:szCs w:val="40"/>
                              </w:rPr>
                            </w:pPr>
                            <w:r w:rsidRPr="002A75B9">
                              <w:rPr>
                                <w:b/>
                                <w:color w:val="1F497D" w:themeColor="text2"/>
                                <w:sz w:val="40"/>
                                <w:szCs w:val="40"/>
                              </w:rPr>
                              <w:t>Établissement de paiement</w:t>
                            </w:r>
                          </w:p>
                          <w:p w14:paraId="21F0EFC9" w14:textId="74DFA571" w:rsidR="004A1167" w:rsidRPr="00EB4EDC" w:rsidRDefault="004A1167" w:rsidP="00EB4EDC">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5852C87" id="Rectangle 4" o:spid="_x0000_s1026" style="position:absolute;left:0;text-align:left;margin-left:40.1pt;margin-top:98.7pt;width:383.25pt;height:117.7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" o:allowincell="f" fillcolor="white [3212]" strokecolor="gray [1629]" strokeweight="1.5pt">
                <v:shadow on="t" type="perspective" color="black" opacity="26214f" origin="-.5,-.5" offset=".74836mm,.74836mm" matrix="65864f,,,65864f"/>
                <v:textbox style="mso-fit-shape-to-text:t" inset="21.6pt,21.6pt,21.6pt,21.6pt">
                  <w:txbxContent>
                    <w:p w14:paraId="14B97A1D" w14:textId="77777777" w:rsidR="004A1167" w:rsidRPr="002A75B9" w:rsidRDefault="004A1167" w:rsidP="00EB4EDC">
                      <w:pPr>
                        <w:ind w:left="-2268" w:firstLine="2268"/>
                        <w:jc w:val="center"/>
                        <w:rPr>
                          <w:b/>
                          <w:color w:val="1F497D" w:themeColor="text2"/>
                          <w:sz w:val="32"/>
                          <w:szCs w:val="32"/>
                        </w:rPr>
                      </w:pPr>
                      <w:r w:rsidRPr="002A75B9">
                        <w:rPr>
                          <w:b/>
                          <w:color w:val="1F497D" w:themeColor="text2"/>
                          <w:sz w:val="32"/>
                          <w:szCs w:val="32"/>
                        </w:rPr>
                        <w:t>Formulaire de demande d’agrément</w:t>
                      </w:r>
                    </w:p>
                    <w:p w14:paraId="2A8E5579" w14:textId="77777777" w:rsidR="004A1167" w:rsidRPr="002A75B9" w:rsidRDefault="004A1167" w:rsidP="00EB4EDC">
                      <w:pPr>
                        <w:ind w:left="-2268" w:firstLine="2268"/>
                        <w:jc w:val="center"/>
                        <w:rPr>
                          <w:b/>
                          <w:color w:val="1F497D" w:themeColor="text2"/>
                          <w:sz w:val="40"/>
                          <w:szCs w:val="40"/>
                        </w:rPr>
                      </w:pPr>
                      <w:r w:rsidRPr="002A75B9">
                        <w:rPr>
                          <w:b/>
                          <w:color w:val="1F497D" w:themeColor="text2"/>
                          <w:sz w:val="40"/>
                          <w:szCs w:val="40"/>
                        </w:rPr>
                        <w:t>Établissement de paiement</w:t>
                      </w:r>
                    </w:p>
                    <w:p w14:paraId="21F0EFC9" w14:textId="74DFA571" w:rsidR="004A1167" w:rsidRPr="00EB4EDC" w:rsidRDefault="004A1167" w:rsidP="00EB4EDC">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3EE3A56C" w14:textId="77777777" w:rsidR="00EB4EDC" w:rsidRDefault="00EB4EDC" w:rsidP="00EB4EDC">
      <w:pPr>
        <w:spacing w:line="240" w:lineRule="auto"/>
        <w:jc w:val="both"/>
        <w:rPr>
          <w:rFonts w:ascii="Arial" w:eastAsia="Times New Roman" w:hAnsi="Arial" w:cs="Arial"/>
          <w:b/>
          <w:color w:val="1F497D" w:themeColor="text2"/>
          <w:u w:val="single"/>
          <w:lang w:eastAsia="fr-FR"/>
        </w:rPr>
      </w:pPr>
    </w:p>
    <w:p w14:paraId="3E4DFB46" w14:textId="77777777" w:rsidR="00EB4EDC" w:rsidRDefault="00EB4EDC" w:rsidP="00EB4EDC">
      <w:pPr>
        <w:rPr>
          <w:rFonts w:ascii="Arial" w:eastAsia="Times New Roman" w:hAnsi="Arial" w:cs="Arial"/>
          <w:b/>
          <w:sz w:val="20"/>
          <w:szCs w:val="20"/>
          <w:u w:val="single"/>
          <w:lang w:eastAsia="fr-FR"/>
        </w:rPr>
      </w:pPr>
    </w:p>
    <w:p w14:paraId="50AD7A81" w14:textId="77777777" w:rsidR="00EB4EDC" w:rsidRDefault="00EB4EDC" w:rsidP="00EB4EDC">
      <w:pPr>
        <w:spacing w:line="240" w:lineRule="auto"/>
        <w:jc w:val="both"/>
        <w:rPr>
          <w:rFonts w:ascii="Arial" w:eastAsia="Times New Roman" w:hAnsi="Arial" w:cs="Arial"/>
          <w:b/>
          <w:sz w:val="20"/>
          <w:szCs w:val="20"/>
          <w:u w:val="single"/>
          <w:lang w:eastAsia="fr-FR"/>
        </w:rPr>
      </w:pPr>
    </w:p>
    <w:p w14:paraId="2A418B0B" w14:textId="77777777" w:rsidR="00EB4EDC" w:rsidRDefault="00EB4EDC" w:rsidP="00EB4EDC">
      <w:pPr>
        <w:spacing w:line="240" w:lineRule="auto"/>
        <w:jc w:val="both"/>
        <w:rPr>
          <w:rFonts w:ascii="Arial" w:eastAsia="Times New Roman" w:hAnsi="Arial" w:cs="Arial"/>
          <w:b/>
          <w:sz w:val="20"/>
          <w:szCs w:val="20"/>
          <w:u w:val="single"/>
          <w:lang w:eastAsia="fr-FR"/>
        </w:rPr>
      </w:pPr>
    </w:p>
    <w:p w14:paraId="2F7FF938" w14:textId="77777777" w:rsidR="00EB4EDC" w:rsidRDefault="00EB4EDC" w:rsidP="00EB4EDC">
      <w:pPr>
        <w:spacing w:line="240" w:lineRule="auto"/>
        <w:jc w:val="both"/>
        <w:rPr>
          <w:rFonts w:ascii="Arial" w:eastAsia="Times New Roman" w:hAnsi="Arial" w:cs="Arial"/>
          <w:b/>
          <w:sz w:val="20"/>
          <w:szCs w:val="20"/>
          <w:u w:val="single"/>
          <w:lang w:eastAsia="fr-FR"/>
        </w:rPr>
      </w:pPr>
    </w:p>
    <w:p w14:paraId="5B88931D" w14:textId="77777777" w:rsidR="00EB4EDC" w:rsidRDefault="00EB4EDC" w:rsidP="00EB4EDC">
      <w:pPr>
        <w:spacing w:line="240" w:lineRule="auto"/>
        <w:jc w:val="both"/>
        <w:rPr>
          <w:rFonts w:ascii="Arial" w:eastAsia="Times New Roman" w:hAnsi="Arial" w:cs="Arial"/>
          <w:b/>
          <w:sz w:val="20"/>
          <w:szCs w:val="20"/>
          <w:u w:val="single"/>
          <w:lang w:eastAsia="fr-FR"/>
        </w:rPr>
      </w:pPr>
    </w:p>
    <w:p w14:paraId="21809B1A" w14:textId="77777777" w:rsidR="00EB4EDC" w:rsidRDefault="00EB4EDC" w:rsidP="00EB4EDC">
      <w:pPr>
        <w:spacing w:line="240" w:lineRule="auto"/>
        <w:jc w:val="both"/>
        <w:rPr>
          <w:rFonts w:ascii="Arial" w:eastAsia="Times New Roman" w:hAnsi="Arial" w:cs="Arial"/>
          <w:b/>
          <w:sz w:val="20"/>
          <w:szCs w:val="20"/>
          <w:u w:val="single"/>
          <w:lang w:eastAsia="fr-FR"/>
        </w:rPr>
      </w:pPr>
    </w:p>
    <w:p w14:paraId="5DCAE692" w14:textId="77777777" w:rsidR="00EB4EDC" w:rsidRDefault="00EB4EDC" w:rsidP="00EB4EDC">
      <w:pPr>
        <w:spacing w:line="240" w:lineRule="auto"/>
        <w:jc w:val="both"/>
        <w:rPr>
          <w:rFonts w:ascii="Arial" w:eastAsia="Times New Roman" w:hAnsi="Arial" w:cs="Arial"/>
          <w:b/>
          <w:sz w:val="20"/>
          <w:szCs w:val="20"/>
          <w:u w:val="single"/>
          <w:lang w:eastAsia="fr-FR"/>
        </w:rPr>
      </w:pPr>
    </w:p>
    <w:p w14:paraId="4BFC5CBC" w14:textId="77777777" w:rsidR="00EB4EDC" w:rsidRDefault="00EB4EDC" w:rsidP="00EB4EDC">
      <w:pPr>
        <w:spacing w:line="240" w:lineRule="auto"/>
        <w:jc w:val="both"/>
        <w:rPr>
          <w:rFonts w:ascii="Arial" w:eastAsia="Times New Roman" w:hAnsi="Arial" w:cs="Arial"/>
          <w:b/>
          <w:sz w:val="20"/>
          <w:szCs w:val="20"/>
          <w:u w:val="single"/>
          <w:lang w:eastAsia="fr-FR"/>
        </w:rPr>
      </w:pPr>
    </w:p>
    <w:p w14:paraId="2B7E6F24" w14:textId="77777777" w:rsidR="00EB4EDC" w:rsidRDefault="00EB4EDC" w:rsidP="00EB4EDC">
      <w:pPr>
        <w:spacing w:line="240" w:lineRule="auto"/>
        <w:jc w:val="both"/>
        <w:rPr>
          <w:rFonts w:ascii="Arial" w:eastAsia="Times New Roman" w:hAnsi="Arial" w:cs="Arial"/>
          <w:b/>
          <w:sz w:val="20"/>
          <w:szCs w:val="20"/>
          <w:u w:val="single"/>
          <w:lang w:eastAsia="fr-FR"/>
        </w:rPr>
      </w:pPr>
    </w:p>
    <w:p w14:paraId="2C7A7F90" w14:textId="77777777" w:rsidR="00EB4EDC" w:rsidRDefault="00EB4EDC" w:rsidP="00EB4EDC">
      <w:pPr>
        <w:spacing w:line="240" w:lineRule="auto"/>
        <w:jc w:val="both"/>
        <w:rPr>
          <w:rFonts w:ascii="Arial" w:eastAsia="Times New Roman" w:hAnsi="Arial" w:cs="Arial"/>
          <w:b/>
          <w:sz w:val="20"/>
          <w:szCs w:val="20"/>
          <w:u w:val="single"/>
          <w:lang w:eastAsia="fr-FR"/>
        </w:rPr>
      </w:pPr>
    </w:p>
    <w:p w14:paraId="727C75BA" w14:textId="77777777" w:rsidR="00EB4EDC" w:rsidRDefault="00EB4EDC" w:rsidP="00EB4EDC">
      <w:pPr>
        <w:spacing w:line="240" w:lineRule="auto"/>
        <w:jc w:val="both"/>
        <w:rPr>
          <w:rFonts w:ascii="Arial" w:eastAsia="Times New Roman" w:hAnsi="Arial" w:cs="Arial"/>
          <w:b/>
          <w:sz w:val="20"/>
          <w:szCs w:val="20"/>
          <w:u w:val="single"/>
          <w:lang w:eastAsia="fr-FR"/>
        </w:rPr>
      </w:pPr>
    </w:p>
    <w:p w14:paraId="0D49070B" w14:textId="77777777" w:rsidR="00EB4EDC" w:rsidRDefault="00EB4EDC" w:rsidP="0093368A">
      <w:pPr>
        <w:spacing w:line="240" w:lineRule="auto"/>
        <w:jc w:val="both"/>
        <w:rPr>
          <w:rFonts w:ascii="Arial" w:eastAsia="Times New Roman" w:hAnsi="Arial" w:cs="Arial"/>
          <w:b/>
          <w:sz w:val="20"/>
          <w:szCs w:val="20"/>
          <w:u w:val="single"/>
          <w:lang w:eastAsia="fr-FR"/>
        </w:rPr>
      </w:pPr>
    </w:p>
    <w:p w14:paraId="23AAB502" w14:textId="77777777" w:rsidR="00EB4EDC" w:rsidRDefault="00EB4EDC" w:rsidP="0093368A">
      <w:pPr>
        <w:spacing w:line="240" w:lineRule="auto"/>
        <w:jc w:val="both"/>
        <w:rPr>
          <w:rFonts w:ascii="Arial" w:eastAsia="Times New Roman" w:hAnsi="Arial" w:cs="Arial"/>
          <w:b/>
          <w:sz w:val="20"/>
          <w:szCs w:val="20"/>
          <w:u w:val="single"/>
          <w:lang w:eastAsia="fr-FR"/>
        </w:rPr>
      </w:pPr>
    </w:p>
    <w:p w14:paraId="73735729" w14:textId="77777777" w:rsidR="00EB4EDC" w:rsidRDefault="00EB4EDC" w:rsidP="0093368A">
      <w:pPr>
        <w:spacing w:line="240" w:lineRule="auto"/>
        <w:jc w:val="both"/>
        <w:rPr>
          <w:rFonts w:ascii="Arial" w:eastAsia="Times New Roman" w:hAnsi="Arial" w:cs="Arial"/>
          <w:b/>
          <w:sz w:val="20"/>
          <w:szCs w:val="20"/>
          <w:u w:val="single"/>
          <w:lang w:eastAsia="fr-FR"/>
        </w:rPr>
      </w:pPr>
    </w:p>
    <w:p w14:paraId="7AEEF7A0" w14:textId="77777777" w:rsidR="00EB4EDC" w:rsidRDefault="00EB4EDC" w:rsidP="0093368A">
      <w:pPr>
        <w:spacing w:line="240" w:lineRule="auto"/>
        <w:jc w:val="both"/>
        <w:rPr>
          <w:rFonts w:ascii="Arial" w:eastAsia="Times New Roman" w:hAnsi="Arial" w:cs="Arial"/>
          <w:b/>
          <w:sz w:val="20"/>
          <w:szCs w:val="20"/>
          <w:u w:val="single"/>
          <w:lang w:eastAsia="fr-FR"/>
        </w:rPr>
      </w:pPr>
    </w:p>
    <w:p w14:paraId="413EC431" w14:textId="77777777" w:rsidR="00EB4EDC" w:rsidRDefault="00EB4EDC" w:rsidP="0093368A">
      <w:pPr>
        <w:spacing w:line="240" w:lineRule="auto"/>
        <w:jc w:val="both"/>
        <w:rPr>
          <w:rFonts w:ascii="Arial" w:eastAsia="Times New Roman" w:hAnsi="Arial" w:cs="Arial"/>
          <w:b/>
          <w:sz w:val="20"/>
          <w:szCs w:val="20"/>
          <w:u w:val="single"/>
          <w:lang w:eastAsia="fr-FR"/>
        </w:rPr>
      </w:pPr>
    </w:p>
    <w:p w14:paraId="35CBB3FF" w14:textId="69D59194"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14:paraId="62C505CA"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3B7C1383" w14:textId="2B14134A"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22056F78" w14:textId="77777777"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14:paraId="45921121" w14:textId="68294C38"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890EF0">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14:paraId="0FA80438"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3BB69B08" w14:textId="77777777" w:rsidR="00B31C03" w:rsidRDefault="00B31C0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67664EB5"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5AE6568F"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51939FDD" w14:textId="77777777" w:rsidR="00855C13" w:rsidRDefault="00C32F52"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855C13" w:rsidRPr="005E5E48">
          <w:rPr>
            <w:rStyle w:val="Lienhypertexte"/>
            <w:rFonts w:ascii="Arial" w:eastAsia="Times New Roman" w:hAnsi="Arial" w:cs="Arial"/>
            <w:lang w:eastAsia="fr-FR"/>
          </w:rPr>
          <w:t>https://acpr-autorisations.banque-france.fr/</w:t>
        </w:r>
      </w:hyperlink>
    </w:p>
    <w:p w14:paraId="2768BB0D"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77DCAC6C" w14:textId="77777777"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14:paraId="67CFAF1B"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257D9306"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5D7E1C74"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79E0E6D2" w14:textId="77777777" w:rsidTr="00B93618">
        <w:tc>
          <w:tcPr>
            <w:tcW w:w="1668" w:type="dxa"/>
            <w:shd w:val="clear" w:color="auto" w:fill="auto"/>
          </w:tcPr>
          <w:p w14:paraId="4A166EB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59A28E3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C36BA1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6A8E8DC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B33BA4" w:rsidRPr="00610094" w14:paraId="1B20C4D7" w14:textId="77777777" w:rsidTr="00B93618">
        <w:tc>
          <w:tcPr>
            <w:tcW w:w="1668" w:type="dxa"/>
            <w:shd w:val="clear" w:color="auto" w:fill="auto"/>
          </w:tcPr>
          <w:p w14:paraId="440411F5" w14:textId="77777777" w:rsidR="00B33BA4" w:rsidRPr="00610094" w:rsidRDefault="00B33BA4" w:rsidP="00B93618">
            <w:pPr>
              <w:spacing w:line="240" w:lineRule="auto"/>
              <w:rPr>
                <w:rFonts w:ascii="Arial" w:eastAsia="Times New Roman" w:hAnsi="Arial" w:cs="Arial"/>
                <w:sz w:val="20"/>
                <w:szCs w:val="24"/>
                <w:lang w:eastAsia="fr-FR"/>
              </w:rPr>
            </w:pPr>
          </w:p>
        </w:tc>
        <w:tc>
          <w:tcPr>
            <w:tcW w:w="2835" w:type="dxa"/>
            <w:shd w:val="clear" w:color="auto" w:fill="C6D9F1" w:themeFill="text2" w:themeFillTint="33"/>
          </w:tcPr>
          <w:p w14:paraId="6B31ADA8" w14:textId="77777777" w:rsidR="00B33BA4" w:rsidRPr="00610094" w:rsidRDefault="00B33BA4" w:rsidP="00B93618">
            <w:pPr>
              <w:spacing w:line="240" w:lineRule="auto"/>
              <w:rPr>
                <w:rFonts w:ascii="Arial" w:eastAsia="Times New Roman" w:hAnsi="Arial" w:cs="Arial"/>
                <w:sz w:val="20"/>
                <w:szCs w:val="24"/>
                <w:lang w:eastAsia="fr-FR"/>
              </w:rPr>
            </w:pPr>
          </w:p>
        </w:tc>
        <w:tc>
          <w:tcPr>
            <w:tcW w:w="1559" w:type="dxa"/>
            <w:shd w:val="clear" w:color="auto" w:fill="auto"/>
          </w:tcPr>
          <w:p w14:paraId="6BDFF513" w14:textId="77777777" w:rsidR="00B33BA4" w:rsidRPr="00610094" w:rsidRDefault="00B33BA4" w:rsidP="00B93618">
            <w:pPr>
              <w:spacing w:line="240" w:lineRule="auto"/>
              <w:rPr>
                <w:rFonts w:ascii="Arial" w:eastAsia="Times New Roman" w:hAnsi="Arial" w:cs="Arial"/>
                <w:sz w:val="20"/>
                <w:szCs w:val="24"/>
                <w:lang w:eastAsia="fr-FR"/>
              </w:rPr>
            </w:pPr>
          </w:p>
        </w:tc>
        <w:tc>
          <w:tcPr>
            <w:tcW w:w="3150" w:type="dxa"/>
            <w:shd w:val="clear" w:color="auto" w:fill="C6D9F1" w:themeFill="text2" w:themeFillTint="33"/>
          </w:tcPr>
          <w:p w14:paraId="09C9BB3D" w14:textId="77777777" w:rsidR="00B33BA4" w:rsidRPr="00610094" w:rsidRDefault="00B33BA4" w:rsidP="00B93618">
            <w:pPr>
              <w:spacing w:line="240" w:lineRule="auto"/>
              <w:rPr>
                <w:rFonts w:ascii="Arial" w:eastAsia="Times New Roman" w:hAnsi="Arial" w:cs="Arial"/>
                <w:sz w:val="20"/>
                <w:szCs w:val="24"/>
                <w:lang w:eastAsia="fr-FR"/>
              </w:rPr>
            </w:pPr>
          </w:p>
        </w:tc>
      </w:tr>
    </w:tbl>
    <w:p w14:paraId="532C2FFD"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027DA76" w14:textId="77777777" w:rsidTr="00B93618">
        <w:tc>
          <w:tcPr>
            <w:tcW w:w="1668" w:type="dxa"/>
            <w:shd w:val="clear" w:color="auto" w:fill="auto"/>
          </w:tcPr>
          <w:p w14:paraId="6139EC7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0631EFE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4CDDDE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28C7482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3F48FA0"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425A20B9" w14:textId="77777777" w:rsidTr="00B93618">
        <w:tc>
          <w:tcPr>
            <w:tcW w:w="1668" w:type="dxa"/>
            <w:shd w:val="clear" w:color="auto" w:fill="auto"/>
          </w:tcPr>
          <w:p w14:paraId="2836ADC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54B5FD3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4C053C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415A5AC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6A6202B"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7E2CC59E" w14:textId="77777777" w:rsidR="0093368A" w:rsidRDefault="0093368A" w:rsidP="0093368A">
      <w:pPr>
        <w:spacing w:line="240" w:lineRule="auto"/>
        <w:rPr>
          <w:rFonts w:ascii="Arial" w:eastAsia="Times New Roman" w:hAnsi="Arial" w:cs="Arial"/>
          <w:sz w:val="20"/>
          <w:szCs w:val="20"/>
          <w:lang w:eastAsia="fr-FR"/>
        </w:rPr>
      </w:pPr>
    </w:p>
    <w:p w14:paraId="16A640DA" w14:textId="77777777" w:rsidR="0093368A" w:rsidRDefault="0093368A" w:rsidP="0093368A">
      <w:pPr>
        <w:spacing w:line="240" w:lineRule="auto"/>
        <w:rPr>
          <w:rFonts w:ascii="Arial" w:eastAsia="Times New Roman" w:hAnsi="Arial" w:cs="Arial"/>
          <w:sz w:val="20"/>
          <w:szCs w:val="20"/>
          <w:lang w:eastAsia="fr-FR"/>
        </w:rPr>
      </w:pPr>
    </w:p>
    <w:p w14:paraId="0312A7D1"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7DBCAE60"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5540823" w14:textId="77777777" w:rsidTr="00B93618">
        <w:tc>
          <w:tcPr>
            <w:tcW w:w="1668" w:type="dxa"/>
            <w:shd w:val="clear" w:color="auto" w:fill="auto"/>
          </w:tcPr>
          <w:p w14:paraId="4A7A949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5BA304B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17F8287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2634094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3C8F46A"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36EDD384" w14:textId="77777777" w:rsidTr="00B93618">
        <w:tc>
          <w:tcPr>
            <w:tcW w:w="1668" w:type="dxa"/>
            <w:shd w:val="clear" w:color="auto" w:fill="auto"/>
          </w:tcPr>
          <w:p w14:paraId="7F556E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B71D01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8486D9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7DA17AB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CD82D5E"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6B7B956D" w14:textId="77777777" w:rsidTr="00B93618">
        <w:tc>
          <w:tcPr>
            <w:tcW w:w="1668" w:type="dxa"/>
            <w:shd w:val="clear" w:color="auto" w:fill="auto"/>
          </w:tcPr>
          <w:p w14:paraId="6C5154C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072D2F4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F20603E"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316C1C39" w14:textId="77777777" w:rsidTr="00B93618">
        <w:trPr>
          <w:gridAfter w:val="2"/>
          <w:wAfter w:w="8330" w:type="dxa"/>
        </w:trPr>
        <w:tc>
          <w:tcPr>
            <w:tcW w:w="1668" w:type="dxa"/>
            <w:shd w:val="clear" w:color="auto" w:fill="auto"/>
          </w:tcPr>
          <w:p w14:paraId="18192F3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19356B8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7044CEA2" w14:textId="77777777" w:rsidTr="00B93618">
        <w:trPr>
          <w:trHeight w:val="80"/>
        </w:trPr>
        <w:tc>
          <w:tcPr>
            <w:tcW w:w="7338" w:type="dxa"/>
            <w:gridSpan w:val="3"/>
            <w:shd w:val="clear" w:color="auto" w:fill="auto"/>
          </w:tcPr>
          <w:p w14:paraId="1B83974B" w14:textId="77777777" w:rsidR="0093368A" w:rsidRDefault="0093368A" w:rsidP="00B93618">
            <w:pPr>
              <w:spacing w:before="120" w:after="120" w:line="240" w:lineRule="auto"/>
              <w:rPr>
                <w:rFonts w:ascii="Arial" w:eastAsia="Times New Roman" w:hAnsi="Arial" w:cs="Arial"/>
                <w:sz w:val="20"/>
                <w:szCs w:val="24"/>
                <w:lang w:eastAsia="fr-FR"/>
              </w:rPr>
            </w:pPr>
          </w:p>
          <w:p w14:paraId="224FD0E5"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6B0DA0F4"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171A860" w14:textId="77777777" w:rsidTr="00B93618">
              <w:tc>
                <w:tcPr>
                  <w:tcW w:w="1316" w:type="dxa"/>
                  <w:shd w:val="clear" w:color="auto" w:fill="auto"/>
                </w:tcPr>
                <w:p w14:paraId="04E4A096"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51F15C5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3370DBF0"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0BB2479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0554504"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67BE020C" w14:textId="77777777" w:rsidTr="00B93618">
              <w:tc>
                <w:tcPr>
                  <w:tcW w:w="1668" w:type="dxa"/>
                  <w:shd w:val="clear" w:color="auto" w:fill="auto"/>
                </w:tcPr>
                <w:p w14:paraId="324571A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2D25431F"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098CCBF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797A669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7F616EE1"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57E7BCD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1AB81C15" w14:textId="77777777" w:rsidR="00890EF0" w:rsidRDefault="00890EF0" w:rsidP="0093368A">
      <w:pPr>
        <w:spacing w:after="200"/>
        <w:rPr>
          <w:rFonts w:ascii="Arial" w:eastAsia="Times New Roman" w:hAnsi="Arial" w:cs="Arial"/>
          <w:b/>
          <w:bCs/>
          <w:color w:val="0070C1"/>
          <w:sz w:val="24"/>
          <w:szCs w:val="24"/>
          <w:lang w:eastAsia="fr-FR"/>
        </w:rPr>
      </w:pPr>
    </w:p>
    <w:p w14:paraId="241A1597" w14:textId="77777777"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14:paraId="17BB1208"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7EAF7E04" w14:textId="77777777" w:rsidR="0093368A" w:rsidRDefault="00DB1C15" w:rsidP="00DB1C15">
          <w:pPr>
            <w:pStyle w:val="En-ttedetabledesmatires"/>
            <w:jc w:val="center"/>
          </w:pPr>
          <w:r>
            <w:t>SOMMAIRE</w:t>
          </w:r>
        </w:p>
        <w:p w14:paraId="2D8259BD" w14:textId="77777777" w:rsidR="007D371F"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346" w:history="1">
            <w:r w:rsidR="007D371F" w:rsidRPr="00D55B52">
              <w:rPr>
                <w:rStyle w:val="Lienhypertexte"/>
                <w:noProof/>
              </w:rPr>
              <w:t>1.</w:t>
            </w:r>
            <w:r w:rsidR="007D371F">
              <w:rPr>
                <w:rFonts w:eastAsiaTheme="minorEastAsia"/>
                <w:noProof/>
                <w:lang w:eastAsia="fr-FR"/>
              </w:rPr>
              <w:tab/>
            </w:r>
            <w:r w:rsidR="007D371F" w:rsidRPr="00D55B52">
              <w:rPr>
                <w:rStyle w:val="Lienhypertexte"/>
                <w:noProof/>
              </w:rPr>
              <w:t>L’entreprise</w:t>
            </w:r>
            <w:r w:rsidR="007D371F">
              <w:rPr>
                <w:noProof/>
                <w:webHidden/>
              </w:rPr>
              <w:tab/>
            </w:r>
            <w:r w:rsidR="007D371F">
              <w:rPr>
                <w:noProof/>
                <w:webHidden/>
              </w:rPr>
              <w:fldChar w:fldCharType="begin"/>
            </w:r>
            <w:r w:rsidR="007D371F">
              <w:rPr>
                <w:noProof/>
                <w:webHidden/>
              </w:rPr>
              <w:instrText xml:space="preserve"> PAGEREF _Toc507679346 \h </w:instrText>
            </w:r>
            <w:r w:rsidR="007D371F">
              <w:rPr>
                <w:noProof/>
                <w:webHidden/>
              </w:rPr>
            </w:r>
            <w:r w:rsidR="007D371F">
              <w:rPr>
                <w:noProof/>
                <w:webHidden/>
              </w:rPr>
              <w:fldChar w:fldCharType="separate"/>
            </w:r>
            <w:r w:rsidR="009F4906">
              <w:rPr>
                <w:noProof/>
                <w:webHidden/>
              </w:rPr>
              <w:t>4</w:t>
            </w:r>
            <w:r w:rsidR="007D371F">
              <w:rPr>
                <w:noProof/>
                <w:webHidden/>
              </w:rPr>
              <w:fldChar w:fldCharType="end"/>
            </w:r>
          </w:hyperlink>
        </w:p>
        <w:p w14:paraId="7CB96BEB" w14:textId="77777777" w:rsidR="007D371F" w:rsidRDefault="00C32F52">
          <w:pPr>
            <w:pStyle w:val="TM1"/>
            <w:rPr>
              <w:rFonts w:eastAsiaTheme="minorEastAsia"/>
              <w:noProof/>
              <w:lang w:eastAsia="fr-FR"/>
            </w:rPr>
          </w:pPr>
          <w:hyperlink w:anchor="_Toc507679347" w:history="1">
            <w:r w:rsidR="007D371F" w:rsidRPr="00D55B52">
              <w:rPr>
                <w:rStyle w:val="Lienhypertexte"/>
                <w:noProof/>
              </w:rPr>
              <w:t>2.</w:t>
            </w:r>
            <w:r w:rsidR="007D371F">
              <w:rPr>
                <w:rFonts w:eastAsiaTheme="minorEastAsia"/>
                <w:noProof/>
                <w:lang w:eastAsia="fr-FR"/>
              </w:rPr>
              <w:tab/>
            </w:r>
            <w:r w:rsidR="007D371F" w:rsidRPr="00D55B52">
              <w:rPr>
                <w:rStyle w:val="Lienhypertexte"/>
                <w:noProof/>
              </w:rPr>
              <w:t>Programme d’activité</w:t>
            </w:r>
            <w:r w:rsidR="007D371F">
              <w:rPr>
                <w:noProof/>
                <w:webHidden/>
              </w:rPr>
              <w:tab/>
            </w:r>
            <w:r w:rsidR="007D371F">
              <w:rPr>
                <w:noProof/>
                <w:webHidden/>
              </w:rPr>
              <w:fldChar w:fldCharType="begin"/>
            </w:r>
            <w:r w:rsidR="007D371F">
              <w:rPr>
                <w:noProof/>
                <w:webHidden/>
              </w:rPr>
              <w:instrText xml:space="preserve"> PAGEREF _Toc507679347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14:paraId="706E026A" w14:textId="77777777" w:rsidR="007D371F" w:rsidRDefault="00C32F52">
          <w:pPr>
            <w:pStyle w:val="TM2"/>
            <w:tabs>
              <w:tab w:val="left" w:pos="660"/>
              <w:tab w:val="right" w:leader="dot" w:pos="9062"/>
            </w:tabs>
            <w:rPr>
              <w:rFonts w:eastAsiaTheme="minorEastAsia"/>
              <w:noProof/>
              <w:lang w:eastAsia="fr-FR"/>
            </w:rPr>
          </w:pPr>
          <w:hyperlink w:anchor="_Toc507679348"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Services de paiement</w:t>
            </w:r>
            <w:r w:rsidR="007D371F">
              <w:rPr>
                <w:noProof/>
                <w:webHidden/>
              </w:rPr>
              <w:tab/>
            </w:r>
            <w:r w:rsidR="007D371F">
              <w:rPr>
                <w:noProof/>
                <w:webHidden/>
              </w:rPr>
              <w:fldChar w:fldCharType="begin"/>
            </w:r>
            <w:r w:rsidR="007D371F">
              <w:rPr>
                <w:noProof/>
                <w:webHidden/>
              </w:rPr>
              <w:instrText xml:space="preserve"> PAGEREF _Toc507679348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14:paraId="475F9A03" w14:textId="77777777" w:rsidR="007D371F" w:rsidRDefault="00C32F52">
          <w:pPr>
            <w:pStyle w:val="TM2"/>
            <w:tabs>
              <w:tab w:val="left" w:pos="660"/>
              <w:tab w:val="right" w:leader="dot" w:pos="9062"/>
            </w:tabs>
            <w:rPr>
              <w:rFonts w:eastAsiaTheme="minorEastAsia"/>
              <w:noProof/>
              <w:lang w:eastAsia="fr-FR"/>
            </w:rPr>
          </w:pPr>
          <w:hyperlink w:anchor="_Toc507679349"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Établissement de paiement exerçant des activités de nature hybride</w:t>
            </w:r>
            <w:r w:rsidR="007D371F">
              <w:rPr>
                <w:noProof/>
                <w:webHidden/>
              </w:rPr>
              <w:tab/>
            </w:r>
            <w:r w:rsidR="007D371F">
              <w:rPr>
                <w:noProof/>
                <w:webHidden/>
              </w:rPr>
              <w:fldChar w:fldCharType="begin"/>
            </w:r>
            <w:r w:rsidR="007D371F">
              <w:rPr>
                <w:noProof/>
                <w:webHidden/>
              </w:rPr>
              <w:instrText xml:space="preserve"> PAGEREF _Toc507679349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39A44885" w14:textId="77777777" w:rsidR="007D371F" w:rsidRDefault="00C32F52">
          <w:pPr>
            <w:pStyle w:val="TM2"/>
            <w:tabs>
              <w:tab w:val="left" w:pos="660"/>
              <w:tab w:val="right" w:leader="dot" w:pos="9062"/>
            </w:tabs>
            <w:rPr>
              <w:rFonts w:eastAsiaTheme="minorEastAsia"/>
              <w:noProof/>
              <w:lang w:eastAsia="fr-FR"/>
            </w:rPr>
          </w:pPr>
          <w:hyperlink w:anchor="_Toc507679350"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Services connexes</w:t>
            </w:r>
            <w:r w:rsidR="007D371F">
              <w:rPr>
                <w:noProof/>
                <w:webHidden/>
              </w:rPr>
              <w:tab/>
            </w:r>
            <w:r w:rsidR="007D371F">
              <w:rPr>
                <w:noProof/>
                <w:webHidden/>
              </w:rPr>
              <w:fldChar w:fldCharType="begin"/>
            </w:r>
            <w:r w:rsidR="007D371F">
              <w:rPr>
                <w:noProof/>
                <w:webHidden/>
              </w:rPr>
              <w:instrText xml:space="preserve"> PAGEREF _Toc507679350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6E7EF194" w14:textId="77777777" w:rsidR="007D371F" w:rsidRDefault="00C32F52">
          <w:pPr>
            <w:pStyle w:val="TM2"/>
            <w:tabs>
              <w:tab w:val="left" w:pos="660"/>
              <w:tab w:val="right" w:leader="dot" w:pos="9062"/>
            </w:tabs>
            <w:rPr>
              <w:rFonts w:eastAsiaTheme="minorEastAsia"/>
              <w:noProof/>
              <w:lang w:eastAsia="fr-FR"/>
            </w:rPr>
          </w:pPr>
          <w:hyperlink w:anchor="_Toc507679351"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Recours à des agents</w:t>
            </w:r>
            <w:r w:rsidR="007D371F">
              <w:rPr>
                <w:noProof/>
                <w:webHidden/>
              </w:rPr>
              <w:tab/>
            </w:r>
            <w:r w:rsidR="007D371F">
              <w:rPr>
                <w:noProof/>
                <w:webHidden/>
              </w:rPr>
              <w:fldChar w:fldCharType="begin"/>
            </w:r>
            <w:r w:rsidR="007D371F">
              <w:rPr>
                <w:noProof/>
                <w:webHidden/>
              </w:rPr>
              <w:instrText xml:space="preserve"> PAGEREF _Toc507679351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17069DC0" w14:textId="77777777" w:rsidR="007D371F" w:rsidRDefault="00C32F52">
          <w:pPr>
            <w:pStyle w:val="TM2"/>
            <w:tabs>
              <w:tab w:val="left" w:pos="660"/>
              <w:tab w:val="right" w:leader="dot" w:pos="9062"/>
            </w:tabs>
            <w:rPr>
              <w:rFonts w:eastAsiaTheme="minorEastAsia"/>
              <w:noProof/>
              <w:lang w:eastAsia="fr-FR"/>
            </w:rPr>
          </w:pPr>
          <w:hyperlink w:anchor="_Toc507679352"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Exercice d’activité à l’étranger</w:t>
            </w:r>
            <w:r w:rsidR="007D371F">
              <w:rPr>
                <w:noProof/>
                <w:webHidden/>
              </w:rPr>
              <w:tab/>
            </w:r>
            <w:r w:rsidR="007D371F">
              <w:rPr>
                <w:noProof/>
                <w:webHidden/>
              </w:rPr>
              <w:fldChar w:fldCharType="begin"/>
            </w:r>
            <w:r w:rsidR="007D371F">
              <w:rPr>
                <w:noProof/>
                <w:webHidden/>
              </w:rPr>
              <w:instrText xml:space="preserve"> PAGEREF _Toc507679352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73DE8046" w14:textId="77777777" w:rsidR="007D371F" w:rsidRDefault="00C32F52">
          <w:pPr>
            <w:pStyle w:val="TM1"/>
            <w:rPr>
              <w:rFonts w:eastAsiaTheme="minorEastAsia"/>
              <w:noProof/>
              <w:lang w:eastAsia="fr-FR"/>
            </w:rPr>
          </w:pPr>
          <w:hyperlink w:anchor="_Toc507679353" w:history="1">
            <w:r w:rsidR="007D371F" w:rsidRPr="00D55B52">
              <w:rPr>
                <w:rStyle w:val="Lienhypertexte"/>
                <w:noProof/>
              </w:rPr>
              <w:t>3.</w:t>
            </w:r>
            <w:r w:rsidR="007D371F">
              <w:rPr>
                <w:rFonts w:eastAsiaTheme="minorEastAsia"/>
                <w:noProof/>
                <w:lang w:eastAsia="fr-FR"/>
              </w:rPr>
              <w:tab/>
            </w:r>
            <w:r w:rsidR="007D371F" w:rsidRPr="00D55B52">
              <w:rPr>
                <w:rStyle w:val="Lienhypertexte"/>
                <w:noProof/>
              </w:rPr>
              <w:t>Plan d’affaires et réglementation prudentielle</w:t>
            </w:r>
            <w:r w:rsidR="007D371F">
              <w:rPr>
                <w:noProof/>
                <w:webHidden/>
              </w:rPr>
              <w:tab/>
            </w:r>
            <w:r w:rsidR="007D371F">
              <w:rPr>
                <w:noProof/>
                <w:webHidden/>
              </w:rPr>
              <w:fldChar w:fldCharType="begin"/>
            </w:r>
            <w:r w:rsidR="007D371F">
              <w:rPr>
                <w:noProof/>
                <w:webHidden/>
              </w:rPr>
              <w:instrText xml:space="preserve"> PAGEREF _Toc507679353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14:paraId="39EC001B" w14:textId="77777777" w:rsidR="007D371F" w:rsidRDefault="00C32F52">
          <w:pPr>
            <w:pStyle w:val="TM2"/>
            <w:tabs>
              <w:tab w:val="left" w:pos="660"/>
              <w:tab w:val="right" w:leader="dot" w:pos="9062"/>
            </w:tabs>
            <w:rPr>
              <w:rFonts w:eastAsiaTheme="minorEastAsia"/>
              <w:noProof/>
              <w:lang w:eastAsia="fr-FR"/>
            </w:rPr>
          </w:pPr>
          <w:hyperlink w:anchor="_Toc50767935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Plan d’affaires</w:t>
            </w:r>
            <w:r w:rsidR="007D371F">
              <w:rPr>
                <w:noProof/>
                <w:webHidden/>
              </w:rPr>
              <w:tab/>
            </w:r>
            <w:r w:rsidR="007D371F">
              <w:rPr>
                <w:noProof/>
                <w:webHidden/>
              </w:rPr>
              <w:fldChar w:fldCharType="begin"/>
            </w:r>
            <w:r w:rsidR="007D371F">
              <w:rPr>
                <w:noProof/>
                <w:webHidden/>
              </w:rPr>
              <w:instrText xml:space="preserve"> PAGEREF _Toc507679354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14:paraId="2DCCDD42" w14:textId="77777777" w:rsidR="007D371F" w:rsidRDefault="00C32F52">
          <w:pPr>
            <w:pStyle w:val="TM2"/>
            <w:tabs>
              <w:tab w:val="left" w:pos="660"/>
              <w:tab w:val="right" w:leader="dot" w:pos="9062"/>
            </w:tabs>
            <w:rPr>
              <w:rFonts w:eastAsiaTheme="minorEastAsia"/>
              <w:noProof/>
              <w:lang w:eastAsia="fr-FR"/>
            </w:rPr>
          </w:pPr>
          <w:hyperlink w:anchor="_Toc50767935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Capital initial</w:t>
            </w:r>
            <w:r w:rsidR="007D371F">
              <w:rPr>
                <w:noProof/>
                <w:webHidden/>
              </w:rPr>
              <w:tab/>
            </w:r>
            <w:r w:rsidR="007D371F">
              <w:rPr>
                <w:noProof/>
                <w:webHidden/>
              </w:rPr>
              <w:fldChar w:fldCharType="begin"/>
            </w:r>
            <w:r w:rsidR="007D371F">
              <w:rPr>
                <w:noProof/>
                <w:webHidden/>
              </w:rPr>
              <w:instrText xml:space="preserve"> PAGEREF _Toc507679355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14:paraId="2750F176" w14:textId="77777777" w:rsidR="007D371F" w:rsidRDefault="00C32F52">
          <w:pPr>
            <w:pStyle w:val="TM2"/>
            <w:tabs>
              <w:tab w:val="left" w:pos="660"/>
              <w:tab w:val="right" w:leader="dot" w:pos="9062"/>
            </w:tabs>
            <w:rPr>
              <w:rFonts w:eastAsiaTheme="minorEastAsia"/>
              <w:noProof/>
              <w:lang w:eastAsia="fr-FR"/>
            </w:rPr>
          </w:pPr>
          <w:hyperlink w:anchor="_Toc507679356"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Exigences en fonds propres prudentiels</w:t>
            </w:r>
            <w:r w:rsidR="007D371F">
              <w:rPr>
                <w:noProof/>
                <w:webHidden/>
              </w:rPr>
              <w:tab/>
            </w:r>
            <w:r w:rsidR="007D371F">
              <w:rPr>
                <w:noProof/>
                <w:webHidden/>
              </w:rPr>
              <w:fldChar w:fldCharType="begin"/>
            </w:r>
            <w:r w:rsidR="007D371F">
              <w:rPr>
                <w:noProof/>
                <w:webHidden/>
              </w:rPr>
              <w:instrText xml:space="preserve"> PAGEREF _Toc507679356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14:paraId="674C1674" w14:textId="77777777" w:rsidR="007D371F" w:rsidRDefault="00C32F52">
          <w:pPr>
            <w:pStyle w:val="TM2"/>
            <w:tabs>
              <w:tab w:val="left" w:pos="660"/>
              <w:tab w:val="right" w:leader="dot" w:pos="9062"/>
            </w:tabs>
            <w:rPr>
              <w:rFonts w:eastAsiaTheme="minorEastAsia"/>
              <w:noProof/>
              <w:lang w:eastAsia="fr-FR"/>
            </w:rPr>
          </w:pPr>
          <w:hyperlink w:anchor="_Toc507679357"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Protection des fonds collectés</w:t>
            </w:r>
            <w:r w:rsidR="007D371F">
              <w:rPr>
                <w:noProof/>
                <w:webHidden/>
              </w:rPr>
              <w:tab/>
            </w:r>
            <w:r w:rsidR="007D371F">
              <w:rPr>
                <w:noProof/>
                <w:webHidden/>
              </w:rPr>
              <w:fldChar w:fldCharType="begin"/>
            </w:r>
            <w:r w:rsidR="007D371F">
              <w:rPr>
                <w:noProof/>
                <w:webHidden/>
              </w:rPr>
              <w:instrText xml:space="preserve"> PAGEREF _Toc507679357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14:paraId="6D065121" w14:textId="77777777" w:rsidR="007D371F" w:rsidRDefault="00C32F52">
          <w:pPr>
            <w:pStyle w:val="TM2"/>
            <w:tabs>
              <w:tab w:val="left" w:pos="660"/>
              <w:tab w:val="right" w:leader="dot" w:pos="9062"/>
            </w:tabs>
            <w:rPr>
              <w:rFonts w:eastAsiaTheme="minorEastAsia"/>
              <w:noProof/>
              <w:lang w:eastAsia="fr-FR"/>
            </w:rPr>
          </w:pPr>
          <w:hyperlink w:anchor="_Toc507679358"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Assurance responsabilité civile professionnelle</w:t>
            </w:r>
            <w:r w:rsidR="007D371F">
              <w:rPr>
                <w:noProof/>
                <w:webHidden/>
              </w:rPr>
              <w:tab/>
            </w:r>
            <w:r w:rsidR="007D371F">
              <w:rPr>
                <w:noProof/>
                <w:webHidden/>
              </w:rPr>
              <w:fldChar w:fldCharType="begin"/>
            </w:r>
            <w:r w:rsidR="007D371F">
              <w:rPr>
                <w:noProof/>
                <w:webHidden/>
              </w:rPr>
              <w:instrText xml:space="preserve"> PAGEREF _Toc507679358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14:paraId="26635BE5" w14:textId="77777777" w:rsidR="007D371F" w:rsidRDefault="00C32F52">
          <w:pPr>
            <w:pStyle w:val="TM1"/>
            <w:rPr>
              <w:rFonts w:eastAsiaTheme="minorEastAsia"/>
              <w:noProof/>
              <w:lang w:eastAsia="fr-FR"/>
            </w:rPr>
          </w:pPr>
          <w:hyperlink w:anchor="_Toc507679359" w:history="1">
            <w:r w:rsidR="007D371F" w:rsidRPr="00D55B52">
              <w:rPr>
                <w:rStyle w:val="Lienhypertexte"/>
                <w:noProof/>
              </w:rPr>
              <w:t>4.</w:t>
            </w:r>
            <w:r w:rsidR="007D371F">
              <w:rPr>
                <w:rFonts w:eastAsiaTheme="minorEastAsia"/>
                <w:noProof/>
                <w:lang w:eastAsia="fr-FR"/>
              </w:rPr>
              <w:tab/>
            </w:r>
            <w:r w:rsidR="007D371F" w:rsidRPr="00D55B52">
              <w:rPr>
                <w:rStyle w:val="Lienhypertexte"/>
                <w:noProof/>
              </w:rPr>
              <w:t>Structure organisationnelle et mécanisme de contrôle interne</w:t>
            </w:r>
            <w:r w:rsidR="007D371F">
              <w:rPr>
                <w:noProof/>
                <w:webHidden/>
              </w:rPr>
              <w:tab/>
            </w:r>
            <w:r w:rsidR="007D371F">
              <w:rPr>
                <w:noProof/>
                <w:webHidden/>
              </w:rPr>
              <w:fldChar w:fldCharType="begin"/>
            </w:r>
            <w:r w:rsidR="007D371F">
              <w:rPr>
                <w:noProof/>
                <w:webHidden/>
              </w:rPr>
              <w:instrText xml:space="preserve"> PAGEREF _Toc507679359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4CC9323D" w14:textId="77777777" w:rsidR="007D371F" w:rsidRDefault="00C32F52">
          <w:pPr>
            <w:pStyle w:val="TM2"/>
            <w:tabs>
              <w:tab w:val="left" w:pos="660"/>
              <w:tab w:val="right" w:leader="dot" w:pos="9062"/>
            </w:tabs>
            <w:rPr>
              <w:rFonts w:eastAsiaTheme="minorEastAsia"/>
              <w:noProof/>
              <w:lang w:eastAsia="fr-FR"/>
            </w:rPr>
          </w:pPr>
          <w:hyperlink w:anchor="_Toc507679360"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Structure organisationnelle</w:t>
            </w:r>
            <w:r w:rsidR="007D371F">
              <w:rPr>
                <w:noProof/>
                <w:webHidden/>
              </w:rPr>
              <w:tab/>
            </w:r>
            <w:r w:rsidR="007D371F">
              <w:rPr>
                <w:noProof/>
                <w:webHidden/>
              </w:rPr>
              <w:fldChar w:fldCharType="begin"/>
            </w:r>
            <w:r w:rsidR="007D371F">
              <w:rPr>
                <w:noProof/>
                <w:webHidden/>
              </w:rPr>
              <w:instrText xml:space="preserve"> PAGEREF _Toc507679360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5D992407" w14:textId="77777777" w:rsidR="007D371F" w:rsidRDefault="00C32F52">
          <w:pPr>
            <w:pStyle w:val="TM2"/>
            <w:tabs>
              <w:tab w:val="left" w:pos="660"/>
              <w:tab w:val="right" w:leader="dot" w:pos="9062"/>
            </w:tabs>
            <w:rPr>
              <w:rFonts w:eastAsiaTheme="minorEastAsia"/>
              <w:noProof/>
              <w:lang w:eastAsia="fr-FR"/>
            </w:rPr>
          </w:pPr>
          <w:hyperlink w:anchor="_Toc507679361"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Mécanismes de contrôle interne</w:t>
            </w:r>
            <w:r w:rsidR="007D371F">
              <w:rPr>
                <w:noProof/>
                <w:webHidden/>
              </w:rPr>
              <w:tab/>
            </w:r>
            <w:r w:rsidR="007D371F">
              <w:rPr>
                <w:noProof/>
                <w:webHidden/>
              </w:rPr>
              <w:fldChar w:fldCharType="begin"/>
            </w:r>
            <w:r w:rsidR="007D371F">
              <w:rPr>
                <w:noProof/>
                <w:webHidden/>
              </w:rPr>
              <w:instrText xml:space="preserve"> PAGEREF _Toc507679361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57080086" w14:textId="77777777" w:rsidR="007D371F" w:rsidRDefault="00C32F52">
          <w:pPr>
            <w:pStyle w:val="TM2"/>
            <w:tabs>
              <w:tab w:val="left" w:pos="660"/>
              <w:tab w:val="right" w:leader="dot" w:pos="9062"/>
            </w:tabs>
            <w:rPr>
              <w:rFonts w:eastAsiaTheme="minorEastAsia"/>
              <w:noProof/>
              <w:lang w:eastAsia="fr-FR"/>
            </w:rPr>
          </w:pPr>
          <w:hyperlink w:anchor="_Toc507679362"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Lutte contre le blanchiment de capitaux et le financement du terrorisme</w:t>
            </w:r>
            <w:r w:rsidR="007D371F">
              <w:rPr>
                <w:noProof/>
                <w:webHidden/>
              </w:rPr>
              <w:tab/>
            </w:r>
            <w:r w:rsidR="007D371F">
              <w:rPr>
                <w:noProof/>
                <w:webHidden/>
              </w:rPr>
              <w:fldChar w:fldCharType="begin"/>
            </w:r>
            <w:r w:rsidR="007D371F">
              <w:rPr>
                <w:noProof/>
                <w:webHidden/>
              </w:rPr>
              <w:instrText xml:space="preserve"> PAGEREF _Toc507679362 \h </w:instrText>
            </w:r>
            <w:r w:rsidR="007D371F">
              <w:rPr>
                <w:noProof/>
                <w:webHidden/>
              </w:rPr>
            </w:r>
            <w:r w:rsidR="007D371F">
              <w:rPr>
                <w:noProof/>
                <w:webHidden/>
              </w:rPr>
              <w:fldChar w:fldCharType="separate"/>
            </w:r>
            <w:r w:rsidR="009F4906">
              <w:rPr>
                <w:noProof/>
                <w:webHidden/>
              </w:rPr>
              <w:t>14</w:t>
            </w:r>
            <w:r w:rsidR="007D371F">
              <w:rPr>
                <w:noProof/>
                <w:webHidden/>
              </w:rPr>
              <w:fldChar w:fldCharType="end"/>
            </w:r>
          </w:hyperlink>
        </w:p>
        <w:p w14:paraId="690908AB" w14:textId="77777777" w:rsidR="007D371F" w:rsidRDefault="00C32F52">
          <w:pPr>
            <w:pStyle w:val="TM1"/>
            <w:rPr>
              <w:rFonts w:eastAsiaTheme="minorEastAsia"/>
              <w:noProof/>
              <w:lang w:eastAsia="fr-FR"/>
            </w:rPr>
          </w:pPr>
          <w:hyperlink w:anchor="_Toc507679363" w:history="1">
            <w:r w:rsidR="007D371F" w:rsidRPr="00D55B52">
              <w:rPr>
                <w:rStyle w:val="Lienhypertexte"/>
                <w:noProof/>
              </w:rPr>
              <w:t>5.</w:t>
            </w:r>
            <w:r w:rsidR="007D371F">
              <w:rPr>
                <w:rFonts w:eastAsiaTheme="minorEastAsia"/>
                <w:noProof/>
                <w:lang w:eastAsia="fr-FR"/>
              </w:rPr>
              <w:tab/>
            </w:r>
            <w:r w:rsidR="007D371F" w:rsidRPr="00D55B52">
              <w:rPr>
                <w:rStyle w:val="Lienhypertexte"/>
                <w:noProof/>
              </w:rPr>
              <w:t>Procédures des systèmes de sécurité et accès aux données sensibles</w:t>
            </w:r>
            <w:r w:rsidR="007D371F">
              <w:rPr>
                <w:noProof/>
                <w:webHidden/>
              </w:rPr>
              <w:tab/>
            </w:r>
            <w:r w:rsidR="007D371F">
              <w:rPr>
                <w:noProof/>
                <w:webHidden/>
              </w:rPr>
              <w:fldChar w:fldCharType="begin"/>
            </w:r>
            <w:r w:rsidR="007D371F">
              <w:rPr>
                <w:noProof/>
                <w:webHidden/>
              </w:rPr>
              <w:instrText xml:space="preserve"> PAGEREF _Toc507679363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1A9E68DB" w14:textId="77777777" w:rsidR="007D371F" w:rsidRDefault="00C32F52">
          <w:pPr>
            <w:pStyle w:val="TM2"/>
            <w:tabs>
              <w:tab w:val="left" w:pos="660"/>
              <w:tab w:val="right" w:leader="dot" w:pos="9062"/>
            </w:tabs>
            <w:rPr>
              <w:rFonts w:eastAsiaTheme="minorEastAsia"/>
              <w:noProof/>
              <w:lang w:eastAsia="fr-FR"/>
            </w:rPr>
          </w:pPr>
          <w:hyperlink w:anchor="_Toc50767936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Procédure de surveillance, de traitement et de suivi des incidents de sécurité et des réclamations clients</w:t>
            </w:r>
            <w:r w:rsidR="007D371F">
              <w:rPr>
                <w:noProof/>
                <w:webHidden/>
              </w:rPr>
              <w:tab/>
            </w:r>
            <w:r w:rsidR="007D371F">
              <w:rPr>
                <w:noProof/>
                <w:webHidden/>
              </w:rPr>
              <w:fldChar w:fldCharType="begin"/>
            </w:r>
            <w:r w:rsidR="007D371F">
              <w:rPr>
                <w:noProof/>
                <w:webHidden/>
              </w:rPr>
              <w:instrText xml:space="preserve"> PAGEREF _Toc507679364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4A296024" w14:textId="77777777" w:rsidR="007D371F" w:rsidRDefault="00C32F52">
          <w:pPr>
            <w:pStyle w:val="TM2"/>
            <w:tabs>
              <w:tab w:val="left" w:pos="660"/>
              <w:tab w:val="right" w:leader="dot" w:pos="9062"/>
            </w:tabs>
            <w:rPr>
              <w:rFonts w:eastAsiaTheme="minorEastAsia"/>
              <w:noProof/>
              <w:lang w:eastAsia="fr-FR"/>
            </w:rPr>
          </w:pPr>
          <w:hyperlink w:anchor="_Toc50767936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Procédures pour restreindre, enregistrer, surveiller, et tracer l’accès aux données de paiement sensibles et garder la trace de ces accès</w:t>
            </w:r>
            <w:r w:rsidR="007D371F">
              <w:rPr>
                <w:noProof/>
                <w:webHidden/>
              </w:rPr>
              <w:tab/>
            </w:r>
            <w:r w:rsidR="007D371F">
              <w:rPr>
                <w:noProof/>
                <w:webHidden/>
              </w:rPr>
              <w:fldChar w:fldCharType="begin"/>
            </w:r>
            <w:r w:rsidR="007D371F">
              <w:rPr>
                <w:noProof/>
                <w:webHidden/>
              </w:rPr>
              <w:instrText xml:space="preserve"> PAGEREF _Toc507679365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305A22F7" w14:textId="77777777" w:rsidR="007D371F" w:rsidRDefault="00C32F52">
          <w:pPr>
            <w:pStyle w:val="TM1"/>
            <w:rPr>
              <w:rFonts w:eastAsiaTheme="minorEastAsia"/>
              <w:noProof/>
              <w:lang w:eastAsia="fr-FR"/>
            </w:rPr>
          </w:pPr>
          <w:hyperlink w:anchor="_Toc507679366" w:history="1">
            <w:r w:rsidR="007D371F" w:rsidRPr="00D55B52">
              <w:rPr>
                <w:rStyle w:val="Lienhypertexte"/>
                <w:noProof/>
              </w:rPr>
              <w:t>6.</w:t>
            </w:r>
            <w:r w:rsidR="007D371F">
              <w:rPr>
                <w:rFonts w:eastAsiaTheme="minorEastAsia"/>
                <w:noProof/>
                <w:lang w:eastAsia="fr-FR"/>
              </w:rPr>
              <w:tab/>
            </w:r>
            <w:r w:rsidR="007D371F" w:rsidRPr="00D55B52">
              <w:rPr>
                <w:rStyle w:val="Lienhypertexte"/>
                <w:noProof/>
              </w:rPr>
              <w:t>Dispositif de continuité d’activité et politique de sécurité</w:t>
            </w:r>
            <w:r w:rsidR="007D371F">
              <w:rPr>
                <w:noProof/>
                <w:webHidden/>
              </w:rPr>
              <w:tab/>
            </w:r>
            <w:r w:rsidR="007D371F">
              <w:rPr>
                <w:noProof/>
                <w:webHidden/>
              </w:rPr>
              <w:fldChar w:fldCharType="begin"/>
            </w:r>
            <w:r w:rsidR="007D371F">
              <w:rPr>
                <w:noProof/>
                <w:webHidden/>
              </w:rPr>
              <w:instrText xml:space="preserve"> PAGEREF _Toc507679366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0CFC2810" w14:textId="77777777" w:rsidR="007D371F" w:rsidRDefault="00C32F52">
          <w:pPr>
            <w:pStyle w:val="TM2"/>
            <w:tabs>
              <w:tab w:val="left" w:pos="660"/>
              <w:tab w:val="right" w:leader="dot" w:pos="9062"/>
            </w:tabs>
            <w:rPr>
              <w:rFonts w:eastAsiaTheme="minorEastAsia"/>
              <w:noProof/>
              <w:lang w:eastAsia="fr-FR"/>
            </w:rPr>
          </w:pPr>
          <w:hyperlink w:anchor="_Toc507679367"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Continuité d’activité</w:t>
            </w:r>
            <w:r w:rsidR="007D371F">
              <w:rPr>
                <w:noProof/>
                <w:webHidden/>
              </w:rPr>
              <w:tab/>
            </w:r>
            <w:r w:rsidR="007D371F">
              <w:rPr>
                <w:noProof/>
                <w:webHidden/>
              </w:rPr>
              <w:fldChar w:fldCharType="begin"/>
            </w:r>
            <w:r w:rsidR="007D371F">
              <w:rPr>
                <w:noProof/>
                <w:webHidden/>
              </w:rPr>
              <w:instrText xml:space="preserve"> PAGEREF _Toc507679367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4099A87B" w14:textId="77777777" w:rsidR="007D371F" w:rsidRDefault="00C32F52">
          <w:pPr>
            <w:pStyle w:val="TM2"/>
            <w:tabs>
              <w:tab w:val="left" w:pos="660"/>
              <w:tab w:val="right" w:leader="dot" w:pos="9062"/>
            </w:tabs>
            <w:rPr>
              <w:rFonts w:eastAsiaTheme="minorEastAsia"/>
              <w:noProof/>
              <w:lang w:eastAsia="fr-FR"/>
            </w:rPr>
          </w:pPr>
          <w:hyperlink w:anchor="_Toc507679368"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Politique de sécurité des services de paiement</w:t>
            </w:r>
            <w:r w:rsidR="007D371F">
              <w:rPr>
                <w:noProof/>
                <w:webHidden/>
              </w:rPr>
              <w:tab/>
            </w:r>
            <w:r w:rsidR="007D371F">
              <w:rPr>
                <w:noProof/>
                <w:webHidden/>
              </w:rPr>
              <w:fldChar w:fldCharType="begin"/>
            </w:r>
            <w:r w:rsidR="007D371F">
              <w:rPr>
                <w:noProof/>
                <w:webHidden/>
              </w:rPr>
              <w:instrText xml:space="preserve"> PAGEREF _Toc507679368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61E15923" w14:textId="77777777" w:rsidR="0093368A" w:rsidRDefault="0093368A" w:rsidP="0093368A">
          <w:r>
            <w:rPr>
              <w:b/>
              <w:bCs/>
            </w:rPr>
            <w:fldChar w:fldCharType="end"/>
          </w:r>
        </w:p>
      </w:sdtContent>
    </w:sdt>
    <w:p w14:paraId="1D25877B" w14:textId="77777777" w:rsidR="0093368A" w:rsidRDefault="0093368A" w:rsidP="0093368A">
      <w:pPr>
        <w:spacing w:after="200"/>
        <w:rPr>
          <w:rFonts w:ascii="Arial" w:hAnsi="Arial" w:cs="Arial"/>
        </w:rPr>
      </w:pPr>
      <w:r>
        <w:rPr>
          <w:rFonts w:ascii="Arial" w:hAnsi="Arial" w:cs="Arial"/>
        </w:rPr>
        <w:br w:type="page"/>
      </w:r>
    </w:p>
    <w:p w14:paraId="43CB4583" w14:textId="77777777" w:rsidR="0093368A" w:rsidRPr="00394CB9" w:rsidRDefault="0093368A" w:rsidP="0093368A">
      <w:pPr>
        <w:pStyle w:val="Titre1"/>
      </w:pPr>
      <w:bookmarkStart w:id="0" w:name="_Toc507679346"/>
      <w:r w:rsidRPr="00394CB9">
        <w:lastRenderedPageBreak/>
        <w:t>L’entreprise</w:t>
      </w:r>
      <w:bookmarkEnd w:id="0"/>
    </w:p>
    <w:p w14:paraId="68368589"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34311718" w14:textId="77777777" w:rsidTr="00B93618">
        <w:tc>
          <w:tcPr>
            <w:tcW w:w="2240" w:type="dxa"/>
            <w:shd w:val="clear" w:color="auto" w:fill="auto"/>
          </w:tcPr>
          <w:p w14:paraId="0EADB58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3919F74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5A4FD08E" w14:textId="77777777" w:rsidR="0093368A" w:rsidRDefault="0093368A" w:rsidP="0093368A">
      <w:pPr>
        <w:spacing w:line="240" w:lineRule="auto"/>
        <w:rPr>
          <w:rFonts w:ascii="Arial" w:eastAsia="Times New Roman" w:hAnsi="Arial" w:cs="Arial"/>
          <w:sz w:val="20"/>
          <w:szCs w:val="20"/>
          <w:lang w:eastAsia="fr-FR"/>
        </w:rPr>
      </w:pPr>
    </w:p>
    <w:p w14:paraId="4300B373"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0CF110C8" w14:textId="77777777" w:rsidR="0093368A" w:rsidRDefault="0093368A" w:rsidP="0093368A">
      <w:pPr>
        <w:spacing w:line="240" w:lineRule="auto"/>
        <w:ind w:firstLine="709"/>
        <w:rPr>
          <w:rFonts w:ascii="Arial" w:eastAsia="Times New Roman" w:hAnsi="Arial" w:cs="Arial"/>
          <w:i/>
          <w:sz w:val="20"/>
          <w:szCs w:val="20"/>
          <w:lang w:eastAsia="fr-FR"/>
        </w:rPr>
      </w:pPr>
    </w:p>
    <w:p w14:paraId="171D7F82"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61B15034"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4BDE300F" w14:textId="77777777" w:rsidTr="00B93618">
        <w:tc>
          <w:tcPr>
            <w:tcW w:w="2235" w:type="dxa"/>
            <w:shd w:val="clear" w:color="auto" w:fill="auto"/>
          </w:tcPr>
          <w:p w14:paraId="6A5EBAA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4F2B5163"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5E69B4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6678EAB5" w14:textId="77777777" w:rsidTr="00B93618">
        <w:tc>
          <w:tcPr>
            <w:tcW w:w="2235" w:type="dxa"/>
            <w:shd w:val="clear" w:color="auto" w:fill="auto"/>
          </w:tcPr>
          <w:p w14:paraId="1ADF8E8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0D6B3FB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7D112AC"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77E96405" w14:textId="77777777" w:rsidTr="00B93618">
        <w:tc>
          <w:tcPr>
            <w:tcW w:w="2240" w:type="dxa"/>
            <w:shd w:val="clear" w:color="auto" w:fill="auto"/>
          </w:tcPr>
          <w:p w14:paraId="3AC6200F"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5DC8B58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AEFB71"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08F98E32" w14:textId="77777777" w:rsidTr="00B93618">
        <w:tc>
          <w:tcPr>
            <w:tcW w:w="1668" w:type="dxa"/>
            <w:shd w:val="clear" w:color="auto" w:fill="auto"/>
          </w:tcPr>
          <w:p w14:paraId="06F0FFF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6699298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1CDB2F15"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1FAA08F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592647B0"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2C991CF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8D0D2CD"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323E28E5" w14:textId="77777777" w:rsidTr="00B93618">
        <w:tc>
          <w:tcPr>
            <w:tcW w:w="1668" w:type="dxa"/>
            <w:shd w:val="clear" w:color="auto" w:fill="auto"/>
          </w:tcPr>
          <w:p w14:paraId="2E33FCF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1B7D025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5CFF004"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3537A192" w14:textId="77777777" w:rsidR="0093368A" w:rsidRPr="00F16B9E" w:rsidRDefault="0093368A" w:rsidP="00B93618">
            <w:pPr>
              <w:spacing w:line="240" w:lineRule="auto"/>
              <w:rPr>
                <w:rFonts w:ascii="Arial" w:eastAsia="Times New Roman" w:hAnsi="Arial" w:cs="Arial"/>
                <w:sz w:val="20"/>
                <w:szCs w:val="24"/>
                <w:lang w:eastAsia="fr-FR"/>
              </w:rPr>
            </w:pPr>
          </w:p>
        </w:tc>
      </w:tr>
    </w:tbl>
    <w:p w14:paraId="15B39E47"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4CFF0E32" w14:textId="77777777" w:rsidTr="00B93618">
        <w:tc>
          <w:tcPr>
            <w:tcW w:w="1668" w:type="dxa"/>
            <w:shd w:val="clear" w:color="auto" w:fill="auto"/>
          </w:tcPr>
          <w:p w14:paraId="26CBCF6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73E0727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0493329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1E08A71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FD08321" w14:textId="77777777" w:rsidR="0093368A" w:rsidRPr="00F16B9E" w:rsidRDefault="0093368A" w:rsidP="0093368A">
      <w:pPr>
        <w:spacing w:line="240" w:lineRule="auto"/>
        <w:rPr>
          <w:rFonts w:ascii="Arial" w:eastAsia="Times New Roman" w:hAnsi="Arial" w:cs="Arial"/>
          <w:sz w:val="20"/>
          <w:szCs w:val="24"/>
          <w:lang w:eastAsia="fr-FR"/>
        </w:rPr>
      </w:pPr>
    </w:p>
    <w:p w14:paraId="2D438991"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3014DD4"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86E3B8C" w14:textId="77777777" w:rsidTr="00B93618">
        <w:tc>
          <w:tcPr>
            <w:tcW w:w="3085" w:type="dxa"/>
            <w:shd w:val="clear" w:color="auto" w:fill="auto"/>
          </w:tcPr>
          <w:p w14:paraId="341382C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6B8DC29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77EF41E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7C24A0F8" w14:textId="77777777" w:rsidTr="00B93618">
        <w:tc>
          <w:tcPr>
            <w:tcW w:w="3085" w:type="dxa"/>
            <w:shd w:val="clear" w:color="auto" w:fill="auto"/>
          </w:tcPr>
          <w:p w14:paraId="30BFFEC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509EEE3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4403BC3"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08FB1A5" w14:textId="77777777" w:rsidTr="00B93618">
        <w:tc>
          <w:tcPr>
            <w:tcW w:w="3085" w:type="dxa"/>
            <w:shd w:val="clear" w:color="auto" w:fill="auto"/>
          </w:tcPr>
          <w:p w14:paraId="4F41707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1C839FA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1"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1"/>
          </w:p>
        </w:tc>
      </w:tr>
    </w:tbl>
    <w:p w14:paraId="239EA55D" w14:textId="77777777" w:rsidR="0093368A" w:rsidRPr="00F16B9E" w:rsidRDefault="0093368A" w:rsidP="0093368A">
      <w:pPr>
        <w:spacing w:line="240" w:lineRule="auto"/>
        <w:rPr>
          <w:rFonts w:ascii="Arial" w:eastAsia="Times New Roman" w:hAnsi="Arial" w:cs="Arial"/>
          <w:sz w:val="20"/>
          <w:szCs w:val="20"/>
          <w:lang w:eastAsia="fr-FR"/>
        </w:rPr>
      </w:pPr>
    </w:p>
    <w:p w14:paraId="183AB0E3"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1EA0BA1D" w14:textId="77777777" w:rsidR="0093368A" w:rsidRPr="00F16B9E" w:rsidRDefault="0093368A" w:rsidP="0093368A">
      <w:pPr>
        <w:spacing w:line="240" w:lineRule="auto"/>
        <w:rPr>
          <w:rFonts w:ascii="Arial" w:eastAsia="Times New Roman" w:hAnsi="Arial" w:cs="Arial"/>
          <w:sz w:val="20"/>
          <w:szCs w:val="20"/>
          <w:lang w:eastAsia="fr-FR"/>
        </w:rPr>
      </w:pPr>
    </w:p>
    <w:p w14:paraId="1710AAD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7577A494"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21BD1956" w14:textId="77777777" w:rsidTr="00B93618">
        <w:trPr>
          <w:jc w:val="center"/>
        </w:trPr>
        <w:tc>
          <w:tcPr>
            <w:tcW w:w="1134" w:type="dxa"/>
            <w:vAlign w:val="center"/>
          </w:tcPr>
          <w:p w14:paraId="09F1C47B"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1B0B648C"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1F1D1BBD"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3ABDE31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6E81AC04"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02BC56D3" w14:textId="77777777" w:rsidTr="00B93618">
        <w:tc>
          <w:tcPr>
            <w:tcW w:w="3085" w:type="dxa"/>
            <w:shd w:val="clear" w:color="auto" w:fill="auto"/>
          </w:tcPr>
          <w:p w14:paraId="7FB102F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44CCE00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E5B990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9AF94C0" w14:textId="77777777" w:rsidTr="00B93618">
        <w:tc>
          <w:tcPr>
            <w:tcW w:w="3085" w:type="dxa"/>
            <w:shd w:val="clear" w:color="auto" w:fill="auto"/>
          </w:tcPr>
          <w:p w14:paraId="6B0B244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257B63C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FEA39DB" w14:textId="77777777" w:rsidR="0093368A" w:rsidRDefault="0093368A" w:rsidP="0093368A">
      <w:pPr>
        <w:spacing w:line="240" w:lineRule="auto"/>
        <w:rPr>
          <w:rFonts w:ascii="Arial" w:eastAsia="Times New Roman" w:hAnsi="Arial" w:cs="Arial"/>
          <w:sz w:val="20"/>
          <w:szCs w:val="20"/>
          <w:lang w:eastAsia="fr-FR"/>
        </w:rPr>
      </w:pPr>
    </w:p>
    <w:p w14:paraId="47BA5190" w14:textId="77777777" w:rsidR="0093368A" w:rsidRDefault="0093368A" w:rsidP="0093368A">
      <w:pPr>
        <w:spacing w:line="240" w:lineRule="auto"/>
        <w:rPr>
          <w:rFonts w:ascii="Arial" w:eastAsia="Times New Roman" w:hAnsi="Arial" w:cs="Arial"/>
          <w:sz w:val="20"/>
          <w:szCs w:val="20"/>
          <w:lang w:eastAsia="fr-FR"/>
        </w:rPr>
      </w:pPr>
    </w:p>
    <w:p w14:paraId="51D7D455"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FF9A49B" w14:textId="77777777" w:rsidR="0093368A" w:rsidRDefault="0093368A" w:rsidP="0093368A">
      <w:pPr>
        <w:spacing w:line="240" w:lineRule="auto"/>
        <w:rPr>
          <w:rFonts w:ascii="Arial" w:eastAsia="Times New Roman" w:hAnsi="Arial" w:cs="Arial"/>
          <w:sz w:val="20"/>
          <w:szCs w:val="20"/>
          <w:lang w:eastAsia="fr-FR"/>
        </w:rPr>
      </w:pPr>
    </w:p>
    <w:p w14:paraId="072CC573"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5B9F78E9" w14:textId="77777777" w:rsidR="0093368A" w:rsidRPr="00F16B9E" w:rsidRDefault="0093368A" w:rsidP="0093368A">
      <w:pPr>
        <w:spacing w:line="240" w:lineRule="auto"/>
        <w:rPr>
          <w:rFonts w:ascii="Arial" w:eastAsia="Times New Roman" w:hAnsi="Arial" w:cs="Arial"/>
          <w:sz w:val="20"/>
          <w:szCs w:val="20"/>
          <w:lang w:eastAsia="fr-FR"/>
        </w:rPr>
      </w:pPr>
    </w:p>
    <w:p w14:paraId="0FEE5BF6"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464AB3A0" w14:textId="77777777" w:rsidR="0093368A" w:rsidRPr="00B00A2F" w:rsidRDefault="0093368A" w:rsidP="001D482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3AD9D100"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439A4D1E" w14:textId="77777777" w:rsidTr="00B93618">
        <w:tc>
          <w:tcPr>
            <w:tcW w:w="1526" w:type="dxa"/>
          </w:tcPr>
          <w:p w14:paraId="5133B89A"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483DD059"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066ECF76"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64198F46"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00D71113" w14:textId="77777777" w:rsidTr="00B93618">
        <w:trPr>
          <w:trHeight w:val="567"/>
        </w:trPr>
        <w:tc>
          <w:tcPr>
            <w:tcW w:w="1526" w:type="dxa"/>
            <w:vAlign w:val="center"/>
          </w:tcPr>
          <w:p w14:paraId="118D45D4"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73BC85E4"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22697EA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442CAC3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27414007" w14:textId="77777777" w:rsidTr="00B93618">
        <w:trPr>
          <w:trHeight w:val="567"/>
        </w:trPr>
        <w:tc>
          <w:tcPr>
            <w:tcW w:w="1526" w:type="dxa"/>
            <w:vAlign w:val="center"/>
          </w:tcPr>
          <w:p w14:paraId="55B6B2A2"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5CEFDB8D"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78C68856"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73693C7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2F7301C4" w14:textId="77777777" w:rsidTr="00B93618">
        <w:trPr>
          <w:trHeight w:val="567"/>
        </w:trPr>
        <w:tc>
          <w:tcPr>
            <w:tcW w:w="1526" w:type="dxa"/>
            <w:vAlign w:val="center"/>
          </w:tcPr>
          <w:p w14:paraId="0D421933"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3BCD660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51D03D10"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3CC367D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6A177632"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11E4CA2" w14:textId="77777777" w:rsidR="0093368A" w:rsidRDefault="0093368A" w:rsidP="0093368A">
      <w:pPr>
        <w:spacing w:line="240" w:lineRule="auto"/>
        <w:rPr>
          <w:rFonts w:ascii="Arial" w:hAnsi="Arial" w:cs="Arial"/>
          <w:b/>
          <w:color w:val="365F91" w:themeColor="accent1" w:themeShade="BF"/>
          <w:sz w:val="20"/>
          <w:szCs w:val="20"/>
        </w:rPr>
      </w:pPr>
    </w:p>
    <w:p w14:paraId="226EAEFB" w14:textId="25C81E00"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890EF0">
        <w:rPr>
          <w:rFonts w:ascii="Arial" w:hAnsi="Arial" w:cs="Arial"/>
          <w:b/>
          <w:color w:val="1F497D" w:themeColor="text2"/>
          <w:sz w:val="20"/>
          <w:szCs w:val="20"/>
          <w:u w:val="single"/>
        </w:rPr>
        <w:t>qualifiée (</w:t>
      </w:r>
      <w:hyperlink r:id="rId11" w:history="1">
        <w:r w:rsidR="00097C44" w:rsidRPr="00D85545">
          <w:rPr>
            <w:rStyle w:val="Lienhypertexte"/>
            <w:rFonts w:ascii="Arial" w:hAnsi="Arial" w:cs="Arial"/>
            <w:b/>
            <w:sz w:val="20"/>
            <w:szCs w:val="20"/>
          </w:rPr>
          <w:t>https://acpr.banque-france.fr/sites/default/files/media/2022/02/01/272._instruction_2021-i-20_annexe.docx</w:t>
        </w:r>
      </w:hyperlink>
      <w:r w:rsidR="00097C44">
        <w:rPr>
          <w:rFonts w:ascii="Arial" w:hAnsi="Arial" w:cs="Arial"/>
          <w:b/>
          <w:color w:val="1F497D" w:themeColor="text2"/>
          <w:sz w:val="20"/>
          <w:szCs w:val="20"/>
          <w:u w:val="single"/>
        </w:rPr>
        <w:t xml:space="preserve"> </w:t>
      </w:r>
      <w:bookmarkStart w:id="2" w:name="_GoBack"/>
      <w:bookmarkEnd w:id="2"/>
      <w:r w:rsidRPr="00890EF0">
        <w:rPr>
          <w:rFonts w:ascii="Arial" w:hAnsi="Arial" w:cs="Arial"/>
          <w:b/>
          <w:color w:val="1F497D" w:themeColor="text2"/>
          <w:sz w:val="20"/>
          <w:szCs w:val="20"/>
          <w:u w:val="single"/>
        </w:rPr>
        <w:t>)</w:t>
      </w:r>
    </w:p>
    <w:p w14:paraId="0B3B9BA5" w14:textId="77777777" w:rsidR="0093368A" w:rsidRDefault="0093368A" w:rsidP="0093368A">
      <w:pPr>
        <w:spacing w:line="240" w:lineRule="auto"/>
        <w:rPr>
          <w:rFonts w:ascii="Arial" w:hAnsi="Arial" w:cs="Arial"/>
          <w:b/>
          <w:color w:val="365F91" w:themeColor="accent1" w:themeShade="BF"/>
          <w:sz w:val="20"/>
          <w:szCs w:val="20"/>
        </w:rPr>
      </w:pPr>
    </w:p>
    <w:p w14:paraId="08CEAEDC"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7C16DDF3"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144D9DAE" w14:textId="77777777" w:rsidR="0093368A" w:rsidRDefault="0093368A" w:rsidP="0093368A">
      <w:pPr>
        <w:spacing w:line="240" w:lineRule="auto"/>
        <w:jc w:val="both"/>
        <w:rPr>
          <w:rFonts w:ascii="Arial" w:eastAsia="Times New Roman" w:hAnsi="Arial" w:cs="Arial"/>
          <w:sz w:val="20"/>
          <w:szCs w:val="20"/>
          <w:lang w:eastAsia="fr-FR"/>
        </w:rPr>
      </w:pPr>
    </w:p>
    <w:p w14:paraId="00A6CCFE"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42C52098" w14:textId="77777777" w:rsidTr="00B93618">
        <w:trPr>
          <w:jc w:val="center"/>
        </w:trPr>
        <w:tc>
          <w:tcPr>
            <w:tcW w:w="1134" w:type="dxa"/>
            <w:vAlign w:val="center"/>
          </w:tcPr>
          <w:p w14:paraId="1A12E945"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28BA9FF"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3058E3E"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272EA037"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F802D0E"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134D30A7" w14:textId="77777777" w:rsidR="0093368A" w:rsidRPr="00610094" w:rsidRDefault="0093368A" w:rsidP="0093368A">
      <w:pPr>
        <w:spacing w:line="240" w:lineRule="auto"/>
        <w:rPr>
          <w:rFonts w:ascii="Arial" w:eastAsia="Times New Roman" w:hAnsi="Arial" w:cs="Arial"/>
          <w:sz w:val="20"/>
          <w:szCs w:val="20"/>
          <w:lang w:eastAsia="fr-FR"/>
        </w:rPr>
      </w:pPr>
    </w:p>
    <w:p w14:paraId="135043D9" w14:textId="77777777" w:rsidR="0093368A" w:rsidRPr="0051038D" w:rsidRDefault="0093368A" w:rsidP="0093368A">
      <w:pPr>
        <w:jc w:val="both"/>
        <w:rPr>
          <w:rFonts w:ascii="Arial" w:hAnsi="Arial" w:cs="Arial"/>
          <w:b/>
          <w:color w:val="1F497D" w:themeColor="text2"/>
          <w:sz w:val="20"/>
          <w:szCs w:val="20"/>
          <w:u w:val="single"/>
        </w:rPr>
      </w:pPr>
    </w:p>
    <w:p w14:paraId="094792C2"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19D5D56D" w14:textId="77777777" w:rsidR="0093368A" w:rsidRDefault="0093368A" w:rsidP="0093368A">
      <w:pPr>
        <w:jc w:val="both"/>
        <w:rPr>
          <w:rFonts w:ascii="Arial" w:hAnsi="Arial" w:cs="Arial"/>
          <w:sz w:val="20"/>
          <w:szCs w:val="20"/>
        </w:rPr>
      </w:pPr>
    </w:p>
    <w:p w14:paraId="3B696BDF"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14:paraId="565C2978"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28AFCA2B" w14:textId="77777777" w:rsidR="0093368A" w:rsidRDefault="0093368A" w:rsidP="0093368A">
      <w:pPr>
        <w:jc w:val="both"/>
        <w:rPr>
          <w:rFonts w:ascii="Arial" w:eastAsia="Times New Roman" w:hAnsi="Arial" w:cs="Times New Roman"/>
          <w:kern w:val="19"/>
          <w:sz w:val="19"/>
          <w:szCs w:val="19"/>
          <w:lang w:eastAsia="fr-FR" w:bidi="fr-FR"/>
        </w:rPr>
      </w:pPr>
    </w:p>
    <w:p w14:paraId="7AEBAAD6"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3E05BE11" w14:textId="77777777" w:rsidR="0093368A" w:rsidRDefault="0093368A" w:rsidP="0093368A">
      <w:pPr>
        <w:spacing w:line="240" w:lineRule="auto"/>
        <w:rPr>
          <w:rFonts w:ascii="Arial" w:eastAsia="Times New Roman" w:hAnsi="Arial" w:cs="Arial"/>
          <w:sz w:val="20"/>
          <w:szCs w:val="20"/>
          <w:lang w:eastAsia="fr-FR"/>
        </w:rPr>
      </w:pPr>
    </w:p>
    <w:p w14:paraId="7D59626C"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6921B7AD" w14:textId="77777777" w:rsidR="0093368A" w:rsidRPr="00610094" w:rsidRDefault="0093368A" w:rsidP="0093368A">
      <w:pPr>
        <w:spacing w:line="240" w:lineRule="auto"/>
        <w:rPr>
          <w:rFonts w:ascii="Arial" w:eastAsia="Times New Roman" w:hAnsi="Arial" w:cs="Arial"/>
          <w:sz w:val="20"/>
          <w:szCs w:val="20"/>
          <w:lang w:eastAsia="fr-FR"/>
        </w:rPr>
      </w:pPr>
    </w:p>
    <w:p w14:paraId="4D905E29"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36791D77"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5F6C3E83"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2E4F8FA0" w14:textId="77777777" w:rsidTr="00B93618">
        <w:tc>
          <w:tcPr>
            <w:tcW w:w="1951" w:type="dxa"/>
            <w:shd w:val="clear" w:color="auto" w:fill="auto"/>
          </w:tcPr>
          <w:p w14:paraId="56A7111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62476F9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6991556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0785AD2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D45AF4A"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0B5D165B" w14:textId="77777777" w:rsidTr="00B93618">
        <w:tc>
          <w:tcPr>
            <w:tcW w:w="1951" w:type="dxa"/>
            <w:shd w:val="clear" w:color="auto" w:fill="auto"/>
          </w:tcPr>
          <w:p w14:paraId="35626C4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BE06A5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D2F46C0"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8DFBD0E" w14:textId="77777777" w:rsidTr="00B93618">
        <w:tc>
          <w:tcPr>
            <w:tcW w:w="1951" w:type="dxa"/>
            <w:shd w:val="clear" w:color="auto" w:fill="auto"/>
          </w:tcPr>
          <w:p w14:paraId="69B9F53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1E01F59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C3644F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900A5A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A647D35"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135133DA" w14:textId="77777777" w:rsidTr="00B93618">
        <w:tc>
          <w:tcPr>
            <w:tcW w:w="1951" w:type="dxa"/>
            <w:shd w:val="clear" w:color="auto" w:fill="auto"/>
          </w:tcPr>
          <w:p w14:paraId="4C2419C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1FFE5BC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7C13FC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25BB08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D3EF2EF"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46DD27AE" w14:textId="77777777" w:rsidTr="00B93618">
        <w:trPr>
          <w:gridAfter w:val="1"/>
          <w:wAfter w:w="32" w:type="dxa"/>
        </w:trPr>
        <w:tc>
          <w:tcPr>
            <w:tcW w:w="1951" w:type="dxa"/>
            <w:vMerge w:val="restart"/>
            <w:shd w:val="clear" w:color="auto" w:fill="auto"/>
          </w:tcPr>
          <w:p w14:paraId="62FA924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41CA139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005D8BD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1FCAEC6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4B3D352" w14:textId="77777777" w:rsidTr="00B93618">
        <w:trPr>
          <w:gridAfter w:val="1"/>
          <w:wAfter w:w="32" w:type="dxa"/>
          <w:trHeight w:val="230"/>
        </w:trPr>
        <w:tc>
          <w:tcPr>
            <w:tcW w:w="1951" w:type="dxa"/>
            <w:vMerge/>
            <w:shd w:val="clear" w:color="auto" w:fill="auto"/>
          </w:tcPr>
          <w:p w14:paraId="2D481FC5"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42F78F13"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2E38A2D2"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4DCB20BD"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00CA2C51" w14:textId="77777777" w:rsidTr="00B93618">
        <w:tc>
          <w:tcPr>
            <w:tcW w:w="1951" w:type="dxa"/>
            <w:shd w:val="clear" w:color="auto" w:fill="auto"/>
          </w:tcPr>
          <w:p w14:paraId="01BEB06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B82416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1F14BC8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799268C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712DA18" w14:textId="77777777" w:rsidR="0093368A" w:rsidRPr="00AA4FE8" w:rsidRDefault="0093368A" w:rsidP="0093368A">
      <w:pPr>
        <w:spacing w:line="240" w:lineRule="auto"/>
        <w:rPr>
          <w:rFonts w:ascii="Arial" w:eastAsia="Times New Roman" w:hAnsi="Arial" w:cs="Arial"/>
          <w:sz w:val="20"/>
          <w:szCs w:val="20"/>
          <w:lang w:eastAsia="fr-FR"/>
        </w:rPr>
      </w:pPr>
    </w:p>
    <w:p w14:paraId="5945AD2D"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6111703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36537AFC" w14:textId="77777777" w:rsidTr="00B93618">
        <w:tc>
          <w:tcPr>
            <w:tcW w:w="9180" w:type="dxa"/>
            <w:shd w:val="clear" w:color="auto" w:fill="C6D9F1" w:themeFill="text2" w:themeFillTint="33"/>
          </w:tcPr>
          <w:p w14:paraId="750AB1CA"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BA1DEE7"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421FC272" w14:textId="77777777" w:rsidTr="00B93618">
        <w:tc>
          <w:tcPr>
            <w:tcW w:w="1526" w:type="dxa"/>
            <w:shd w:val="clear" w:color="auto" w:fill="auto"/>
          </w:tcPr>
          <w:p w14:paraId="4BF117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7B0F98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206053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2A807E5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1E7BC83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0DBDB6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57735E2A"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1A1DB3F0" w14:textId="77777777" w:rsidTr="00B93618">
        <w:tc>
          <w:tcPr>
            <w:tcW w:w="1951" w:type="dxa"/>
            <w:shd w:val="clear" w:color="auto" w:fill="auto"/>
          </w:tcPr>
          <w:p w14:paraId="7FF0476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3FF0F6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08CC107"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4EF3C8FD" w14:textId="77777777" w:rsidTr="00B93618">
        <w:tc>
          <w:tcPr>
            <w:tcW w:w="1951" w:type="dxa"/>
            <w:shd w:val="clear" w:color="auto" w:fill="auto"/>
          </w:tcPr>
          <w:p w14:paraId="32D5DDEB"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51AF58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9727350" w14:textId="77777777" w:rsidR="0093368A" w:rsidRDefault="0093368A" w:rsidP="0093368A">
      <w:pPr>
        <w:rPr>
          <w:rFonts w:ascii="Arial" w:hAnsi="Arial" w:cs="Arial"/>
          <w:sz w:val="20"/>
          <w:szCs w:val="20"/>
        </w:rPr>
      </w:pPr>
    </w:p>
    <w:p w14:paraId="36BEC95C"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503FADA8"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35F5DAB3"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101C34F8" w14:textId="77777777" w:rsidTr="00B93618">
        <w:tc>
          <w:tcPr>
            <w:tcW w:w="2240" w:type="dxa"/>
            <w:shd w:val="clear" w:color="auto" w:fill="auto"/>
          </w:tcPr>
          <w:p w14:paraId="33D3E89C"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638F6B82"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528C04C"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06AFEFC3" w14:textId="77777777" w:rsidTr="00B93618">
        <w:tc>
          <w:tcPr>
            <w:tcW w:w="1951" w:type="dxa"/>
            <w:shd w:val="clear" w:color="auto" w:fill="auto"/>
          </w:tcPr>
          <w:p w14:paraId="2765F1E9"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0CFE4A5E"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1277C002"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170DC79F"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68DCCE1"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2520F4E3" w14:textId="77777777" w:rsidTr="00B93618">
        <w:tc>
          <w:tcPr>
            <w:tcW w:w="3652" w:type="dxa"/>
            <w:shd w:val="clear" w:color="auto" w:fill="auto"/>
          </w:tcPr>
          <w:p w14:paraId="28F9A0B1"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0B966EA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C5F5C9D" w14:textId="77777777" w:rsidR="0093368A" w:rsidRDefault="0093368A" w:rsidP="0093368A">
      <w:pPr>
        <w:rPr>
          <w:rFonts w:ascii="Arial" w:hAnsi="Arial" w:cs="Arial"/>
          <w:sz w:val="20"/>
          <w:szCs w:val="20"/>
          <w:u w:val="single"/>
        </w:rPr>
      </w:pPr>
    </w:p>
    <w:p w14:paraId="7170DD0E"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11DD6331"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5BC3198A" w14:textId="77777777" w:rsidTr="00B93618">
        <w:tc>
          <w:tcPr>
            <w:tcW w:w="1951" w:type="dxa"/>
            <w:shd w:val="clear" w:color="auto" w:fill="auto"/>
          </w:tcPr>
          <w:p w14:paraId="75330113"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40BD3189"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35222385"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79B97B7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6B7A6B6"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2DB102F4" w14:textId="77777777" w:rsidTr="00B93618">
        <w:tc>
          <w:tcPr>
            <w:tcW w:w="1951" w:type="dxa"/>
            <w:shd w:val="clear" w:color="auto" w:fill="auto"/>
          </w:tcPr>
          <w:p w14:paraId="2E837D51"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056B672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04618ED4" w14:textId="77777777" w:rsidR="0093368A" w:rsidRPr="002F65F1" w:rsidRDefault="0093368A" w:rsidP="00B93618">
            <w:pPr>
              <w:rPr>
                <w:rFonts w:ascii="Arial" w:hAnsi="Arial" w:cs="Arial"/>
                <w:sz w:val="20"/>
              </w:rPr>
            </w:pPr>
          </w:p>
        </w:tc>
      </w:tr>
    </w:tbl>
    <w:p w14:paraId="7ACB1D5C"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66304AB5" w14:textId="77777777" w:rsidTr="00B93618">
        <w:tc>
          <w:tcPr>
            <w:tcW w:w="1951" w:type="dxa"/>
            <w:shd w:val="clear" w:color="auto" w:fill="auto"/>
          </w:tcPr>
          <w:p w14:paraId="5D3240A4"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BE6B4E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CB7269D"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6951121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5AEE4B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4545FF75" w14:textId="77777777" w:rsidTr="00B93618">
        <w:tc>
          <w:tcPr>
            <w:tcW w:w="1951" w:type="dxa"/>
            <w:shd w:val="clear" w:color="auto" w:fill="auto"/>
          </w:tcPr>
          <w:p w14:paraId="0189D81E"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2034A5E1"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1ECC7E4F"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26166C5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9660B27"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04D13469" w14:textId="77777777" w:rsidTr="00B93618">
        <w:tc>
          <w:tcPr>
            <w:tcW w:w="1951" w:type="dxa"/>
            <w:shd w:val="clear" w:color="auto" w:fill="auto"/>
          </w:tcPr>
          <w:p w14:paraId="4AC698A8"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3FDB356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579D92FA"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31C6EBD"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8D45B4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6526CBBC" w14:textId="77777777" w:rsidTr="00B93618">
        <w:tc>
          <w:tcPr>
            <w:tcW w:w="1951" w:type="dxa"/>
            <w:shd w:val="clear" w:color="auto" w:fill="auto"/>
          </w:tcPr>
          <w:p w14:paraId="35BDFF3E"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54F5C88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41C0A63"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72C75C24"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C62D27A" w14:textId="77777777" w:rsidR="0093368A" w:rsidRDefault="0093368A" w:rsidP="0093368A">
      <w:pPr>
        <w:rPr>
          <w:rFonts w:ascii="Arial" w:hAnsi="Arial" w:cs="Arial"/>
          <w:sz w:val="20"/>
          <w:szCs w:val="20"/>
        </w:rPr>
      </w:pPr>
    </w:p>
    <w:p w14:paraId="16314A5F" w14:textId="77777777" w:rsidR="0093368A" w:rsidRDefault="0093368A" w:rsidP="0093368A">
      <w:pPr>
        <w:rPr>
          <w:rFonts w:ascii="Arial" w:hAnsi="Arial" w:cs="Arial"/>
          <w:sz w:val="20"/>
          <w:szCs w:val="20"/>
        </w:rPr>
      </w:pPr>
    </w:p>
    <w:p w14:paraId="7BFECCE4"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7907315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65CF0E77" w14:textId="77777777" w:rsidTr="00B93618">
        <w:trPr>
          <w:jc w:val="center"/>
        </w:trPr>
        <w:tc>
          <w:tcPr>
            <w:tcW w:w="1134" w:type="dxa"/>
            <w:vAlign w:val="center"/>
          </w:tcPr>
          <w:p w14:paraId="23FE151B"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57C6F91"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71D107CE"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7B256CE2"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32F52">
              <w:rPr>
                <w:rFonts w:ascii="Arial" w:eastAsia="Times New Roman" w:hAnsi="Arial" w:cs="Arial"/>
                <w:sz w:val="20"/>
                <w:szCs w:val="20"/>
                <w:lang w:eastAsia="fr-FR"/>
              </w:rPr>
            </w:r>
            <w:r w:rsidR="00C32F5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536AC884" w14:textId="77777777" w:rsidR="0093368A" w:rsidRPr="00466DB0" w:rsidRDefault="0093368A" w:rsidP="0093368A">
      <w:pPr>
        <w:rPr>
          <w:rFonts w:ascii="Arial" w:hAnsi="Arial" w:cs="Arial"/>
          <w:color w:val="1F497D" w:themeColor="text2"/>
          <w:sz w:val="20"/>
          <w:szCs w:val="20"/>
        </w:rPr>
      </w:pPr>
    </w:p>
    <w:p w14:paraId="429B4F4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14:paraId="5B3C98FA" w14:textId="77777777" w:rsidR="0093368A" w:rsidRPr="00A74F8A" w:rsidRDefault="0093368A" w:rsidP="0093368A">
      <w:pPr>
        <w:rPr>
          <w:rFonts w:ascii="Arial" w:hAnsi="Arial" w:cs="Arial"/>
          <w:sz w:val="20"/>
          <w:szCs w:val="20"/>
        </w:rPr>
      </w:pPr>
    </w:p>
    <w:p w14:paraId="3EC58E48"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3BF0235E" w14:textId="77777777" w:rsidR="0093368A" w:rsidRPr="00FF1FD6" w:rsidRDefault="0093368A" w:rsidP="009B2B08">
      <w:pPr>
        <w:spacing w:line="240" w:lineRule="auto"/>
        <w:rPr>
          <w:rFonts w:ascii="Arial" w:hAnsi="Arial" w:cs="Arial"/>
          <w:sz w:val="20"/>
          <w:szCs w:val="20"/>
        </w:rPr>
      </w:pPr>
    </w:p>
    <w:p w14:paraId="0689A45E"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14:paraId="69736E1B"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C46954">
        <w:rPr>
          <w:rFonts w:ascii="Arial" w:hAnsi="Arial" w:cs="Arial"/>
          <w:sz w:val="20"/>
          <w:szCs w:val="20"/>
        </w:rPr>
        <w:t>s</w:t>
      </w:r>
      <w:r w:rsidR="0093368A" w:rsidRPr="009B2B08">
        <w:rPr>
          <w:rFonts w:ascii="Arial" w:hAnsi="Arial" w:cs="Arial"/>
          <w:sz w:val="20"/>
          <w:szCs w:val="20"/>
        </w:rPr>
        <w:t xml:space="preserve"> qualifiées)</w:t>
      </w:r>
      <w:r w:rsidR="007C6276">
        <w:rPr>
          <w:rFonts w:ascii="Arial" w:hAnsi="Arial" w:cs="Arial"/>
          <w:sz w:val="20"/>
          <w:szCs w:val="20"/>
        </w:rPr>
        <w:t>.</w:t>
      </w:r>
      <w:r w:rsidR="00C46954">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0C53F859"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0C6B2F73" w14:textId="77777777" w:rsidR="0093368A" w:rsidRPr="00394CB9" w:rsidRDefault="0093368A" w:rsidP="0093368A">
      <w:pPr>
        <w:pStyle w:val="Titre1"/>
      </w:pPr>
      <w:bookmarkStart w:id="5" w:name="_Toc507679347"/>
      <w:r w:rsidRPr="00394CB9">
        <w:lastRenderedPageBreak/>
        <w:t>Programme d’activité</w:t>
      </w:r>
      <w:bookmarkEnd w:id="5"/>
    </w:p>
    <w:p w14:paraId="0707FC56"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1E1E4EDB" w14:textId="77777777" w:rsidTr="00B93618">
        <w:tc>
          <w:tcPr>
            <w:tcW w:w="3652" w:type="dxa"/>
            <w:shd w:val="clear" w:color="auto" w:fill="auto"/>
          </w:tcPr>
          <w:p w14:paraId="58683380"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308CA18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BC3D69E" w14:textId="77777777" w:rsidR="0093368A" w:rsidRPr="003B1354" w:rsidRDefault="0093368A" w:rsidP="0093368A">
      <w:pPr>
        <w:spacing w:line="240" w:lineRule="auto"/>
        <w:rPr>
          <w:rFonts w:ascii="Arial" w:eastAsia="Times New Roman" w:hAnsi="Arial" w:cs="Arial"/>
          <w:sz w:val="20"/>
          <w:szCs w:val="20"/>
          <w:lang w:eastAsia="fr-FR"/>
        </w:rPr>
      </w:pPr>
    </w:p>
    <w:p w14:paraId="730D2192" w14:textId="77777777" w:rsidR="0093368A" w:rsidRPr="00A167A7" w:rsidRDefault="0093368A" w:rsidP="0093368A">
      <w:pPr>
        <w:pStyle w:val="Titre2"/>
      </w:pPr>
      <w:bookmarkStart w:id="6" w:name="_Toc507679348"/>
      <w:r w:rsidRPr="00A167A7">
        <w:t>Services de paiement</w:t>
      </w:r>
      <w:bookmarkEnd w:id="6"/>
    </w:p>
    <w:p w14:paraId="59CDC464" w14:textId="77777777"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365434">
        <w:rPr>
          <w:rFonts w:ascii="Arial" w:eastAsia="Times New Roman" w:hAnsi="Arial" w:cs="Arial"/>
          <w:i/>
          <w:sz w:val="20"/>
          <w:szCs w:val="20"/>
          <w:lang w:eastAsia="fr-FR"/>
        </w:rPr>
        <w:t>, II</w:t>
      </w:r>
      <w:r w:rsidRPr="003B1354">
        <w:rPr>
          <w:rFonts w:ascii="Arial" w:eastAsia="Times New Roman" w:hAnsi="Arial" w:cs="Arial"/>
          <w:i/>
          <w:sz w:val="20"/>
          <w:szCs w:val="20"/>
          <w:lang w:eastAsia="fr-FR"/>
        </w:rPr>
        <w:t xml:space="preserve"> du Code monétaire et financier)</w:t>
      </w:r>
    </w:p>
    <w:p w14:paraId="45F40EF6" w14:textId="77777777" w:rsidR="0093368A" w:rsidRPr="003B1354" w:rsidRDefault="0093368A" w:rsidP="0093368A">
      <w:pPr>
        <w:spacing w:line="240" w:lineRule="auto"/>
        <w:rPr>
          <w:rFonts w:ascii="Arial" w:eastAsia="Times New Roman" w:hAnsi="Arial" w:cs="Arial"/>
          <w:sz w:val="20"/>
          <w:szCs w:val="20"/>
          <w:lang w:eastAsia="fr-FR"/>
        </w:rPr>
      </w:pPr>
    </w:p>
    <w:p w14:paraId="3EEEDD04" w14:textId="77777777"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Pr>
          <w:rFonts w:ascii="Arial" w:hAnsi="Arial" w:cs="Arial"/>
          <w:sz w:val="20"/>
          <w:szCs w:val="20"/>
        </w:rPr>
        <w:t> :</w:t>
      </w:r>
    </w:p>
    <w:p w14:paraId="6CA1C0A3"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1A72007C" w14:textId="77777777" w:rsidTr="00543CAF">
        <w:tc>
          <w:tcPr>
            <w:tcW w:w="567" w:type="dxa"/>
            <w:vAlign w:val="center"/>
          </w:tcPr>
          <w:p w14:paraId="1468136C"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77BDC06A"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458BACD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5402369A" w14:textId="77777777" w:rsidTr="00543CAF">
        <w:tc>
          <w:tcPr>
            <w:tcW w:w="567" w:type="dxa"/>
            <w:vAlign w:val="center"/>
          </w:tcPr>
          <w:p w14:paraId="228942C1"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06D2B850"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5CF59281"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31E05731" w14:textId="77777777" w:rsidTr="00543CAF">
        <w:tc>
          <w:tcPr>
            <w:tcW w:w="567" w:type="dxa"/>
            <w:vAlign w:val="center"/>
          </w:tcPr>
          <w:p w14:paraId="73F5A6AE"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32086144"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06883184"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14:paraId="1EA54769" w14:textId="77777777" w:rsidTr="00543CAF">
        <w:tc>
          <w:tcPr>
            <w:tcW w:w="567" w:type="dxa"/>
            <w:vMerge w:val="restart"/>
            <w:vAlign w:val="center"/>
          </w:tcPr>
          <w:p w14:paraId="067DBC29" w14:textId="77777777" w:rsidR="00D60EAC" w:rsidRPr="00452F83" w:rsidRDefault="00D60EAC" w:rsidP="00B93618">
            <w:pPr>
              <w:jc w:val="center"/>
              <w:rPr>
                <w:rFonts w:ascii="Arial" w:hAnsi="Arial" w:cs="Arial"/>
                <w:sz w:val="20"/>
                <w:szCs w:val="20"/>
              </w:rPr>
            </w:pPr>
          </w:p>
        </w:tc>
        <w:tc>
          <w:tcPr>
            <w:tcW w:w="567" w:type="dxa"/>
            <w:vAlign w:val="center"/>
          </w:tcPr>
          <w:p w14:paraId="20A81DB4"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C884DB1" w14:textId="77777777"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44196E32"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D60EAC" w:rsidRPr="00452F83" w14:paraId="0434E82B" w14:textId="77777777" w:rsidTr="00543CAF">
        <w:tc>
          <w:tcPr>
            <w:tcW w:w="567" w:type="dxa"/>
            <w:vMerge/>
            <w:vAlign w:val="center"/>
          </w:tcPr>
          <w:p w14:paraId="45B1596A" w14:textId="77777777" w:rsidR="00D60EAC" w:rsidRPr="00452F83" w:rsidRDefault="00D60EAC" w:rsidP="00B93618">
            <w:pPr>
              <w:jc w:val="center"/>
              <w:rPr>
                <w:rFonts w:ascii="Arial" w:hAnsi="Arial" w:cs="Arial"/>
                <w:sz w:val="20"/>
                <w:szCs w:val="20"/>
              </w:rPr>
            </w:pPr>
          </w:p>
        </w:tc>
        <w:tc>
          <w:tcPr>
            <w:tcW w:w="567" w:type="dxa"/>
            <w:vAlign w:val="center"/>
          </w:tcPr>
          <w:p w14:paraId="3FC02248"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48EFF7C7" w14:textId="77777777"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39015C0B"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D60EAC" w:rsidRPr="00452F83" w14:paraId="656CA3B4" w14:textId="77777777" w:rsidTr="00543CAF">
        <w:tc>
          <w:tcPr>
            <w:tcW w:w="567" w:type="dxa"/>
            <w:vMerge/>
            <w:vAlign w:val="center"/>
          </w:tcPr>
          <w:p w14:paraId="7CBB68BF" w14:textId="77777777" w:rsidR="00D60EAC" w:rsidRPr="00452F83" w:rsidRDefault="00D60EAC" w:rsidP="00B93618">
            <w:pPr>
              <w:jc w:val="center"/>
              <w:rPr>
                <w:rFonts w:ascii="Arial" w:hAnsi="Arial" w:cs="Arial"/>
                <w:sz w:val="20"/>
                <w:szCs w:val="20"/>
              </w:rPr>
            </w:pPr>
          </w:p>
        </w:tc>
        <w:tc>
          <w:tcPr>
            <w:tcW w:w="567" w:type="dxa"/>
            <w:vAlign w:val="center"/>
          </w:tcPr>
          <w:p w14:paraId="3CAE7141"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0B3BACD9" w14:textId="77777777"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0B62B955"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739C68DF" w14:textId="77777777" w:rsidTr="00543CAF">
        <w:tc>
          <w:tcPr>
            <w:tcW w:w="567" w:type="dxa"/>
            <w:vAlign w:val="center"/>
          </w:tcPr>
          <w:p w14:paraId="13D12894"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5A0E76BA"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77EDA9EA"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14:paraId="0D8BAF4D" w14:textId="77777777" w:rsidTr="00543CAF">
        <w:tc>
          <w:tcPr>
            <w:tcW w:w="567" w:type="dxa"/>
            <w:vMerge w:val="restart"/>
            <w:vAlign w:val="center"/>
          </w:tcPr>
          <w:p w14:paraId="52701E62" w14:textId="77777777" w:rsidR="00D60EAC" w:rsidRPr="00452F83" w:rsidRDefault="00D60EAC" w:rsidP="00B93618">
            <w:pPr>
              <w:jc w:val="center"/>
              <w:rPr>
                <w:rFonts w:ascii="Arial" w:hAnsi="Arial" w:cs="Arial"/>
                <w:sz w:val="20"/>
                <w:szCs w:val="20"/>
              </w:rPr>
            </w:pPr>
          </w:p>
        </w:tc>
        <w:tc>
          <w:tcPr>
            <w:tcW w:w="567" w:type="dxa"/>
            <w:vAlign w:val="center"/>
          </w:tcPr>
          <w:p w14:paraId="324A7AAE"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E514052" w14:textId="77777777"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3E1D8532"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D60EAC" w:rsidRPr="00452F83" w14:paraId="59001B12" w14:textId="77777777" w:rsidTr="00543CAF">
        <w:tc>
          <w:tcPr>
            <w:tcW w:w="567" w:type="dxa"/>
            <w:vMerge/>
            <w:vAlign w:val="center"/>
          </w:tcPr>
          <w:p w14:paraId="42D0D22C" w14:textId="77777777" w:rsidR="00D60EAC" w:rsidRPr="00452F83" w:rsidRDefault="00D60EAC" w:rsidP="00B93618">
            <w:pPr>
              <w:jc w:val="center"/>
              <w:rPr>
                <w:rFonts w:ascii="Arial" w:hAnsi="Arial" w:cs="Arial"/>
                <w:sz w:val="20"/>
                <w:szCs w:val="20"/>
              </w:rPr>
            </w:pPr>
          </w:p>
        </w:tc>
        <w:tc>
          <w:tcPr>
            <w:tcW w:w="567" w:type="dxa"/>
            <w:vAlign w:val="center"/>
          </w:tcPr>
          <w:p w14:paraId="601BBA79"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22CDA1A7" w14:textId="77777777"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45BF5A83"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D60EAC" w:rsidRPr="00452F83" w14:paraId="68C8C3C3" w14:textId="77777777" w:rsidTr="00543CAF">
        <w:tc>
          <w:tcPr>
            <w:tcW w:w="567" w:type="dxa"/>
            <w:vMerge/>
            <w:vAlign w:val="center"/>
          </w:tcPr>
          <w:p w14:paraId="741B6651" w14:textId="77777777" w:rsidR="00D60EAC" w:rsidRPr="00452F83" w:rsidRDefault="00D60EAC" w:rsidP="00B93618">
            <w:pPr>
              <w:jc w:val="center"/>
              <w:rPr>
                <w:rFonts w:ascii="Arial" w:hAnsi="Arial" w:cs="Arial"/>
                <w:sz w:val="20"/>
                <w:szCs w:val="20"/>
              </w:rPr>
            </w:pPr>
          </w:p>
        </w:tc>
        <w:tc>
          <w:tcPr>
            <w:tcW w:w="567" w:type="dxa"/>
            <w:vAlign w:val="center"/>
          </w:tcPr>
          <w:p w14:paraId="5A311707"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284D4D13" w14:textId="77777777"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38928A19"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365434" w:rsidRPr="00452F83" w14:paraId="711002C7" w14:textId="77777777" w:rsidTr="00365434">
        <w:tc>
          <w:tcPr>
            <w:tcW w:w="567" w:type="dxa"/>
            <w:vAlign w:val="center"/>
          </w:tcPr>
          <w:p w14:paraId="790AF225" w14:textId="77777777" w:rsidR="00365434" w:rsidRPr="00452F83" w:rsidRDefault="00365434" w:rsidP="00B93618">
            <w:pPr>
              <w:jc w:val="center"/>
              <w:rPr>
                <w:rFonts w:ascii="Arial" w:hAnsi="Arial" w:cs="Arial"/>
                <w:sz w:val="20"/>
                <w:szCs w:val="20"/>
              </w:rPr>
            </w:pPr>
          </w:p>
        </w:tc>
        <w:tc>
          <w:tcPr>
            <w:tcW w:w="7087" w:type="dxa"/>
            <w:gridSpan w:val="2"/>
            <w:vAlign w:val="center"/>
          </w:tcPr>
          <w:p w14:paraId="33F85B45" w14:textId="77777777" w:rsidR="00365434" w:rsidRPr="00452F83" w:rsidRDefault="003F5779" w:rsidP="007813C0">
            <w:pPr>
              <w:rPr>
                <w:rFonts w:ascii="Arial" w:hAnsi="Arial" w:cs="Arial"/>
                <w:sz w:val="20"/>
                <w:szCs w:val="20"/>
              </w:rPr>
            </w:pPr>
            <w:r>
              <w:rPr>
                <w:rFonts w:ascii="Arial" w:hAnsi="Arial" w:cs="Arial"/>
                <w:sz w:val="20"/>
                <w:szCs w:val="20"/>
              </w:rPr>
              <w:t xml:space="preserve">Comprenant </w:t>
            </w:r>
            <w:r w:rsidR="00D60EAC">
              <w:rPr>
                <w:rFonts w:ascii="Arial" w:hAnsi="Arial" w:cs="Arial"/>
                <w:sz w:val="20"/>
                <w:szCs w:val="20"/>
              </w:rPr>
              <w:t xml:space="preserve"> l’octroi de crédit </w:t>
            </w:r>
            <w:r w:rsidR="007813C0">
              <w:rPr>
                <w:rFonts w:ascii="Arial" w:hAnsi="Arial" w:cs="Arial"/>
                <w:sz w:val="20"/>
                <w:szCs w:val="20"/>
              </w:rPr>
              <w:t>conforme</w:t>
            </w:r>
            <w:r>
              <w:rPr>
                <w:rFonts w:ascii="Arial" w:hAnsi="Arial" w:cs="Arial"/>
                <w:sz w:val="20"/>
                <w:szCs w:val="20"/>
              </w:rPr>
              <w:t xml:space="preserve"> aux conditions énoncées</w:t>
            </w:r>
            <w:r w:rsidR="00D60EAC">
              <w:rPr>
                <w:rFonts w:ascii="Arial" w:hAnsi="Arial" w:cs="Arial"/>
                <w:sz w:val="20"/>
                <w:szCs w:val="20"/>
              </w:rPr>
              <w:t xml:space="preserve"> au II de l’article L. 522-2 du code monétaire et financier</w:t>
            </w:r>
            <w:r w:rsidR="008D00D8">
              <w:rPr>
                <w:rFonts w:ascii="Arial" w:hAnsi="Arial" w:cs="Arial"/>
                <w:sz w:val="20"/>
                <w:szCs w:val="20"/>
              </w:rPr>
              <w:t> :  ou</w:t>
            </w:r>
            <w:r w:rsidR="00D60EAC">
              <w:rPr>
                <w:rFonts w:ascii="Arial" w:hAnsi="Arial" w:cs="Arial"/>
                <w:sz w:val="20"/>
                <w:szCs w:val="20"/>
              </w:rPr>
              <w:t>i</w:t>
            </w:r>
            <w:r w:rsidR="008D00D8">
              <w:rPr>
                <w:rFonts w:ascii="Arial" w:hAnsi="Arial" w:cs="Arial"/>
                <w:sz w:val="20"/>
                <w:szCs w:val="20"/>
              </w:rPr>
              <w:t xml:space="preserve">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00D60EAC" w:rsidRPr="00D60EAC">
              <w:rPr>
                <w:rFonts w:ascii="Arial" w:hAnsi="Arial" w:cs="Arial"/>
                <w:sz w:val="20"/>
                <w:szCs w:val="20"/>
              </w:rPr>
              <w:fldChar w:fldCharType="end"/>
            </w:r>
            <w:r w:rsidR="00D60EAC">
              <w:rPr>
                <w:rFonts w:ascii="Arial" w:hAnsi="Arial" w:cs="Arial"/>
                <w:sz w:val="20"/>
                <w:szCs w:val="20"/>
              </w:rPr>
              <w:t xml:space="preserve"> - non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00D60EAC" w:rsidRPr="00D60EAC">
              <w:rPr>
                <w:rFonts w:ascii="Arial" w:hAnsi="Arial" w:cs="Arial"/>
                <w:sz w:val="20"/>
                <w:szCs w:val="20"/>
              </w:rPr>
              <w:fldChar w:fldCharType="end"/>
            </w:r>
          </w:p>
        </w:tc>
        <w:tc>
          <w:tcPr>
            <w:tcW w:w="851" w:type="dxa"/>
            <w:vAlign w:val="center"/>
          </w:tcPr>
          <w:p w14:paraId="59D23A36" w14:textId="77777777" w:rsidR="00365434" w:rsidRPr="00452F83" w:rsidRDefault="00365434" w:rsidP="00B93618">
            <w:pPr>
              <w:tabs>
                <w:tab w:val="num" w:pos="993"/>
              </w:tabs>
              <w:spacing w:before="120" w:after="120"/>
              <w:ind w:left="175" w:right="-1" w:hanging="283"/>
              <w:jc w:val="center"/>
              <w:rPr>
                <w:rFonts w:ascii="Arial" w:hAnsi="Arial" w:cs="Arial"/>
                <w:sz w:val="20"/>
              </w:rPr>
            </w:pPr>
          </w:p>
        </w:tc>
      </w:tr>
      <w:tr w:rsidR="008D00D8" w:rsidRPr="00452F83" w14:paraId="338A0BCA" w14:textId="77777777" w:rsidTr="00543CAF">
        <w:tc>
          <w:tcPr>
            <w:tcW w:w="567" w:type="dxa"/>
            <w:vMerge w:val="restart"/>
            <w:vAlign w:val="center"/>
          </w:tcPr>
          <w:p w14:paraId="0E479258" w14:textId="77777777" w:rsidR="008D00D8" w:rsidRPr="009610C7" w:rsidRDefault="008D00D8"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6AC5EBCB" w14:textId="77777777" w:rsidR="008D00D8" w:rsidRPr="00452F83" w:rsidRDefault="008D00D8"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45F3C2EE" w14:textId="77777777"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8D00D8" w:rsidRPr="00452F83" w14:paraId="0A8554FC" w14:textId="77777777" w:rsidTr="00543CAF">
        <w:tc>
          <w:tcPr>
            <w:tcW w:w="567" w:type="dxa"/>
            <w:vMerge/>
            <w:vAlign w:val="center"/>
          </w:tcPr>
          <w:p w14:paraId="51F30A5D" w14:textId="77777777" w:rsidR="008D00D8" w:rsidRPr="00452F83" w:rsidRDefault="008D00D8" w:rsidP="00B93618">
            <w:pPr>
              <w:jc w:val="center"/>
              <w:rPr>
                <w:rFonts w:ascii="Arial" w:hAnsi="Arial" w:cs="Arial"/>
                <w:sz w:val="20"/>
                <w:szCs w:val="20"/>
              </w:rPr>
            </w:pPr>
          </w:p>
        </w:tc>
        <w:tc>
          <w:tcPr>
            <w:tcW w:w="7087" w:type="dxa"/>
            <w:gridSpan w:val="2"/>
            <w:vAlign w:val="center"/>
          </w:tcPr>
          <w:p w14:paraId="73E184A6" w14:textId="77777777" w:rsidR="008D00D8" w:rsidRPr="00452F83" w:rsidRDefault="008D00D8" w:rsidP="00D60EAC">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 xml:space="preserve"> opérations de paiement</w:t>
            </w:r>
          </w:p>
        </w:tc>
        <w:tc>
          <w:tcPr>
            <w:tcW w:w="851" w:type="dxa"/>
            <w:vAlign w:val="center"/>
          </w:tcPr>
          <w:p w14:paraId="2DAABF9A" w14:textId="77777777"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8D00D8" w:rsidRPr="00452F83" w14:paraId="237B3E76" w14:textId="77777777" w:rsidTr="00543CAF">
        <w:tc>
          <w:tcPr>
            <w:tcW w:w="567" w:type="dxa"/>
            <w:vMerge/>
            <w:vAlign w:val="center"/>
          </w:tcPr>
          <w:p w14:paraId="3819F973" w14:textId="77777777" w:rsidR="008D00D8" w:rsidRPr="00452F83" w:rsidRDefault="008D00D8" w:rsidP="00B93618">
            <w:pPr>
              <w:jc w:val="center"/>
              <w:rPr>
                <w:rFonts w:ascii="Arial" w:hAnsi="Arial" w:cs="Arial"/>
                <w:sz w:val="20"/>
                <w:szCs w:val="20"/>
              </w:rPr>
            </w:pPr>
          </w:p>
        </w:tc>
        <w:tc>
          <w:tcPr>
            <w:tcW w:w="7087" w:type="dxa"/>
            <w:gridSpan w:val="2"/>
            <w:vAlign w:val="center"/>
          </w:tcPr>
          <w:p w14:paraId="57838991" w14:textId="77777777" w:rsidR="008D00D8" w:rsidRDefault="003F5779" w:rsidP="007813C0">
            <w:pPr>
              <w:rPr>
                <w:rFonts w:ascii="Arial" w:hAnsi="Arial" w:cs="Arial"/>
                <w:sz w:val="20"/>
                <w:szCs w:val="20"/>
              </w:rPr>
            </w:pPr>
            <w:r>
              <w:rPr>
                <w:rFonts w:ascii="Arial" w:hAnsi="Arial" w:cs="Arial"/>
                <w:sz w:val="20"/>
                <w:szCs w:val="20"/>
              </w:rPr>
              <w:t xml:space="preserve">Comprenant </w:t>
            </w:r>
            <w:r w:rsidR="008D00D8" w:rsidRPr="008D00D8">
              <w:rPr>
                <w:rFonts w:ascii="Arial" w:hAnsi="Arial" w:cs="Arial"/>
                <w:sz w:val="20"/>
                <w:szCs w:val="20"/>
              </w:rPr>
              <w:t xml:space="preserve"> l’octroi de crédit conform</w:t>
            </w:r>
            <w:r w:rsidR="007813C0">
              <w:rPr>
                <w:rFonts w:ascii="Arial" w:hAnsi="Arial" w:cs="Arial"/>
                <w:sz w:val="20"/>
                <w:szCs w:val="20"/>
              </w:rPr>
              <w:t xml:space="preserve">e </w:t>
            </w:r>
            <w:r w:rsidRPr="003F5779">
              <w:rPr>
                <w:rFonts w:ascii="Arial" w:hAnsi="Arial" w:cs="Arial"/>
                <w:sz w:val="20"/>
                <w:szCs w:val="20"/>
              </w:rPr>
              <w:t xml:space="preserve">aux conditions énoncées </w:t>
            </w:r>
            <w:r w:rsidR="008D00D8" w:rsidRPr="008D00D8">
              <w:rPr>
                <w:rFonts w:ascii="Arial" w:hAnsi="Arial" w:cs="Arial"/>
                <w:sz w:val="20"/>
                <w:szCs w:val="20"/>
              </w:rPr>
              <w:t>au II de l’article L. 522-2 du co</w:t>
            </w:r>
            <w:r>
              <w:rPr>
                <w:rFonts w:ascii="Arial" w:hAnsi="Arial" w:cs="Arial"/>
                <w:sz w:val="20"/>
                <w:szCs w:val="20"/>
              </w:rPr>
              <w:t>de monétaire et financier :  ou</w:t>
            </w:r>
            <w:r w:rsidR="008D00D8" w:rsidRPr="008D00D8">
              <w:rPr>
                <w:rFonts w:ascii="Arial" w:hAnsi="Arial" w:cs="Arial"/>
                <w:sz w:val="20"/>
                <w:szCs w:val="20"/>
              </w:rPr>
              <w:t>i</w:t>
            </w:r>
            <w:r>
              <w:rPr>
                <w:rFonts w:ascii="Arial" w:hAnsi="Arial" w:cs="Arial"/>
                <w:sz w:val="20"/>
                <w:szCs w:val="20"/>
              </w:rPr>
              <w:t xml:space="preserve">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008D00D8" w:rsidRPr="008D00D8">
              <w:rPr>
                <w:rFonts w:ascii="Arial" w:hAnsi="Arial" w:cs="Arial"/>
                <w:sz w:val="20"/>
                <w:szCs w:val="20"/>
              </w:rPr>
              <w:fldChar w:fldCharType="end"/>
            </w:r>
            <w:r w:rsidR="008D00D8" w:rsidRPr="008D00D8">
              <w:rPr>
                <w:rFonts w:ascii="Arial" w:hAnsi="Arial" w:cs="Arial"/>
                <w:sz w:val="20"/>
                <w:szCs w:val="20"/>
              </w:rPr>
              <w:t xml:space="preserve"> - non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008D00D8" w:rsidRPr="008D00D8">
              <w:rPr>
                <w:rFonts w:ascii="Arial" w:hAnsi="Arial" w:cs="Arial"/>
                <w:sz w:val="20"/>
                <w:szCs w:val="20"/>
              </w:rPr>
              <w:fldChar w:fldCharType="end"/>
            </w:r>
          </w:p>
        </w:tc>
        <w:tc>
          <w:tcPr>
            <w:tcW w:w="851" w:type="dxa"/>
            <w:vAlign w:val="center"/>
          </w:tcPr>
          <w:p w14:paraId="6C4162E1" w14:textId="77777777" w:rsidR="008D00D8" w:rsidRPr="00452F83" w:rsidRDefault="008D00D8" w:rsidP="00B93618">
            <w:pPr>
              <w:tabs>
                <w:tab w:val="num" w:pos="993"/>
              </w:tabs>
              <w:spacing w:before="120" w:after="120"/>
              <w:ind w:left="175" w:right="-1" w:hanging="283"/>
              <w:jc w:val="center"/>
              <w:rPr>
                <w:rFonts w:ascii="Arial" w:hAnsi="Arial" w:cs="Arial"/>
                <w:sz w:val="20"/>
              </w:rPr>
            </w:pPr>
          </w:p>
        </w:tc>
      </w:tr>
      <w:tr w:rsidR="0093368A" w:rsidRPr="00452F83" w14:paraId="4C8BBFB7" w14:textId="77777777" w:rsidTr="00543CAF">
        <w:tc>
          <w:tcPr>
            <w:tcW w:w="567" w:type="dxa"/>
            <w:vAlign w:val="center"/>
          </w:tcPr>
          <w:p w14:paraId="4A17FDEC"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14:paraId="15752466" w14:textId="77777777"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14:paraId="4A02127A"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043BEE7B"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2846B0D0" w14:textId="77777777"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3AF9F387" w14:textId="77777777"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2200655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131BEB72"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0A38A98C" w14:textId="77777777"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3ACD1090" w14:textId="77777777"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80140B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bl>
    <w:p w14:paraId="312434C7" w14:textId="77777777" w:rsidR="0093368A" w:rsidRDefault="0093368A" w:rsidP="0093368A">
      <w:pPr>
        <w:jc w:val="both"/>
        <w:rPr>
          <w:rFonts w:ascii="Arial" w:hAnsi="Arial" w:cs="Arial"/>
          <w:sz w:val="20"/>
          <w:szCs w:val="20"/>
        </w:rPr>
      </w:pPr>
    </w:p>
    <w:p w14:paraId="55099141" w14:textId="77777777"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8D00D8">
        <w:rPr>
          <w:rFonts w:ascii="Arial" w:hAnsi="Arial" w:cs="Arial"/>
          <w:sz w:val="20"/>
          <w:szCs w:val="20"/>
        </w:rPr>
        <w:t>au II de l’-</w:t>
      </w:r>
      <w:r w:rsidR="0093368A" w:rsidRPr="00116E70">
        <w:rPr>
          <w:rFonts w:ascii="Arial" w:hAnsi="Arial" w:cs="Arial"/>
          <w:sz w:val="20"/>
          <w:szCs w:val="20"/>
        </w:rPr>
        <w:t xml:space="preserve"> l’article L.</w:t>
      </w:r>
      <w:r w:rsidR="008D00D8">
        <w:rPr>
          <w:rFonts w:ascii="Arial" w:hAnsi="Arial" w:cs="Arial"/>
          <w:sz w:val="20"/>
          <w:szCs w:val="20"/>
        </w:rPr>
        <w:t xml:space="preserve"> </w:t>
      </w:r>
      <w:r w:rsidR="0093368A" w:rsidRPr="00116E70">
        <w:rPr>
          <w:rFonts w:ascii="Arial" w:hAnsi="Arial" w:cs="Arial"/>
          <w:sz w:val="20"/>
          <w:szCs w:val="20"/>
        </w:rPr>
        <w:t>314-1 du code monétaire et financier.</w:t>
      </w:r>
    </w:p>
    <w:p w14:paraId="6B165815"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533E05EE"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14:paraId="0D764F4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lastRenderedPageBreak/>
        <w:t xml:space="preserve">Un </w:t>
      </w:r>
      <w:r w:rsidRPr="00815461">
        <w:rPr>
          <w:rFonts w:ascii="Arial" w:hAnsi="Arial" w:cs="Arial"/>
          <w:sz w:val="20"/>
          <w:szCs w:val="20"/>
        </w:rPr>
        <w:t>schéma des flux financiers par service de paiement</w:t>
      </w:r>
      <w:r>
        <w:rPr>
          <w:rFonts w:ascii="Arial" w:hAnsi="Arial" w:cs="Arial"/>
          <w:sz w:val="20"/>
          <w:szCs w:val="20"/>
        </w:rPr>
        <w:t xml:space="preserve"> (1à 6) ;</w:t>
      </w:r>
    </w:p>
    <w:p w14:paraId="0ECD46FE"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(1 à 6) ;</w:t>
      </w:r>
    </w:p>
    <w:p w14:paraId="74294813"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14:paraId="6EBEFDE1" w14:textId="77777777" w:rsidR="0093368A" w:rsidRPr="00815461" w:rsidRDefault="0093368A" w:rsidP="0093368A">
      <w:pPr>
        <w:pStyle w:val="Paragraphedeliste"/>
        <w:ind w:left="1080"/>
        <w:jc w:val="both"/>
        <w:rPr>
          <w:rFonts w:ascii="Arial" w:hAnsi="Arial" w:cs="Arial"/>
          <w:sz w:val="20"/>
          <w:szCs w:val="20"/>
        </w:rPr>
      </w:pPr>
    </w:p>
    <w:p w14:paraId="301EA00B" w14:textId="77777777" w:rsidR="0093368A" w:rsidRDefault="0093368A" w:rsidP="0093368A">
      <w:pPr>
        <w:jc w:val="both"/>
        <w:rPr>
          <w:rFonts w:ascii="Arial" w:hAnsi="Arial" w:cs="Arial"/>
          <w:sz w:val="20"/>
          <w:szCs w:val="20"/>
        </w:rPr>
      </w:pPr>
    </w:p>
    <w:p w14:paraId="21EE90DA"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14:paraId="5837C047" w14:textId="77777777" w:rsidR="0093368A" w:rsidRDefault="0093368A" w:rsidP="0093368A">
      <w:pPr>
        <w:jc w:val="both"/>
        <w:rPr>
          <w:rFonts w:ascii="Arial" w:hAnsi="Arial" w:cs="Arial"/>
          <w:sz w:val="20"/>
          <w:szCs w:val="20"/>
        </w:rPr>
      </w:pPr>
    </w:p>
    <w:p w14:paraId="6DD84FC3" w14:textId="77777777" w:rsidR="0093368A" w:rsidRPr="00A167A7" w:rsidRDefault="0093368A" w:rsidP="0093368A">
      <w:pPr>
        <w:pStyle w:val="Titre2"/>
      </w:pPr>
      <w:bookmarkStart w:id="7" w:name="_Toc507679349"/>
      <w:r w:rsidRPr="00A167A7">
        <w:t>Établissement de paiement exerçant des activités de nature hybride</w:t>
      </w:r>
      <w:bookmarkEnd w:id="7"/>
    </w:p>
    <w:p w14:paraId="1E78E23B" w14:textId="77777777"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890EF0">
        <w:rPr>
          <w:rFonts w:ascii="Arial" w:hAnsi="Arial" w:cs="Arial"/>
          <w:bCs/>
          <w:i/>
          <w:sz w:val="16"/>
          <w:szCs w:val="16"/>
        </w:rPr>
        <w:t>(Article L. 522-3</w:t>
      </w:r>
      <w:r w:rsidR="00482035">
        <w:rPr>
          <w:rFonts w:ascii="Arial" w:hAnsi="Arial" w:cs="Arial"/>
          <w:bCs/>
          <w:i/>
          <w:sz w:val="16"/>
          <w:szCs w:val="16"/>
        </w:rPr>
        <w:t>, I</w:t>
      </w:r>
      <w:r w:rsidRPr="00890EF0">
        <w:rPr>
          <w:rFonts w:ascii="Arial" w:hAnsi="Arial" w:cs="Arial"/>
          <w:bCs/>
          <w:i/>
          <w:sz w:val="16"/>
          <w:szCs w:val="16"/>
        </w:rPr>
        <w:t> </w:t>
      </w:r>
      <w:r w:rsidR="00D538F5">
        <w:rPr>
          <w:rFonts w:ascii="Arial" w:hAnsi="Arial" w:cs="Arial"/>
          <w:bCs/>
          <w:i/>
          <w:sz w:val="16"/>
          <w:szCs w:val="16"/>
        </w:rPr>
        <w:t xml:space="preserve">du code monétaire et financier </w:t>
      </w:r>
      <w:r w:rsidRPr="00890EF0">
        <w:rPr>
          <w:rFonts w:ascii="Arial" w:hAnsi="Arial" w:cs="Arial"/>
          <w:bCs/>
          <w:i/>
          <w:sz w:val="16"/>
          <w:szCs w:val="16"/>
        </w:rPr>
        <w:t xml:space="preserve">: </w:t>
      </w:r>
      <w:r w:rsidR="00D538F5">
        <w:rPr>
          <w:rFonts w:ascii="Arial" w:hAnsi="Arial" w:cs="Arial"/>
          <w:bCs/>
          <w:i/>
          <w:sz w:val="16"/>
          <w:szCs w:val="16"/>
        </w:rPr>
        <w:t>« Sans p</w:t>
      </w:r>
      <w:r w:rsidR="00482035">
        <w:rPr>
          <w:rFonts w:ascii="Arial" w:hAnsi="Arial" w:cs="Arial"/>
          <w:bCs/>
          <w:i/>
          <w:sz w:val="16"/>
          <w:szCs w:val="16"/>
        </w:rPr>
        <w:t>r</w:t>
      </w:r>
      <w:r w:rsidR="00D538F5">
        <w:rPr>
          <w:rFonts w:ascii="Arial" w:hAnsi="Arial" w:cs="Arial"/>
          <w:bCs/>
          <w:i/>
          <w:sz w:val="16"/>
          <w:szCs w:val="16"/>
        </w:rPr>
        <w:t xml:space="preserve">éjudice des dispositions du III </w:t>
      </w:r>
      <w:r w:rsidRPr="00890EF0">
        <w:rPr>
          <w:rFonts w:ascii="Arial" w:hAnsi="Arial" w:cs="Arial"/>
          <w:bCs/>
          <w:i/>
          <w:sz w:val="16"/>
          <w:szCs w:val="16"/>
        </w:rPr>
        <w:t>de l’article L. 522-8, les établissements de</w:t>
      </w:r>
      <w:r w:rsidRPr="00C1149C">
        <w:rPr>
          <w:rFonts w:ascii="Arial" w:hAnsi="Arial" w:cs="Arial"/>
          <w:bCs/>
          <w:i/>
          <w:sz w:val="16"/>
          <w:szCs w:val="16"/>
        </w:rPr>
        <w:t xml:space="preserve"> paiement peuvent exercer à titre de profession habituelle une activité autre que la prestation de services de </w:t>
      </w:r>
      <w:r w:rsidR="00B33BA4" w:rsidRPr="00C1149C">
        <w:rPr>
          <w:rFonts w:ascii="Arial" w:hAnsi="Arial" w:cs="Arial"/>
          <w:bCs/>
          <w:i/>
          <w:sz w:val="16"/>
          <w:szCs w:val="16"/>
        </w:rPr>
        <w:t xml:space="preserve">paiement </w:t>
      </w:r>
      <w:r w:rsidR="00B33BA4">
        <w:rPr>
          <w:rFonts w:ascii="Arial" w:hAnsi="Arial" w:cs="Arial"/>
          <w:bCs/>
          <w:i/>
          <w:sz w:val="16"/>
          <w:szCs w:val="16"/>
        </w:rPr>
        <w:t>sous</w:t>
      </w:r>
      <w:r w:rsidR="00D538F5">
        <w:rPr>
          <w:rFonts w:ascii="Arial" w:hAnsi="Arial" w:cs="Arial"/>
          <w:bCs/>
          <w:i/>
          <w:sz w:val="16"/>
          <w:szCs w:val="16"/>
        </w:rPr>
        <w:t xml:space="preserve"> réserve </w:t>
      </w:r>
      <w:r w:rsidRPr="00C1149C">
        <w:rPr>
          <w:rFonts w:ascii="Arial" w:hAnsi="Arial" w:cs="Arial"/>
          <w:bCs/>
          <w:i/>
          <w:sz w:val="16"/>
          <w:szCs w:val="16"/>
        </w:rPr>
        <w:t>des dispositions législatives et réglementaires applicables à cette activité.</w:t>
      </w:r>
    </w:p>
    <w:p w14:paraId="1E8BA49D" w14:textId="77777777" w:rsidR="0093368A" w:rsidRPr="00C1149C" w:rsidRDefault="00482035" w:rsidP="0093368A">
      <w:pPr>
        <w:jc w:val="both"/>
        <w:rPr>
          <w:rFonts w:ascii="Arial" w:hAnsi="Arial" w:cs="Arial"/>
          <w:bCs/>
          <w:i/>
          <w:sz w:val="16"/>
          <w:szCs w:val="16"/>
        </w:rPr>
      </w:pPr>
      <w:r w:rsidRPr="00482035">
        <w:rPr>
          <w:rFonts w:ascii="Arial" w:hAnsi="Arial" w:cs="Arial"/>
          <w:bCs/>
          <w:i/>
          <w:sz w:val="16"/>
          <w:szCs w:val="16"/>
        </w:rPr>
        <w:t>Pour ces établissements de paiement, exerçant des activités de nature hybride</w:t>
      </w:r>
      <w:r w:rsidR="0093368A" w:rsidRPr="00C1149C">
        <w:rPr>
          <w:rFonts w:ascii="Arial" w:hAnsi="Arial" w:cs="Arial"/>
          <w:bCs/>
          <w:i/>
          <w:sz w:val="16"/>
          <w:szCs w:val="16"/>
        </w:rPr>
        <w:t xml:space="preserve"> [...]</w:t>
      </w:r>
      <w:r>
        <w:rPr>
          <w:rFonts w:ascii="Arial" w:hAnsi="Arial" w:cs="Arial"/>
          <w:bCs/>
          <w:i/>
          <w:sz w:val="16"/>
          <w:szCs w:val="16"/>
        </w:rPr>
        <w:t> »</w:t>
      </w:r>
      <w:r w:rsidR="0093368A">
        <w:rPr>
          <w:rFonts w:ascii="Arial" w:hAnsi="Arial" w:cs="Arial"/>
          <w:bCs/>
          <w:i/>
          <w:sz w:val="16"/>
          <w:szCs w:val="16"/>
        </w:rPr>
        <w:t>)</w:t>
      </w:r>
    </w:p>
    <w:p w14:paraId="6E36D0D5" w14:textId="77777777" w:rsidR="0093368A" w:rsidRDefault="0093368A" w:rsidP="0093368A">
      <w:pPr>
        <w:rPr>
          <w:rFonts w:ascii="Arial" w:hAnsi="Arial" w:cs="Arial"/>
          <w:sz w:val="20"/>
          <w:szCs w:val="20"/>
          <w:u w:val="single"/>
        </w:rPr>
      </w:pPr>
    </w:p>
    <w:p w14:paraId="47F66541"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52973B6A"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69F5BEAC" w14:textId="77777777" w:rsidTr="00AB3231">
        <w:trPr>
          <w:jc w:val="center"/>
        </w:trPr>
        <w:tc>
          <w:tcPr>
            <w:tcW w:w="1701" w:type="dxa"/>
            <w:vAlign w:val="center"/>
          </w:tcPr>
          <w:p w14:paraId="0ECF3252"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3DCA1AFA"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0D79C296"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132ABF33"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bl>
    <w:p w14:paraId="13A0C0B4"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14:paraId="190D624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3181048E" w14:textId="77777777"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14:paraId="3D989A98" w14:textId="77777777" w:rsidR="0093368A" w:rsidRDefault="0093368A" w:rsidP="0093368A">
      <w:pPr>
        <w:jc w:val="both"/>
        <w:rPr>
          <w:rFonts w:ascii="Arial" w:hAnsi="Arial" w:cs="Arial"/>
          <w:sz w:val="20"/>
          <w:szCs w:val="20"/>
        </w:rPr>
      </w:pPr>
    </w:p>
    <w:p w14:paraId="226F9F59"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description détaillée des activités exercées ou envisagées par l’établissement contenant toutes les informations nécessaires y compris </w:t>
      </w:r>
      <w:r w:rsidR="00B33BA4" w:rsidRPr="00AB3231">
        <w:rPr>
          <w:rFonts w:ascii="Arial" w:hAnsi="Arial" w:cs="Arial"/>
          <w:sz w:val="20"/>
          <w:szCs w:val="20"/>
        </w:rPr>
        <w:t>les volumes attendus</w:t>
      </w:r>
      <w:r w:rsidR="0093368A" w:rsidRPr="00AB3231">
        <w:rPr>
          <w:rFonts w:ascii="Arial" w:hAnsi="Arial" w:cs="Arial"/>
          <w:sz w:val="20"/>
          <w:szCs w:val="20"/>
        </w:rPr>
        <w:t xml:space="preserve"> desdites activités.</w:t>
      </w:r>
    </w:p>
    <w:p w14:paraId="2F40E2EA" w14:textId="77777777" w:rsidR="0093368A" w:rsidRPr="00696BE8" w:rsidRDefault="0093368A" w:rsidP="0093368A">
      <w:pPr>
        <w:pStyle w:val="Paragraphedeliste"/>
        <w:jc w:val="both"/>
        <w:rPr>
          <w:rFonts w:ascii="Arial" w:hAnsi="Arial" w:cs="Arial"/>
          <w:sz w:val="20"/>
          <w:szCs w:val="20"/>
        </w:rPr>
      </w:pPr>
    </w:p>
    <w:p w14:paraId="674DECB8" w14:textId="77777777" w:rsidR="0093368A" w:rsidRPr="00A167A7" w:rsidRDefault="0093368A" w:rsidP="0093368A">
      <w:pPr>
        <w:pStyle w:val="Titre2"/>
      </w:pPr>
      <w:bookmarkStart w:id="8" w:name="_Toc507679350"/>
      <w:r w:rsidRPr="00A167A7">
        <w:t>Services connexes</w:t>
      </w:r>
      <w:bookmarkEnd w:id="8"/>
    </w:p>
    <w:p w14:paraId="337F3426"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00317E">
        <w:rPr>
          <w:rFonts w:ascii="Arial" w:hAnsi="Arial" w:cs="Arial"/>
          <w:i/>
        </w:rPr>
        <w:t>, I</w:t>
      </w:r>
      <w:r w:rsidRPr="002A6978">
        <w:rPr>
          <w:rFonts w:ascii="Arial" w:hAnsi="Arial" w:cs="Arial"/>
          <w:i/>
        </w:rPr>
        <w:t xml:space="preserve"> du Code monétaire et financier)</w:t>
      </w:r>
    </w:p>
    <w:p w14:paraId="32005F76"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2003A607" w14:textId="77777777" w:rsidTr="00B93618">
        <w:tc>
          <w:tcPr>
            <w:tcW w:w="6804" w:type="dxa"/>
            <w:vAlign w:val="center"/>
          </w:tcPr>
          <w:p w14:paraId="535AFA8C"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644AAE0A"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0BCADE00" w14:textId="77777777" w:rsidTr="00B93618">
        <w:tc>
          <w:tcPr>
            <w:tcW w:w="6804" w:type="dxa"/>
            <w:vAlign w:val="center"/>
          </w:tcPr>
          <w:p w14:paraId="47051FB4"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2A9E08F8"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r w:rsidR="0093368A" w:rsidRPr="00452F83" w14:paraId="5E01498E" w14:textId="77777777" w:rsidTr="00B93618">
        <w:tc>
          <w:tcPr>
            <w:tcW w:w="6804" w:type="dxa"/>
            <w:vAlign w:val="center"/>
          </w:tcPr>
          <w:p w14:paraId="00B3598E"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B7F4ED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32F52">
              <w:rPr>
                <w:rFonts w:ascii="Arial" w:hAnsi="Arial" w:cs="Arial"/>
                <w:sz w:val="20"/>
              </w:rPr>
            </w:r>
            <w:r w:rsidR="00C32F52">
              <w:rPr>
                <w:rFonts w:ascii="Arial" w:hAnsi="Arial" w:cs="Arial"/>
                <w:sz w:val="20"/>
              </w:rPr>
              <w:fldChar w:fldCharType="separate"/>
            </w:r>
            <w:r w:rsidRPr="00452F83">
              <w:rPr>
                <w:rFonts w:ascii="Arial" w:hAnsi="Arial" w:cs="Arial"/>
                <w:sz w:val="20"/>
              </w:rPr>
              <w:fldChar w:fldCharType="end"/>
            </w:r>
          </w:p>
        </w:tc>
      </w:tr>
    </w:tbl>
    <w:p w14:paraId="726FA6B9" w14:textId="77777777" w:rsidR="0093368A" w:rsidRDefault="0093368A" w:rsidP="0093368A">
      <w:pPr>
        <w:tabs>
          <w:tab w:val="left" w:pos="1418"/>
        </w:tabs>
        <w:rPr>
          <w:rFonts w:ascii="Arial" w:hAnsi="Arial" w:cs="Arial"/>
          <w:sz w:val="20"/>
          <w:szCs w:val="20"/>
        </w:rPr>
      </w:pPr>
    </w:p>
    <w:p w14:paraId="405BF4C1" w14:textId="77777777" w:rsidR="0093368A" w:rsidRPr="00A167A7" w:rsidRDefault="0093368A" w:rsidP="0093368A">
      <w:pPr>
        <w:pStyle w:val="Titre2"/>
      </w:pPr>
      <w:bookmarkStart w:id="9" w:name="_Toc507679351"/>
      <w:r w:rsidRPr="00A167A7">
        <w:t>Recours à des agents</w:t>
      </w:r>
      <w:bookmarkEnd w:id="9"/>
    </w:p>
    <w:p w14:paraId="22C9592C" w14:textId="77777777"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14:paraId="216EA449" w14:textId="77777777" w:rsidR="0093368A" w:rsidRDefault="0093368A" w:rsidP="0093368A">
      <w:pPr>
        <w:tabs>
          <w:tab w:val="left" w:pos="1134"/>
        </w:tabs>
        <w:jc w:val="both"/>
        <w:rPr>
          <w:rFonts w:ascii="Arial" w:hAnsi="Arial" w:cs="Arial"/>
          <w:sz w:val="20"/>
          <w:szCs w:val="20"/>
        </w:rPr>
      </w:pPr>
    </w:p>
    <w:p w14:paraId="2CA139F2"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14:paraId="4038BFF2"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5C28883F"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14:paraId="19FFB0DB" w14:textId="77777777" w:rsidR="0093368A" w:rsidRDefault="0093368A" w:rsidP="0093368A">
      <w:pPr>
        <w:tabs>
          <w:tab w:val="left" w:pos="1418"/>
        </w:tabs>
        <w:rPr>
          <w:rFonts w:ascii="Arial" w:hAnsi="Arial" w:cs="Arial"/>
          <w:sz w:val="20"/>
          <w:szCs w:val="20"/>
        </w:rPr>
      </w:pPr>
    </w:p>
    <w:p w14:paraId="01307E7B" w14:textId="77777777" w:rsidR="0093368A" w:rsidRPr="00A167A7" w:rsidRDefault="0093368A" w:rsidP="0093368A">
      <w:pPr>
        <w:pStyle w:val="Titre2"/>
      </w:pPr>
      <w:bookmarkStart w:id="10" w:name="_Toc507679352"/>
      <w:r w:rsidRPr="00A167A7">
        <w:t>Exercice d’activité à l’étranger</w:t>
      </w:r>
      <w:bookmarkEnd w:id="10"/>
    </w:p>
    <w:p w14:paraId="3C70DBA6" w14:textId="77777777" w:rsidR="0093368A" w:rsidRDefault="0093368A" w:rsidP="0093368A">
      <w:pPr>
        <w:tabs>
          <w:tab w:val="left" w:pos="1418"/>
        </w:tabs>
        <w:rPr>
          <w:rFonts w:ascii="Arial" w:hAnsi="Arial" w:cs="Arial"/>
          <w:sz w:val="20"/>
          <w:szCs w:val="20"/>
        </w:rPr>
      </w:pPr>
    </w:p>
    <w:p w14:paraId="50A7342A"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45F61E9" w14:textId="77777777" w:rsidTr="00B93618">
        <w:trPr>
          <w:jc w:val="center"/>
        </w:trPr>
        <w:tc>
          <w:tcPr>
            <w:tcW w:w="1418" w:type="dxa"/>
            <w:vAlign w:val="center"/>
          </w:tcPr>
          <w:p w14:paraId="398911CA"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lastRenderedPageBreak/>
              <w:t>Oui</w:t>
            </w:r>
          </w:p>
        </w:tc>
        <w:tc>
          <w:tcPr>
            <w:tcW w:w="1134" w:type="dxa"/>
            <w:vAlign w:val="center"/>
          </w:tcPr>
          <w:p w14:paraId="5A7C46C0"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6CB321D1"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2F25489C"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tc>
      </w:tr>
    </w:tbl>
    <w:p w14:paraId="1A3C0E4D" w14:textId="77777777"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14:paraId="0CFD4D9C" w14:textId="77777777" w:rsidR="0093368A" w:rsidRDefault="00821632" w:rsidP="0093368A">
      <w:pPr>
        <w:jc w:val="both"/>
        <w:rPr>
          <w:rFonts w:ascii="Arial" w:hAnsi="Arial" w:cs="Arial"/>
          <w:sz w:val="20"/>
          <w:szCs w:val="20"/>
        </w:rPr>
      </w:pPr>
      <w:r w:rsidRPr="00821632">
        <w:rPr>
          <w:rFonts w:ascii="Arial" w:hAnsi="Arial" w:cs="Arial"/>
          <w:sz w:val="20"/>
          <w:szCs w:val="20"/>
        </w:rPr>
        <w:t>https://acpr.banque-france.fr/autoriser/procedures-secteur-banque/passeports-europeens-banque</w:t>
      </w:r>
      <w:r w:rsidRPr="00821632" w:rsidDel="00821632">
        <w:rPr>
          <w:rFonts w:ascii="Arial" w:hAnsi="Arial" w:cs="Arial"/>
          <w:sz w:val="20"/>
          <w:szCs w:val="20"/>
        </w:rPr>
        <w:t xml:space="preserve"> </w:t>
      </w:r>
    </w:p>
    <w:p w14:paraId="6C96FE89" w14:textId="77777777" w:rsidR="0093368A" w:rsidRDefault="0093368A" w:rsidP="0093368A">
      <w:pPr>
        <w:jc w:val="both"/>
        <w:rPr>
          <w:rFonts w:ascii="Arial" w:hAnsi="Arial" w:cs="Arial"/>
          <w:sz w:val="20"/>
          <w:szCs w:val="20"/>
        </w:rPr>
      </w:pPr>
    </w:p>
    <w:p w14:paraId="77AFB5B1"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671EFA68" w14:textId="77777777" w:rsidTr="00B93618">
        <w:trPr>
          <w:jc w:val="center"/>
        </w:trPr>
        <w:tc>
          <w:tcPr>
            <w:tcW w:w="1418" w:type="dxa"/>
            <w:vAlign w:val="center"/>
          </w:tcPr>
          <w:p w14:paraId="2ADA451B"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299F5C0"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37759187"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345CCC86"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tc>
      </w:tr>
    </w:tbl>
    <w:p w14:paraId="2A795DCC"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0D1011CF" w14:textId="77777777" w:rsidR="0093368A" w:rsidRDefault="0093368A" w:rsidP="00AB3231">
      <w:pPr>
        <w:spacing w:line="240" w:lineRule="auto"/>
        <w:rPr>
          <w:rFonts w:ascii="Arial" w:hAnsi="Arial" w:cs="Arial"/>
          <w:sz w:val="20"/>
          <w:szCs w:val="20"/>
        </w:rPr>
      </w:pPr>
    </w:p>
    <w:p w14:paraId="3C87FC9B"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47F287F2" w14:textId="77777777" w:rsidR="00F3407B" w:rsidRPr="00F3407B" w:rsidRDefault="00F3407B" w:rsidP="00AB3231">
      <w:pPr>
        <w:spacing w:line="240" w:lineRule="auto"/>
        <w:rPr>
          <w:rFonts w:ascii="Arial" w:hAnsi="Arial" w:cs="Arial"/>
          <w:sz w:val="20"/>
          <w:szCs w:val="20"/>
        </w:rPr>
      </w:pPr>
    </w:p>
    <w:p w14:paraId="3E562D40" w14:textId="64A7ACFD" w:rsidR="0093368A" w:rsidRPr="009B4F6F" w:rsidRDefault="00F3407B" w:rsidP="0021695F">
      <w:pPr>
        <w:spacing w:line="240" w:lineRule="auto"/>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8D00D8">
        <w:rPr>
          <w:rFonts w:ascii="Arial" w:hAnsi="Arial" w:cs="Arial"/>
          <w:sz w:val="20"/>
          <w:szCs w:val="20"/>
        </w:rPr>
        <w:t>de service</w:t>
      </w:r>
      <w:r w:rsidR="00AC47AC">
        <w:rPr>
          <w:rFonts w:ascii="Arial" w:hAnsi="Arial" w:cs="Arial"/>
          <w:sz w:val="20"/>
          <w:szCs w:val="20"/>
        </w:rPr>
        <w:t>s</w:t>
      </w:r>
      <w:r w:rsidR="00B0247D">
        <w:rPr>
          <w:rFonts w:ascii="Arial" w:hAnsi="Arial" w:cs="Arial"/>
          <w:sz w:val="20"/>
          <w:szCs w:val="20"/>
        </w:rPr>
        <w:t xml:space="preserve"> de paiement </w:t>
      </w:r>
      <w:r w:rsidR="008D00D8">
        <w:rPr>
          <w:rFonts w:ascii="Arial" w:hAnsi="Arial" w:cs="Arial"/>
          <w:sz w:val="20"/>
          <w:szCs w:val="20"/>
        </w:rPr>
        <w:t>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8D00D8">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14:paraId="0B12BE07" w14:textId="77777777" w:rsidR="0093368A" w:rsidRPr="00AB3231" w:rsidRDefault="00F3407B" w:rsidP="0021695F">
      <w:pPr>
        <w:spacing w:line="240" w:lineRule="auto"/>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p>
    <w:p w14:paraId="6910DAD9" w14:textId="77777777" w:rsidR="0093368A" w:rsidRDefault="0093368A" w:rsidP="0093368A">
      <w:pPr>
        <w:spacing w:after="200"/>
        <w:rPr>
          <w:rFonts w:ascii="Arial" w:hAnsi="Arial" w:cs="Arial"/>
          <w:sz w:val="20"/>
          <w:szCs w:val="20"/>
        </w:rPr>
      </w:pPr>
      <w:r>
        <w:rPr>
          <w:rFonts w:ascii="Arial" w:hAnsi="Arial" w:cs="Arial"/>
          <w:sz w:val="20"/>
          <w:szCs w:val="20"/>
        </w:rPr>
        <w:br w:type="page"/>
      </w:r>
    </w:p>
    <w:p w14:paraId="46A89B89" w14:textId="77777777" w:rsidR="0093368A" w:rsidRPr="00A167A7" w:rsidRDefault="0093368A" w:rsidP="0093368A">
      <w:pPr>
        <w:pStyle w:val="Titre1"/>
      </w:pPr>
      <w:bookmarkStart w:id="11" w:name="_Toc507679353"/>
      <w:r w:rsidRPr="00A167A7">
        <w:lastRenderedPageBreak/>
        <w:t>Plan d’affaires et réglementation prudentielle</w:t>
      </w:r>
      <w:bookmarkEnd w:id="11"/>
    </w:p>
    <w:p w14:paraId="4D63B567" w14:textId="77777777" w:rsidR="0093368A" w:rsidRDefault="0093368A" w:rsidP="0093368A">
      <w:pPr>
        <w:tabs>
          <w:tab w:val="left" w:pos="1418"/>
        </w:tabs>
        <w:rPr>
          <w:rFonts w:ascii="Arial" w:hAnsi="Arial" w:cs="Arial"/>
          <w:sz w:val="20"/>
          <w:szCs w:val="20"/>
        </w:rPr>
      </w:pPr>
    </w:p>
    <w:p w14:paraId="05331A12" w14:textId="77777777" w:rsidR="0093368A" w:rsidRPr="00F14B4B" w:rsidRDefault="0093368A" w:rsidP="0093368A">
      <w:pPr>
        <w:pStyle w:val="Titre2"/>
        <w:numPr>
          <w:ilvl w:val="0"/>
          <w:numId w:val="32"/>
        </w:numPr>
        <w:ind w:left="782" w:hanging="357"/>
      </w:pPr>
      <w:bookmarkStart w:id="12" w:name="_Toc507679354"/>
      <w:r w:rsidRPr="00F14B4B">
        <w:t>Plan d’affaires</w:t>
      </w:r>
      <w:bookmarkEnd w:id="12"/>
    </w:p>
    <w:p w14:paraId="147BDC5D" w14:textId="77777777" w:rsidR="0093368A" w:rsidRDefault="0093368A" w:rsidP="0093368A">
      <w:pPr>
        <w:tabs>
          <w:tab w:val="left" w:pos="1418"/>
        </w:tabs>
        <w:rPr>
          <w:rFonts w:ascii="Arial" w:hAnsi="Arial" w:cs="Arial"/>
          <w:sz w:val="20"/>
          <w:szCs w:val="20"/>
        </w:rPr>
      </w:pPr>
    </w:p>
    <w:p w14:paraId="6EC19B9F"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147C19AD" w14:textId="77777777" w:rsidR="0093368A" w:rsidRDefault="0093368A" w:rsidP="0093368A">
      <w:pPr>
        <w:pStyle w:val="Paragraphedeliste"/>
        <w:tabs>
          <w:tab w:val="left" w:pos="1418"/>
        </w:tabs>
        <w:jc w:val="both"/>
        <w:rPr>
          <w:rFonts w:ascii="Arial" w:hAnsi="Arial" w:cs="Arial"/>
          <w:sz w:val="20"/>
          <w:szCs w:val="20"/>
        </w:rPr>
      </w:pPr>
    </w:p>
    <w:p w14:paraId="77F1BF83"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14:paraId="104CF13D"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72CF7352"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1B87F98B" w14:textId="77777777"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4A7CFA93" w14:textId="77777777"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w:t>
      </w:r>
      <w:r w:rsidR="00B33BA4">
        <w:rPr>
          <w:rFonts w:ascii="Arial" w:eastAsia="Times New Roman" w:hAnsi="Arial" w:cs="Arial"/>
          <w:sz w:val="20"/>
          <w:szCs w:val="20"/>
          <w:lang w:eastAsia="fr-FR"/>
        </w:rPr>
        <w:t xml:space="preserve">production, </w:t>
      </w:r>
      <w:r w:rsidR="00B33BA4" w:rsidRPr="007E33CB">
        <w:rPr>
          <w:rFonts w:ascii="Arial" w:eastAsia="Times New Roman" w:hAnsi="Arial" w:cs="Arial"/>
          <w:sz w:val="20"/>
          <w:szCs w:val="20"/>
          <w:lang w:eastAsia="fr-FR"/>
        </w:rPr>
        <w:t>concurrents</w:t>
      </w:r>
      <w:r w:rsidRPr="007E33CB">
        <w:rPr>
          <w:rFonts w:ascii="Arial" w:eastAsia="Times New Roman" w:hAnsi="Arial" w:cs="Arial"/>
          <w:sz w:val="20"/>
          <w:szCs w:val="20"/>
          <w:lang w:eastAsia="fr-FR"/>
        </w:rPr>
        <w:t>, fournisseurs) ;</w:t>
      </w:r>
    </w:p>
    <w:p w14:paraId="37A5B245" w14:textId="77777777" w:rsidR="0093368A" w:rsidRPr="0058646A" w:rsidRDefault="0093368A" w:rsidP="0093368A">
      <w:pPr>
        <w:tabs>
          <w:tab w:val="left" w:pos="1418"/>
        </w:tabs>
        <w:jc w:val="both"/>
        <w:rPr>
          <w:rFonts w:ascii="Arial" w:hAnsi="Arial" w:cs="Arial"/>
          <w:sz w:val="20"/>
          <w:szCs w:val="20"/>
        </w:rPr>
      </w:pPr>
    </w:p>
    <w:p w14:paraId="6AB4C4E0"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33F1ADFA" w14:textId="77777777" w:rsidR="0093368A" w:rsidRPr="0058646A" w:rsidRDefault="0093368A" w:rsidP="0093368A">
      <w:pPr>
        <w:tabs>
          <w:tab w:val="left" w:pos="1418"/>
        </w:tabs>
        <w:jc w:val="both"/>
        <w:rPr>
          <w:rFonts w:ascii="Arial" w:hAnsi="Arial" w:cs="Arial"/>
          <w:sz w:val="20"/>
          <w:szCs w:val="20"/>
        </w:rPr>
      </w:pPr>
    </w:p>
    <w:p w14:paraId="59AC192D" w14:textId="77777777" w:rsidR="0093368A" w:rsidRPr="00DB7697" w:rsidRDefault="0093368A" w:rsidP="0021695F">
      <w:pPr>
        <w:pStyle w:val="Paragraphedeliste"/>
        <w:numPr>
          <w:ilvl w:val="0"/>
          <w:numId w:val="4"/>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3A4EA685" w14:textId="77777777" w:rsidR="0093368A" w:rsidRPr="00DB7697" w:rsidRDefault="0093368A" w:rsidP="0093368A">
      <w:pPr>
        <w:pStyle w:val="Paragraphedeliste"/>
        <w:jc w:val="both"/>
        <w:rPr>
          <w:rFonts w:ascii="Arial" w:hAnsi="Arial" w:cs="Arial"/>
          <w:sz w:val="20"/>
          <w:szCs w:val="20"/>
        </w:rPr>
      </w:pPr>
    </w:p>
    <w:p w14:paraId="7657079E"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03CC274C" w14:textId="77777777" w:rsidR="0093368A"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 les dettes financières, les fonds propres</w:t>
      </w:r>
      <w:r w:rsidR="00B33BA4" w:rsidRPr="00DB7697">
        <w:rPr>
          <w:rFonts w:ascii="Arial" w:hAnsi="Arial" w:cs="Arial"/>
          <w:sz w:val="20"/>
          <w:szCs w:val="20"/>
        </w:rPr>
        <w:t>… (</w:t>
      </w:r>
      <w:r>
        <w:rPr>
          <w:rFonts w:ascii="Arial" w:hAnsi="Arial" w:cs="Arial"/>
          <w:sz w:val="20"/>
          <w:szCs w:val="20"/>
        </w:rPr>
        <w:t>2</w:t>
      </w:r>
      <w:r w:rsidRPr="00DB7697">
        <w:rPr>
          <w:rFonts w:ascii="Arial" w:hAnsi="Arial" w:cs="Arial"/>
          <w:sz w:val="20"/>
          <w:szCs w:val="20"/>
        </w:rPr>
        <w:t>)</w:t>
      </w:r>
    </w:p>
    <w:p w14:paraId="4A0C3B7E"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5253230B"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14:paraId="5A7447C5" w14:textId="77777777" w:rsidR="0093368A" w:rsidRDefault="0093368A" w:rsidP="0093368A">
      <w:pPr>
        <w:pStyle w:val="Paragraphedeliste"/>
        <w:numPr>
          <w:ilvl w:val="1"/>
          <w:numId w:val="4"/>
        </w:numPr>
        <w:jc w:val="both"/>
        <w:rPr>
          <w:rFonts w:ascii="Arial" w:hAnsi="Arial" w:cs="Arial"/>
          <w:sz w:val="20"/>
          <w:szCs w:val="20"/>
        </w:rPr>
      </w:pPr>
      <w:r w:rsidRPr="00DB7697">
        <w:rPr>
          <w:rFonts w:ascii="Arial" w:hAnsi="Arial" w:cs="Arial"/>
          <w:sz w:val="20"/>
          <w:szCs w:val="20"/>
        </w:rPr>
        <w:t>Une ventilation détaillée du montant des flux de paiement prévisionnels, par service de paiement sur trois années pleines.</w:t>
      </w:r>
    </w:p>
    <w:p w14:paraId="39F22430" w14:textId="77777777" w:rsidR="0093368A" w:rsidRDefault="0093368A" w:rsidP="0093368A">
      <w:pPr>
        <w:tabs>
          <w:tab w:val="left" w:pos="1418"/>
        </w:tabs>
        <w:jc w:val="both"/>
        <w:rPr>
          <w:rFonts w:ascii="Arial" w:hAnsi="Arial" w:cs="Arial"/>
          <w:sz w:val="20"/>
          <w:szCs w:val="20"/>
        </w:rPr>
      </w:pPr>
    </w:p>
    <w:p w14:paraId="1963143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090A4B9C"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6B034ECD"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p>
    <w:p w14:paraId="78F2F1F9"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 aux amortissements et aux provisions sur immobilisations ;</w:t>
      </w:r>
    </w:p>
    <w:p w14:paraId="1B39E60E"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p>
    <w:p w14:paraId="173B5FA9"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coût du risque ;</w:t>
      </w:r>
    </w:p>
    <w:p w14:paraId="5BD18F30"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d’exploitation ;</w:t>
      </w:r>
    </w:p>
    <w:p w14:paraId="116F188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p>
    <w:p w14:paraId="6E0BCE3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courant avant impôt ;</w:t>
      </w:r>
    </w:p>
    <w:p w14:paraId="55F2635A"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p>
    <w:p w14:paraId="4EDA5208"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l’impôt sur les bénéfices ;</w:t>
      </w:r>
    </w:p>
    <w:p w14:paraId="2889CAAF"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p>
    <w:p w14:paraId="493163E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net.</w:t>
      </w:r>
    </w:p>
    <w:p w14:paraId="06D19372" w14:textId="77777777" w:rsidR="0093368A" w:rsidRPr="0093368A" w:rsidRDefault="0093368A" w:rsidP="0093368A">
      <w:pPr>
        <w:jc w:val="both"/>
        <w:rPr>
          <w:rFonts w:ascii="Arial" w:eastAsia="Times New Roman" w:hAnsi="Arial" w:cs="Arial"/>
          <w:i/>
          <w:sz w:val="18"/>
          <w:szCs w:val="18"/>
          <w:lang w:eastAsia="fr-FR"/>
        </w:rPr>
      </w:pPr>
    </w:p>
    <w:p w14:paraId="311234B0"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227C073A"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lastRenderedPageBreak/>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  Internet…)</w:t>
      </w:r>
    </w:p>
    <w:p w14:paraId="0B2DF3E5"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prévisions d’activité ;</w:t>
      </w:r>
    </w:p>
    <w:p w14:paraId="7CF25807"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hypothèses en matière de financement ;</w:t>
      </w:r>
    </w:p>
    <w:p w14:paraId="7827FB73"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d’affectation du résultat (distribution des dividendes aux actionnaires, mise en réserve ou en report à nouveau) ;</w:t>
      </w:r>
    </w:p>
    <w:p w14:paraId="30E6752C"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cohérente de taux d’imposition ;</w:t>
      </w:r>
    </w:p>
    <w:p w14:paraId="1429DF58"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14:paraId="2569FBF3" w14:textId="77777777" w:rsidR="0093368A" w:rsidRDefault="0093368A" w:rsidP="0093368A">
      <w:pPr>
        <w:tabs>
          <w:tab w:val="left" w:pos="1418"/>
        </w:tabs>
        <w:jc w:val="both"/>
        <w:rPr>
          <w:rFonts w:ascii="Arial" w:hAnsi="Arial" w:cs="Arial"/>
          <w:sz w:val="20"/>
          <w:szCs w:val="20"/>
        </w:rPr>
      </w:pPr>
    </w:p>
    <w:p w14:paraId="6DF36FF8" w14:textId="77777777" w:rsidR="0093368A" w:rsidRDefault="0093368A" w:rsidP="0093368A">
      <w:pPr>
        <w:pStyle w:val="Titre2"/>
        <w:numPr>
          <w:ilvl w:val="0"/>
          <w:numId w:val="32"/>
        </w:numPr>
        <w:ind w:left="782" w:hanging="357"/>
      </w:pPr>
      <w:bookmarkStart w:id="13" w:name="_Toc507679355"/>
      <w:r>
        <w:t>Capital initial</w:t>
      </w:r>
      <w:bookmarkEnd w:id="13"/>
      <w:r>
        <w:t xml:space="preserve"> </w:t>
      </w:r>
    </w:p>
    <w:p w14:paraId="2F1B5D01" w14:textId="77777777"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en fonction des services de paiement exercés.</w:t>
      </w:r>
    </w:p>
    <w:p w14:paraId="47CBB605"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6D12C2AB"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14:paraId="03C306B2" w14:textId="77777777"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14:paraId="7A22EBFC" w14:textId="77777777" w:rsidTr="00B93618">
        <w:trPr>
          <w:trHeight w:val="567"/>
        </w:trPr>
        <w:tc>
          <w:tcPr>
            <w:tcW w:w="6204" w:type="dxa"/>
            <w:vAlign w:val="center"/>
          </w:tcPr>
          <w:p w14:paraId="6BE495C8" w14:textId="77777777"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14:paraId="3B52FF8F" w14:textId="77777777"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93368A" w:rsidRPr="00FF1FD6" w14:paraId="58278D4C" w14:textId="77777777" w:rsidTr="00B93618">
        <w:trPr>
          <w:trHeight w:val="567"/>
        </w:trPr>
        <w:tc>
          <w:tcPr>
            <w:tcW w:w="6204" w:type="dxa"/>
            <w:vAlign w:val="center"/>
          </w:tcPr>
          <w:p w14:paraId="28C416FD" w14:textId="77777777" w:rsidR="0093368A" w:rsidRDefault="0093368A" w:rsidP="00B93618">
            <w:pPr>
              <w:spacing w:before="60"/>
              <w:rPr>
                <w:rFonts w:ascii="Arial" w:hAnsi="Arial" w:cs="Arial"/>
                <w:sz w:val="20"/>
                <w:szCs w:val="20"/>
              </w:rPr>
            </w:pPr>
            <w:r w:rsidRPr="00FF1FD6">
              <w:rPr>
                <w:rFonts w:ascii="Arial" w:hAnsi="Arial" w:cs="Arial"/>
                <w:sz w:val="20"/>
                <w:szCs w:val="20"/>
              </w:rPr>
              <w:t xml:space="preserve">Services de transmission de </w:t>
            </w:r>
            <w:r>
              <w:rPr>
                <w:rFonts w:ascii="Arial" w:hAnsi="Arial" w:cs="Arial"/>
                <w:sz w:val="20"/>
                <w:szCs w:val="20"/>
              </w:rPr>
              <w:t>fonds (6° du II de l’article L. </w:t>
            </w:r>
            <w:r w:rsidRPr="00FF1FD6">
              <w:rPr>
                <w:rFonts w:ascii="Arial" w:hAnsi="Arial" w:cs="Arial"/>
                <w:sz w:val="20"/>
                <w:szCs w:val="20"/>
              </w:rPr>
              <w:t>314-1) exclusivement</w:t>
            </w:r>
          </w:p>
          <w:p w14:paraId="05B2A5E1" w14:textId="77777777"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(L’établissement ne fournit que le seul service de paiement de transmission de fonds et ne fournit pas celui de change manuel au sens de l’article L</w:t>
            </w:r>
            <w:r>
              <w:rPr>
                <w:rFonts w:ascii="Arial" w:hAnsi="Arial" w:cs="Arial"/>
                <w:i/>
                <w:sz w:val="16"/>
                <w:szCs w:val="16"/>
              </w:rPr>
              <w:t>. </w:t>
            </w:r>
            <w:r w:rsidRPr="00B11CCA">
              <w:rPr>
                <w:rFonts w:ascii="Arial" w:hAnsi="Arial" w:cs="Arial"/>
                <w:i/>
                <w:sz w:val="16"/>
                <w:szCs w:val="16"/>
              </w:rPr>
              <w:t xml:space="preserve">524-1 du </w:t>
            </w:r>
            <w:r>
              <w:rPr>
                <w:rFonts w:ascii="Arial" w:hAnsi="Arial" w:cs="Arial"/>
                <w:i/>
                <w:sz w:val="16"/>
                <w:szCs w:val="16"/>
              </w:rPr>
              <w:t>C</w:t>
            </w:r>
            <w:r w:rsidRPr="00B11CCA">
              <w:rPr>
                <w:rFonts w:ascii="Arial" w:hAnsi="Arial" w:cs="Arial"/>
                <w:i/>
                <w:sz w:val="16"/>
                <w:szCs w:val="16"/>
              </w:rPr>
              <w:t>ode monétaire et financier</w:t>
            </w:r>
            <w:r>
              <w:rPr>
                <w:rFonts w:ascii="Arial" w:hAnsi="Arial" w:cs="Arial"/>
                <w:i/>
                <w:sz w:val="16"/>
                <w:szCs w:val="16"/>
              </w:rPr>
              <w:t>.</w:t>
            </w:r>
            <w:r w:rsidRPr="00B11CCA">
              <w:rPr>
                <w:rFonts w:ascii="Arial" w:hAnsi="Arial" w:cs="Arial"/>
                <w:i/>
                <w:sz w:val="16"/>
                <w:szCs w:val="16"/>
              </w:rPr>
              <w:t>)</w:t>
            </w:r>
          </w:p>
        </w:tc>
        <w:tc>
          <w:tcPr>
            <w:tcW w:w="2976" w:type="dxa"/>
          </w:tcPr>
          <w:p w14:paraId="31926488" w14:textId="77777777" w:rsidR="0093368A" w:rsidRPr="00FF1FD6" w:rsidRDefault="0093368A" w:rsidP="00B93618">
            <w:pPr>
              <w:spacing w:before="120"/>
              <w:rPr>
                <w:rFonts w:ascii="Arial" w:hAnsi="Arial" w:cs="Arial"/>
                <w:sz w:val="20"/>
                <w:szCs w:val="20"/>
              </w:rPr>
            </w:pPr>
            <w:r>
              <w:rPr>
                <w:rFonts w:ascii="Arial" w:hAnsi="Arial" w:cs="Arial"/>
                <w:sz w:val="20"/>
                <w:szCs w:val="20"/>
              </w:rPr>
              <w:t>20 </w:t>
            </w:r>
            <w:r w:rsidRPr="00FF1FD6">
              <w:rPr>
                <w:rFonts w:ascii="Arial" w:hAnsi="Arial" w:cs="Arial"/>
                <w:sz w:val="20"/>
                <w:szCs w:val="20"/>
              </w:rPr>
              <w:t>000</w:t>
            </w:r>
          </w:p>
        </w:tc>
      </w:tr>
      <w:tr w:rsidR="0093368A" w:rsidRPr="00FF1FD6" w14:paraId="464CC8EC" w14:textId="77777777" w:rsidTr="00B93618">
        <w:trPr>
          <w:trHeight w:val="567"/>
        </w:trPr>
        <w:tc>
          <w:tcPr>
            <w:tcW w:w="6204" w:type="dxa"/>
            <w:vAlign w:val="center"/>
          </w:tcPr>
          <w:p w14:paraId="006478ED" w14:textId="77777777" w:rsidR="0093368A" w:rsidRDefault="0093368A" w:rsidP="00B93618">
            <w:pPr>
              <w:spacing w:before="60"/>
              <w:rPr>
                <w:rFonts w:ascii="Arial" w:hAnsi="Arial" w:cs="Arial"/>
                <w:sz w:val="20"/>
                <w:szCs w:val="20"/>
              </w:rPr>
            </w:pPr>
            <w:r w:rsidRPr="00FF1FD6">
              <w:rPr>
                <w:rFonts w:ascii="Arial" w:hAnsi="Arial" w:cs="Arial"/>
                <w:sz w:val="20"/>
                <w:szCs w:val="20"/>
              </w:rPr>
              <w:t>Services de transmission de fonds et de change manuel</w:t>
            </w:r>
          </w:p>
          <w:p w14:paraId="297FC72F" w14:textId="77777777"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 xml:space="preserve">(L’entreprise ne fournit que le seul service de paiement de transmission de fonds et </w:t>
            </w:r>
            <w:r w:rsidR="00B33BA4" w:rsidRPr="00B11CCA">
              <w:rPr>
                <w:rFonts w:ascii="Arial" w:hAnsi="Arial" w:cs="Arial"/>
                <w:i/>
                <w:sz w:val="16"/>
                <w:szCs w:val="16"/>
              </w:rPr>
              <w:t>fournit également</w:t>
            </w:r>
            <w:r w:rsidRPr="00B11CCA">
              <w:rPr>
                <w:rFonts w:ascii="Arial" w:hAnsi="Arial" w:cs="Arial"/>
                <w:i/>
                <w:sz w:val="16"/>
                <w:szCs w:val="16"/>
              </w:rPr>
              <w:t xml:space="preserve"> celui de change manuel au sens de l’article L 524-1 du </w:t>
            </w:r>
            <w:r>
              <w:rPr>
                <w:rFonts w:ascii="Arial" w:hAnsi="Arial" w:cs="Arial"/>
                <w:i/>
                <w:sz w:val="16"/>
                <w:szCs w:val="16"/>
              </w:rPr>
              <w:t>C</w:t>
            </w:r>
            <w:r w:rsidRPr="00B11CCA">
              <w:rPr>
                <w:rFonts w:ascii="Arial" w:hAnsi="Arial" w:cs="Arial"/>
                <w:i/>
                <w:sz w:val="16"/>
                <w:szCs w:val="16"/>
              </w:rPr>
              <w:t>ode monétaire et financier. Toutefois, l’entreprise peut, conformément b) du I de l’article L. 524-3, plutôt que de justifier d’un capital libéré, justifier d’une caution d’un établissement de crédit ou d’une entreprise d’assurance, article L. 522-</w:t>
            </w:r>
            <w:r w:rsidR="00EF0AE1">
              <w:rPr>
                <w:rFonts w:ascii="Arial" w:hAnsi="Arial" w:cs="Arial"/>
                <w:i/>
                <w:sz w:val="16"/>
                <w:szCs w:val="16"/>
              </w:rPr>
              <w:t>3, II</w:t>
            </w:r>
            <w:r w:rsidRPr="00B11CCA">
              <w:rPr>
                <w:rFonts w:ascii="Arial" w:hAnsi="Arial" w:cs="Arial"/>
                <w:i/>
                <w:sz w:val="16"/>
                <w:szCs w:val="16"/>
              </w:rPr>
              <w:t>)</w:t>
            </w:r>
            <w:r w:rsidRPr="00FF1FD6">
              <w:rPr>
                <w:rFonts w:ascii="Arial" w:hAnsi="Arial" w:cs="Arial"/>
                <w:sz w:val="20"/>
                <w:szCs w:val="20"/>
              </w:rPr>
              <w:t xml:space="preserve"> </w:t>
            </w:r>
          </w:p>
        </w:tc>
        <w:tc>
          <w:tcPr>
            <w:tcW w:w="2976" w:type="dxa"/>
          </w:tcPr>
          <w:p w14:paraId="26091A90" w14:textId="77777777" w:rsidR="0093368A" w:rsidRPr="00FF1FD6" w:rsidRDefault="0093368A" w:rsidP="00B93618">
            <w:pPr>
              <w:spacing w:before="120"/>
              <w:rPr>
                <w:rFonts w:ascii="Arial" w:hAnsi="Arial" w:cs="Arial"/>
                <w:sz w:val="20"/>
                <w:szCs w:val="20"/>
              </w:rPr>
            </w:pPr>
            <w:r>
              <w:rPr>
                <w:rFonts w:ascii="Arial" w:hAnsi="Arial" w:cs="Arial"/>
                <w:sz w:val="20"/>
                <w:szCs w:val="20"/>
              </w:rPr>
              <w:t>38 </w:t>
            </w:r>
            <w:r w:rsidRPr="00FF1FD6">
              <w:rPr>
                <w:rFonts w:ascii="Arial" w:hAnsi="Arial" w:cs="Arial"/>
                <w:sz w:val="20"/>
                <w:szCs w:val="20"/>
              </w:rPr>
              <w:t>000</w:t>
            </w:r>
          </w:p>
        </w:tc>
      </w:tr>
      <w:tr w:rsidR="0093368A" w:rsidRPr="00FF1FD6" w14:paraId="5A87F581" w14:textId="77777777" w:rsidTr="00B93618">
        <w:trPr>
          <w:trHeight w:val="567"/>
        </w:trPr>
        <w:tc>
          <w:tcPr>
            <w:tcW w:w="6204" w:type="dxa"/>
            <w:vAlign w:val="center"/>
          </w:tcPr>
          <w:p w14:paraId="0AC4F1EF" w14:textId="77777777" w:rsidR="0093368A" w:rsidRPr="00561591" w:rsidRDefault="0093368A" w:rsidP="00037AB7">
            <w:pPr>
              <w:spacing w:before="60"/>
              <w:rPr>
                <w:rFonts w:ascii="Arial" w:hAnsi="Arial" w:cs="Arial"/>
                <w:i/>
                <w:sz w:val="16"/>
                <w:szCs w:val="16"/>
              </w:rPr>
            </w:pPr>
            <w:r w:rsidRPr="005137D7">
              <w:rPr>
                <w:rFonts w:ascii="Arial" w:hAnsi="Arial" w:cs="Arial"/>
                <w:sz w:val="20"/>
                <w:szCs w:val="20"/>
              </w:rPr>
              <w:t>Service d’initiation de paiement</w:t>
            </w:r>
            <w:r w:rsidRPr="00FF1FD6">
              <w:rPr>
                <w:rFonts w:ascii="Arial" w:hAnsi="Arial" w:cs="Arial"/>
                <w:sz w:val="20"/>
                <w:szCs w:val="20"/>
              </w:rPr>
              <w:t xml:space="preserve"> </w:t>
            </w:r>
            <w:r>
              <w:rPr>
                <w:rFonts w:ascii="Arial" w:hAnsi="Arial" w:cs="Arial"/>
                <w:sz w:val="20"/>
                <w:szCs w:val="20"/>
              </w:rPr>
              <w:t>-</w:t>
            </w:r>
            <w:r w:rsidRPr="00FF1FD6">
              <w:rPr>
                <w:rFonts w:ascii="Arial" w:hAnsi="Arial" w:cs="Arial"/>
                <w:sz w:val="20"/>
                <w:szCs w:val="20"/>
              </w:rPr>
              <w:t xml:space="preserve"> mentio</w:t>
            </w:r>
            <w:r>
              <w:rPr>
                <w:rFonts w:ascii="Arial" w:hAnsi="Arial" w:cs="Arial"/>
                <w:sz w:val="20"/>
                <w:szCs w:val="20"/>
              </w:rPr>
              <w:t>nné au 7° du II de l’article L.</w:t>
            </w:r>
            <w:r>
              <w:t> </w:t>
            </w:r>
            <w:r w:rsidRPr="00FF1FD6">
              <w:rPr>
                <w:rFonts w:ascii="Arial" w:hAnsi="Arial" w:cs="Arial"/>
                <w:sz w:val="20"/>
                <w:szCs w:val="20"/>
              </w:rPr>
              <w:t>314-1</w:t>
            </w:r>
            <w:r>
              <w:rPr>
                <w:rFonts w:ascii="Arial" w:hAnsi="Arial" w:cs="Arial"/>
                <w:sz w:val="20"/>
                <w:szCs w:val="20"/>
              </w:rPr>
              <w:t>-</w:t>
            </w:r>
            <w:r w:rsidRPr="00FF1FD6">
              <w:rPr>
                <w:rFonts w:ascii="Arial" w:hAnsi="Arial" w:cs="Arial"/>
                <w:sz w:val="20"/>
                <w:szCs w:val="20"/>
              </w:rPr>
              <w:t xml:space="preserve"> exclusivement</w:t>
            </w:r>
          </w:p>
        </w:tc>
        <w:tc>
          <w:tcPr>
            <w:tcW w:w="2976" w:type="dxa"/>
          </w:tcPr>
          <w:p w14:paraId="40821C64" w14:textId="77777777" w:rsidR="0093368A" w:rsidRPr="00FF1FD6" w:rsidRDefault="0093368A" w:rsidP="00B93618">
            <w:pPr>
              <w:spacing w:before="120"/>
              <w:rPr>
                <w:rFonts w:ascii="Arial" w:hAnsi="Arial" w:cs="Arial"/>
                <w:sz w:val="20"/>
                <w:szCs w:val="20"/>
              </w:rPr>
            </w:pPr>
            <w:r>
              <w:rPr>
                <w:rFonts w:ascii="Arial" w:hAnsi="Arial" w:cs="Arial"/>
                <w:sz w:val="20"/>
                <w:szCs w:val="20"/>
              </w:rPr>
              <w:t>50 000</w:t>
            </w:r>
          </w:p>
        </w:tc>
      </w:tr>
      <w:tr w:rsidR="0093368A" w:rsidRPr="00FF1FD6" w14:paraId="7C96EC2B" w14:textId="77777777" w:rsidTr="00B93618">
        <w:trPr>
          <w:trHeight w:val="567"/>
        </w:trPr>
        <w:tc>
          <w:tcPr>
            <w:tcW w:w="6204" w:type="dxa"/>
            <w:vAlign w:val="center"/>
          </w:tcPr>
          <w:p w14:paraId="2CE23327" w14:textId="77777777" w:rsidR="0093368A" w:rsidRPr="00D14866" w:rsidRDefault="0093368A" w:rsidP="00B93618">
            <w:pPr>
              <w:spacing w:before="60"/>
              <w:rPr>
                <w:rFonts w:ascii="Arial" w:hAnsi="Arial" w:cs="Arial"/>
                <w:i/>
                <w:sz w:val="16"/>
                <w:szCs w:val="16"/>
              </w:rPr>
            </w:pPr>
            <w:r>
              <w:rPr>
                <w:rFonts w:ascii="Arial" w:hAnsi="Arial" w:cs="Arial"/>
                <w:sz w:val="20"/>
                <w:szCs w:val="20"/>
              </w:rPr>
              <w:t xml:space="preserve">Service </w:t>
            </w:r>
            <w:r w:rsidRPr="005137D7">
              <w:rPr>
                <w:rFonts w:ascii="Arial" w:hAnsi="Arial" w:cs="Arial"/>
                <w:sz w:val="20"/>
                <w:szCs w:val="20"/>
              </w:rPr>
              <w:t>d’information sur les comptes</w:t>
            </w:r>
            <w:r>
              <w:rPr>
                <w:rFonts w:ascii="Arial" w:hAnsi="Arial" w:cs="Arial"/>
                <w:sz w:val="20"/>
                <w:szCs w:val="20"/>
              </w:rPr>
              <w:t xml:space="preserve"> de paiement -mentionné au 8° de l’article L. 314-1- exclusivement</w:t>
            </w:r>
          </w:p>
        </w:tc>
        <w:tc>
          <w:tcPr>
            <w:tcW w:w="2976" w:type="dxa"/>
          </w:tcPr>
          <w:p w14:paraId="7CD1181C" w14:textId="77777777" w:rsidR="0093368A" w:rsidRPr="00FF1FD6" w:rsidRDefault="0093368A" w:rsidP="00B93618">
            <w:pPr>
              <w:spacing w:before="120"/>
              <w:rPr>
                <w:rFonts w:ascii="Arial" w:hAnsi="Arial" w:cs="Arial"/>
                <w:sz w:val="20"/>
                <w:szCs w:val="20"/>
              </w:rPr>
            </w:pPr>
            <w:r>
              <w:rPr>
                <w:rFonts w:ascii="Arial" w:hAnsi="Arial" w:cs="Arial"/>
                <w:sz w:val="20"/>
                <w:szCs w:val="20"/>
              </w:rPr>
              <w:t>pas d’exigence</w:t>
            </w:r>
          </w:p>
        </w:tc>
      </w:tr>
      <w:tr w:rsidR="0093368A" w:rsidRPr="00FF1FD6" w14:paraId="16CB9E1B" w14:textId="77777777" w:rsidTr="00B93618">
        <w:trPr>
          <w:trHeight w:val="567"/>
        </w:trPr>
        <w:tc>
          <w:tcPr>
            <w:tcW w:w="6204" w:type="dxa"/>
            <w:vAlign w:val="center"/>
          </w:tcPr>
          <w:p w14:paraId="44EF3385" w14:textId="77777777" w:rsidR="0093368A" w:rsidRPr="00FF1FD6" w:rsidRDefault="0093368A" w:rsidP="00B93618">
            <w:pPr>
              <w:spacing w:before="60"/>
              <w:rPr>
                <w:rFonts w:ascii="Arial" w:hAnsi="Arial" w:cs="Arial"/>
                <w:sz w:val="20"/>
                <w:szCs w:val="20"/>
              </w:rPr>
            </w:pPr>
            <w:r w:rsidRPr="00FF1FD6">
              <w:rPr>
                <w:rFonts w:ascii="Arial" w:hAnsi="Arial" w:cs="Arial"/>
                <w:sz w:val="20"/>
                <w:szCs w:val="20"/>
              </w:rPr>
              <w:t>Autres services de paiement</w:t>
            </w:r>
          </w:p>
        </w:tc>
        <w:tc>
          <w:tcPr>
            <w:tcW w:w="2976" w:type="dxa"/>
          </w:tcPr>
          <w:p w14:paraId="27983F92" w14:textId="77777777" w:rsidR="0093368A" w:rsidRPr="00FF1FD6" w:rsidRDefault="0093368A" w:rsidP="00B93618">
            <w:pPr>
              <w:spacing w:before="120"/>
              <w:rPr>
                <w:rFonts w:ascii="Arial" w:hAnsi="Arial" w:cs="Arial"/>
                <w:sz w:val="20"/>
                <w:szCs w:val="20"/>
              </w:rPr>
            </w:pPr>
            <w:r w:rsidRPr="00FF1FD6">
              <w:rPr>
                <w:rFonts w:ascii="Arial" w:hAnsi="Arial" w:cs="Arial"/>
                <w:sz w:val="20"/>
                <w:szCs w:val="20"/>
              </w:rPr>
              <w:t>125</w:t>
            </w:r>
            <w:r>
              <w:rPr>
                <w:rFonts w:ascii="Arial" w:hAnsi="Arial" w:cs="Arial"/>
                <w:sz w:val="20"/>
                <w:szCs w:val="20"/>
              </w:rPr>
              <w:t> </w:t>
            </w:r>
            <w:r w:rsidRPr="00FF1FD6">
              <w:rPr>
                <w:rFonts w:ascii="Arial" w:hAnsi="Arial" w:cs="Arial"/>
                <w:sz w:val="20"/>
                <w:szCs w:val="20"/>
              </w:rPr>
              <w:t>000</w:t>
            </w:r>
          </w:p>
        </w:tc>
      </w:tr>
    </w:tbl>
    <w:p w14:paraId="1C7D3206" w14:textId="77777777" w:rsidR="0093368A" w:rsidRPr="00AB3231" w:rsidRDefault="0093368A" w:rsidP="00AB3231">
      <w:pPr>
        <w:rPr>
          <w:rFonts w:ascii="Arial" w:hAnsi="Arial" w:cs="Arial"/>
          <w:sz w:val="20"/>
          <w:szCs w:val="20"/>
        </w:rPr>
      </w:pPr>
    </w:p>
    <w:p w14:paraId="09F4DD36" w14:textId="77777777" w:rsidR="0093368A" w:rsidRPr="003B1354" w:rsidRDefault="0093368A" w:rsidP="0093368A">
      <w:pPr>
        <w:pStyle w:val="Titre2"/>
        <w:numPr>
          <w:ilvl w:val="0"/>
          <w:numId w:val="32"/>
        </w:numPr>
        <w:ind w:left="782" w:hanging="357"/>
      </w:pPr>
      <w:bookmarkStart w:id="14" w:name="_Toc507679356"/>
      <w:r>
        <w:t>E</w:t>
      </w:r>
      <w:r w:rsidRPr="003B1354">
        <w:t>xigences en fonds propres</w:t>
      </w:r>
      <w:r>
        <w:t xml:space="preserve"> prudentiels</w:t>
      </w:r>
      <w:bookmarkEnd w:id="14"/>
      <w:r w:rsidRPr="003B1354" w:rsidDel="00CA51E6">
        <w:t xml:space="preserve"> </w:t>
      </w:r>
    </w:p>
    <w:p w14:paraId="11D7099B" w14:textId="77777777" w:rsidR="0093368A" w:rsidRDefault="0093368A" w:rsidP="0093368A">
      <w:pPr>
        <w:tabs>
          <w:tab w:val="left" w:pos="1418"/>
        </w:tabs>
        <w:rPr>
          <w:rFonts w:ascii="Arial" w:hAnsi="Arial" w:cs="Arial"/>
          <w:sz w:val="20"/>
          <w:szCs w:val="20"/>
        </w:rPr>
      </w:pPr>
    </w:p>
    <w:p w14:paraId="01984080" w14:textId="77777777" w:rsidR="0093368A" w:rsidRPr="00F76D30" w:rsidRDefault="0093368A" w:rsidP="0093368A">
      <w:pPr>
        <w:pStyle w:val="Corpsdetexte2"/>
        <w:rPr>
          <w:u w:val="single"/>
        </w:rPr>
      </w:pPr>
      <w:r w:rsidRPr="00F76D30">
        <w:rPr>
          <w:u w:val="single"/>
        </w:rPr>
        <w:t>Sont concernés les établissements qui fourniront les services de paiement 1 à 6</w:t>
      </w:r>
    </w:p>
    <w:p w14:paraId="48EF2306" w14:textId="77777777" w:rsidR="0093368A" w:rsidRPr="001363B8" w:rsidRDefault="0093368A" w:rsidP="0093368A">
      <w:pPr>
        <w:pStyle w:val="Corpsdetexte2"/>
      </w:pPr>
      <w:r w:rsidRPr="001363B8">
        <w:t xml:space="preserve">Une attention particulière sera portée </w:t>
      </w:r>
      <w:r>
        <w:t>sur</w:t>
      </w:r>
      <w:r w:rsidRPr="001363B8">
        <w:t xml:space="preserve"> l’estimation prévisionnelle du respect des normes de gestion applicables au demandeur en matière de solvabilité et d</w:t>
      </w:r>
      <w:r>
        <w:t>e</w:t>
      </w:r>
      <w:r w:rsidRPr="001363B8">
        <w:t xml:space="preserve"> calcul des exigences en fonds propres en </w:t>
      </w:r>
      <w:r w:rsidRPr="00890EF0">
        <w:t xml:space="preserve">application de </w:t>
      </w:r>
      <w:r w:rsidRPr="00F11A47">
        <w:t>l’arrêté du 29 octobre 2009</w:t>
      </w:r>
      <w:r w:rsidR="003F5779">
        <w:rPr>
          <w:rStyle w:val="Appelnotedebasdep"/>
        </w:rPr>
        <w:footnoteReference w:id="3"/>
      </w:r>
      <w:r w:rsidRPr="00F11A47">
        <w:t xml:space="preserve"> (article 29 et suivants</w:t>
      </w:r>
      <w:r w:rsidRPr="00890EF0">
        <w:t>). L’établissement doit choisir la</w:t>
      </w:r>
      <w:r>
        <w:t xml:space="preserve"> méthode qu’il souhaite utiliser, justifier son choix au regard des risques liés aux activités visées et enfin démontrer qu’il pourra appliquer la méthode :</w:t>
      </w:r>
    </w:p>
    <w:p w14:paraId="191F83AF" w14:textId="77777777"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690BA218" w14:textId="77777777"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lastRenderedPageBreak/>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7E566488" w14:textId="77777777" w:rsidR="0093368A" w:rsidRPr="00970E4B"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535BB23C" w14:textId="77777777" w:rsidR="0093368A" w:rsidRDefault="0093368A" w:rsidP="0093368A">
      <w:pPr>
        <w:tabs>
          <w:tab w:val="left" w:pos="1418"/>
        </w:tabs>
        <w:jc w:val="both"/>
        <w:rPr>
          <w:rFonts w:ascii="Arial" w:hAnsi="Arial" w:cs="Arial"/>
          <w:sz w:val="20"/>
          <w:szCs w:val="20"/>
        </w:rPr>
      </w:pPr>
    </w:p>
    <w:p w14:paraId="7FD1994F" w14:textId="77777777" w:rsidR="0093368A" w:rsidRPr="00D723B8" w:rsidRDefault="0093368A" w:rsidP="0093368A">
      <w:pPr>
        <w:pStyle w:val="Paragraphedeliste"/>
        <w:numPr>
          <w:ilvl w:val="0"/>
          <w:numId w:val="8"/>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4"/>
      </w:r>
      <w:r>
        <w:rPr>
          <w:rFonts w:ascii="Arial" w:hAnsi="Arial" w:cs="Arial"/>
          <w:sz w:val="20"/>
          <w:szCs w:val="20"/>
        </w:rPr>
        <w:t xml:space="preserve"> sur les trois exercices à venir.</w:t>
      </w:r>
    </w:p>
    <w:p w14:paraId="26F37306" w14:textId="77777777" w:rsidR="0093368A" w:rsidRPr="0022176C" w:rsidRDefault="0093368A" w:rsidP="0093368A">
      <w:pPr>
        <w:pStyle w:val="Paragraphedeliste"/>
        <w:numPr>
          <w:ilvl w:val="0"/>
          <w:numId w:val="8"/>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trois méthodes de calcul pour calculer les exigences en fonds propres prudentiels en précisant, le cas échéant, les montants des fonds propres nécessaires relatifs aux opérations de crédit.</w:t>
      </w:r>
    </w:p>
    <w:p w14:paraId="64906274" w14:textId="77777777" w:rsidR="0093368A" w:rsidRDefault="0093368A" w:rsidP="0093368A">
      <w:pPr>
        <w:tabs>
          <w:tab w:val="left" w:pos="1418"/>
        </w:tabs>
        <w:jc w:val="both"/>
        <w:rPr>
          <w:rFonts w:ascii="Arial" w:hAnsi="Arial" w:cs="Arial"/>
          <w:sz w:val="20"/>
          <w:szCs w:val="20"/>
        </w:rPr>
      </w:pPr>
    </w:p>
    <w:p w14:paraId="121DDB9A" w14:textId="77777777" w:rsidR="0093368A" w:rsidRPr="003B1354" w:rsidRDefault="0093368A" w:rsidP="0093368A">
      <w:pPr>
        <w:pStyle w:val="Titre2"/>
        <w:numPr>
          <w:ilvl w:val="0"/>
          <w:numId w:val="32"/>
        </w:numPr>
        <w:ind w:left="782" w:hanging="357"/>
      </w:pPr>
      <w:bookmarkStart w:id="15" w:name="_Toc507679357"/>
      <w:r w:rsidRPr="003B1354">
        <w:t>Protection des fonds collectés</w:t>
      </w:r>
      <w:bookmarkEnd w:id="15"/>
    </w:p>
    <w:p w14:paraId="1E7E6629"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890EF0">
        <w:rPr>
          <w:rFonts w:ascii="Arial" w:hAnsi="Arial" w:cs="Arial"/>
          <w:i/>
          <w:sz w:val="20"/>
          <w:szCs w:val="20"/>
        </w:rPr>
        <w:t xml:space="preserve">(Article </w:t>
      </w:r>
      <w:r w:rsidRPr="00F11A47">
        <w:rPr>
          <w:rFonts w:ascii="Arial" w:hAnsi="Arial" w:cs="Arial"/>
          <w:i/>
          <w:sz w:val="20"/>
          <w:szCs w:val="20"/>
        </w:rPr>
        <w:t>L. 522-17</w:t>
      </w:r>
      <w:r w:rsidRPr="00890EF0">
        <w:rPr>
          <w:rFonts w:ascii="Arial" w:hAnsi="Arial" w:cs="Arial"/>
          <w:i/>
          <w:sz w:val="20"/>
          <w:szCs w:val="20"/>
        </w:rPr>
        <w:t xml:space="preserve"> du Code monétaire et financier)</w:t>
      </w:r>
    </w:p>
    <w:p w14:paraId="7221E3BF" w14:textId="77777777" w:rsidR="0093368A" w:rsidRDefault="0093368A" w:rsidP="0093368A">
      <w:pPr>
        <w:pStyle w:val="Corpsdetexte2"/>
      </w:pPr>
    </w:p>
    <w:p w14:paraId="192B00B6" w14:textId="77777777" w:rsidR="0093368A" w:rsidRPr="00F76D30" w:rsidRDefault="0093368A" w:rsidP="0093368A">
      <w:pPr>
        <w:pStyle w:val="Corpsdetexte2"/>
        <w:rPr>
          <w:u w:val="single"/>
        </w:rPr>
      </w:pPr>
      <w:r w:rsidRPr="00F76D30">
        <w:rPr>
          <w:u w:val="single"/>
        </w:rPr>
        <w:t>Sont concernés les établissements qui fourniront les services de paiement 1 à 6.</w:t>
      </w:r>
    </w:p>
    <w:p w14:paraId="21C7165E"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6DB1DC3A" w14:textId="77777777" w:rsidR="0093368A" w:rsidRDefault="0093368A" w:rsidP="0093368A">
      <w:pPr>
        <w:tabs>
          <w:tab w:val="left" w:pos="1418"/>
        </w:tabs>
        <w:rPr>
          <w:rFonts w:ascii="Arial" w:hAnsi="Arial" w:cs="Arial"/>
          <w:sz w:val="20"/>
          <w:szCs w:val="20"/>
        </w:rPr>
      </w:pPr>
    </w:p>
    <w:p w14:paraId="5B5A933B" w14:textId="77777777"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3CCF2982"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34 de l’arrêté du 29 octobre 2009)</w:t>
      </w:r>
    </w:p>
    <w:p w14:paraId="7278295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06D76CB1"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Il devra préciser le nombre de personnes ayant accès au compte de cantonnement ainsi qu’une description du processus d’administration et de rapprochement du compte de cantonnement permettant de garantir que, dans l’intérêt des utilisateurs des services de paiement, les fonds sont soustraits aux recours d’autres créanciers de l’établissement de paiement, notamment en cas d’insolvabilité.</w:t>
      </w:r>
    </w:p>
    <w:p w14:paraId="117173AF" w14:textId="77777777" w:rsidR="0093368A" w:rsidRDefault="0093368A" w:rsidP="0093368A">
      <w:pPr>
        <w:tabs>
          <w:tab w:val="left" w:pos="1418"/>
        </w:tabs>
        <w:jc w:val="both"/>
        <w:rPr>
          <w:rFonts w:ascii="Arial" w:hAnsi="Arial" w:cs="Arial"/>
          <w:sz w:val="20"/>
          <w:szCs w:val="20"/>
        </w:rPr>
      </w:pPr>
    </w:p>
    <w:p w14:paraId="486FA896" w14:textId="77777777"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7EA35C2E"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14:paraId="5C143ACF" w14:textId="77777777" w:rsidR="0093368A" w:rsidRDefault="0093368A" w:rsidP="0093368A">
      <w:pPr>
        <w:tabs>
          <w:tab w:val="left" w:pos="1418"/>
        </w:tabs>
        <w:jc w:val="both"/>
        <w:rPr>
          <w:rFonts w:ascii="Arial" w:hAnsi="Arial" w:cs="Arial"/>
          <w:sz w:val="20"/>
          <w:szCs w:val="20"/>
        </w:rPr>
      </w:pPr>
    </w:p>
    <w:p w14:paraId="0F20F8D6"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7EF6D0DA"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5DB7345A"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586055F5"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02CE7C1D" w14:textId="77777777" w:rsidR="0093368A" w:rsidRDefault="0093368A" w:rsidP="0093368A">
      <w:pPr>
        <w:spacing w:after="200"/>
        <w:rPr>
          <w:rFonts w:ascii="Arial" w:hAnsi="Arial" w:cs="Arial"/>
          <w:sz w:val="20"/>
          <w:szCs w:val="20"/>
        </w:rPr>
      </w:pPr>
    </w:p>
    <w:p w14:paraId="467C0B6C" w14:textId="77777777" w:rsidR="0093368A" w:rsidRDefault="0093368A" w:rsidP="0093368A">
      <w:pPr>
        <w:pStyle w:val="Titre2"/>
        <w:numPr>
          <w:ilvl w:val="0"/>
          <w:numId w:val="32"/>
        </w:numPr>
        <w:ind w:left="782" w:hanging="357"/>
      </w:pPr>
      <w:bookmarkStart w:id="16" w:name="_Toc507679358"/>
      <w:r>
        <w:t>Assurance responsabilité civile professionnelle</w:t>
      </w:r>
      <w:bookmarkEnd w:id="16"/>
    </w:p>
    <w:p w14:paraId="1FCF127E"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(Article</w:t>
      </w:r>
      <w:r w:rsidR="00C4792F">
        <w:rPr>
          <w:rFonts w:ascii="Arial" w:hAnsi="Arial" w:cs="Arial"/>
          <w:i/>
          <w:sz w:val="20"/>
          <w:szCs w:val="20"/>
        </w:rPr>
        <w:t>s</w:t>
      </w:r>
      <w:r w:rsidRPr="001F5225">
        <w:rPr>
          <w:rFonts w:ascii="Arial" w:hAnsi="Arial" w:cs="Arial"/>
          <w:i/>
          <w:sz w:val="20"/>
          <w:szCs w:val="20"/>
        </w:rPr>
        <w:t xml:space="preserv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14:paraId="66053799" w14:textId="77777777" w:rsidR="0060241A" w:rsidRDefault="0060241A" w:rsidP="0093368A">
      <w:pPr>
        <w:pStyle w:val="Corpsdetexte2"/>
      </w:pPr>
    </w:p>
    <w:p w14:paraId="7132E1E3" w14:textId="77777777" w:rsidR="0093368A" w:rsidRPr="00F76D30" w:rsidRDefault="0093368A" w:rsidP="0093368A">
      <w:pPr>
        <w:pStyle w:val="Corpsdetexte2"/>
        <w:rPr>
          <w:u w:val="single"/>
        </w:rPr>
      </w:pPr>
      <w:r w:rsidRPr="00F76D30">
        <w:rPr>
          <w:u w:val="single"/>
        </w:rPr>
        <w:t>Sont concernés les établissements qui fourniront les services de paiement 7 et/ou 8</w:t>
      </w:r>
      <w:r>
        <w:rPr>
          <w:u w:val="single"/>
        </w:rPr>
        <w:t xml:space="preserve"> (</w:t>
      </w:r>
      <w:r w:rsidR="00DC1D6A">
        <w:rPr>
          <w:u w:val="single"/>
        </w:rPr>
        <w:t>article L. 314-1 du Code monétaire et financier</w:t>
      </w:r>
      <w:r>
        <w:rPr>
          <w:u w:val="single"/>
        </w:rPr>
        <w:t>)</w:t>
      </w:r>
      <w:r w:rsidRPr="00F76D30">
        <w:rPr>
          <w:u w:val="single"/>
        </w:rPr>
        <w:t>.</w:t>
      </w:r>
    </w:p>
    <w:p w14:paraId="4810C497" w14:textId="77777777" w:rsidR="00D97723"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r w:rsidR="00890EF0">
        <w:t xml:space="preserve"> </w:t>
      </w:r>
      <w:r>
        <w:t>Le projet de contrat devra être joint au dossier.</w:t>
      </w:r>
    </w:p>
    <w:p w14:paraId="4652A9E6" w14:textId="77777777" w:rsidR="00D97723" w:rsidRDefault="00D97723">
      <w:pPr>
        <w:spacing w:after="200"/>
        <w:rPr>
          <w:rFonts w:ascii="Arial" w:hAnsi="Arial" w:cs="Arial"/>
          <w:sz w:val="20"/>
          <w:szCs w:val="20"/>
        </w:rPr>
      </w:pPr>
      <w:r>
        <w:br w:type="page"/>
      </w:r>
    </w:p>
    <w:p w14:paraId="6C4CBC9C" w14:textId="77777777" w:rsidR="0093368A" w:rsidRPr="00F14B4B" w:rsidRDefault="0093368A" w:rsidP="0093368A">
      <w:pPr>
        <w:pStyle w:val="Titre1"/>
      </w:pPr>
      <w:bookmarkStart w:id="17" w:name="_Toc507679359"/>
      <w:r w:rsidRPr="00F14B4B">
        <w:lastRenderedPageBreak/>
        <w:t>Structure organisationnelle et mécanisme de contrôle interne</w:t>
      </w:r>
      <w:bookmarkEnd w:id="17"/>
    </w:p>
    <w:p w14:paraId="56ECA7A1" w14:textId="77777777" w:rsidR="0093368A" w:rsidRDefault="0093368A" w:rsidP="0093368A">
      <w:pPr>
        <w:tabs>
          <w:tab w:val="left" w:pos="1418"/>
        </w:tabs>
        <w:rPr>
          <w:rFonts w:ascii="Arial" w:hAnsi="Arial" w:cs="Arial"/>
          <w:sz w:val="20"/>
          <w:szCs w:val="20"/>
        </w:rPr>
      </w:pPr>
    </w:p>
    <w:p w14:paraId="4FE7A82D" w14:textId="77777777" w:rsidR="0093368A" w:rsidRPr="00F14B4B" w:rsidRDefault="0093368A" w:rsidP="0093368A">
      <w:pPr>
        <w:pStyle w:val="Titre2"/>
        <w:numPr>
          <w:ilvl w:val="2"/>
          <w:numId w:val="13"/>
        </w:numPr>
        <w:ind w:left="782" w:hanging="357"/>
      </w:pPr>
      <w:bookmarkStart w:id="18" w:name="_Toc507679360"/>
      <w:r w:rsidRPr="00F14B4B">
        <w:t>Structure organisationnelle</w:t>
      </w:r>
      <w:bookmarkEnd w:id="18"/>
    </w:p>
    <w:p w14:paraId="052B9447" w14:textId="77777777" w:rsidR="0093368A" w:rsidRDefault="0093368A" w:rsidP="0093368A">
      <w:pPr>
        <w:tabs>
          <w:tab w:val="left" w:pos="1418"/>
        </w:tabs>
        <w:jc w:val="both"/>
        <w:rPr>
          <w:rFonts w:ascii="Arial" w:hAnsi="Arial" w:cs="Arial"/>
          <w:sz w:val="20"/>
          <w:szCs w:val="20"/>
        </w:rPr>
      </w:pPr>
    </w:p>
    <w:p w14:paraId="73E417A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106CFDF3" w14:textId="77777777" w:rsidR="0093368A" w:rsidRDefault="0093368A" w:rsidP="0093368A">
      <w:pPr>
        <w:tabs>
          <w:tab w:val="left" w:pos="1418"/>
        </w:tabs>
        <w:jc w:val="both"/>
        <w:rPr>
          <w:rFonts w:ascii="Arial" w:hAnsi="Arial" w:cs="Arial"/>
          <w:sz w:val="20"/>
          <w:szCs w:val="20"/>
        </w:rPr>
      </w:pPr>
    </w:p>
    <w:p w14:paraId="40570C73" w14:textId="77777777"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668561F4" w14:textId="77777777" w:rsidR="0093368A" w:rsidRPr="00A63F42" w:rsidRDefault="0093368A" w:rsidP="0093368A">
      <w:pPr>
        <w:pStyle w:val="Paragraphedeliste"/>
        <w:jc w:val="both"/>
        <w:rPr>
          <w:rFonts w:ascii="Arial" w:hAnsi="Arial" w:cs="Arial"/>
          <w:sz w:val="20"/>
          <w:szCs w:val="20"/>
        </w:rPr>
      </w:pPr>
    </w:p>
    <w:p w14:paraId="260BC71A"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14:paraId="2CE1F4C8" w14:textId="77777777" w:rsidR="0093368A" w:rsidRPr="0048236B" w:rsidRDefault="0093368A" w:rsidP="0093368A">
      <w:pPr>
        <w:pStyle w:val="Paragraphedeliste"/>
        <w:rPr>
          <w:rFonts w:ascii="Arial" w:hAnsi="Arial" w:cs="Arial"/>
          <w:sz w:val="20"/>
          <w:szCs w:val="20"/>
        </w:rPr>
      </w:pPr>
    </w:p>
    <w:p w14:paraId="7378694E"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3F5779">
        <w:rPr>
          <w:rStyle w:val="Appelnotedebasdep"/>
          <w:rFonts w:cs="Arial"/>
          <w:szCs w:val="20"/>
        </w:rPr>
        <w:footnoteReference w:id="5"/>
      </w:r>
      <w:r>
        <w:rPr>
          <w:rFonts w:ascii="Arial" w:hAnsi="Arial" w:cs="Arial"/>
          <w:sz w:val="20"/>
          <w:szCs w:val="20"/>
        </w:rPr>
        <w:t> ; et (ii) les autres opérations</w:t>
      </w:r>
    </w:p>
    <w:p w14:paraId="6D6CCE91"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023D8CFC"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14:paraId="0E566037"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22B5C818" w14:textId="77777777" w:rsidR="0093368A" w:rsidRDefault="0093368A" w:rsidP="0093368A">
      <w:pPr>
        <w:tabs>
          <w:tab w:val="left" w:pos="1418"/>
        </w:tabs>
        <w:jc w:val="both"/>
        <w:rPr>
          <w:rFonts w:ascii="Arial" w:hAnsi="Arial" w:cs="Arial"/>
          <w:sz w:val="20"/>
          <w:szCs w:val="20"/>
        </w:rPr>
      </w:pPr>
    </w:p>
    <w:p w14:paraId="32CA0E58"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0C9526B4" w14:textId="77777777" w:rsidR="0093368A" w:rsidRDefault="0093368A" w:rsidP="0093368A">
      <w:pPr>
        <w:pStyle w:val="Paragraphedeliste"/>
        <w:tabs>
          <w:tab w:val="left" w:pos="1418"/>
        </w:tabs>
        <w:jc w:val="both"/>
        <w:rPr>
          <w:rFonts w:ascii="Arial" w:hAnsi="Arial" w:cs="Arial"/>
          <w:sz w:val="20"/>
          <w:szCs w:val="20"/>
        </w:rPr>
      </w:pPr>
    </w:p>
    <w:p w14:paraId="50FA8DF9" w14:textId="77777777" w:rsidR="0093368A" w:rsidRDefault="0093368A" w:rsidP="00A86235">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L’identité du ou des commissaires aux comptes (CAC) (nom et adresse).</w:t>
      </w:r>
    </w:p>
    <w:p w14:paraId="37256758" w14:textId="77777777" w:rsidR="00A86235" w:rsidRPr="00A86235" w:rsidRDefault="00A86235" w:rsidP="00A86235">
      <w:pPr>
        <w:pStyle w:val="Paragraphedeliste"/>
        <w:rPr>
          <w:rFonts w:ascii="Arial" w:hAnsi="Arial" w:cs="Arial"/>
          <w:sz w:val="20"/>
          <w:szCs w:val="20"/>
        </w:rPr>
      </w:pPr>
    </w:p>
    <w:p w14:paraId="30FA654D" w14:textId="77777777" w:rsidR="0093368A" w:rsidRPr="00601E1C" w:rsidRDefault="0093368A" w:rsidP="0093368A">
      <w:pPr>
        <w:pStyle w:val="Titre2"/>
        <w:numPr>
          <w:ilvl w:val="2"/>
          <w:numId w:val="13"/>
        </w:numPr>
        <w:ind w:left="782" w:hanging="357"/>
      </w:pPr>
      <w:bookmarkStart w:id="19" w:name="_Toc507679361"/>
      <w:r w:rsidRPr="00601E1C">
        <w:t>Mécanismes de contrôle interne</w:t>
      </w:r>
      <w:bookmarkEnd w:id="19"/>
    </w:p>
    <w:p w14:paraId="110CF5A5"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553C82" w:rsidRPr="002F65F1" w14:paraId="14088B28" w14:textId="77777777" w:rsidTr="004A1167">
        <w:tc>
          <w:tcPr>
            <w:tcW w:w="5245" w:type="dxa"/>
            <w:shd w:val="clear" w:color="auto" w:fill="auto"/>
          </w:tcPr>
          <w:p w14:paraId="36DC77CE" w14:textId="6A0C56F1" w:rsidR="00553C82" w:rsidRPr="002F65F1" w:rsidRDefault="00553C82" w:rsidP="004A1167">
            <w:pPr>
              <w:rPr>
                <w:rFonts w:ascii="Arial" w:hAnsi="Arial" w:cs="Arial"/>
                <w:sz w:val="20"/>
              </w:rPr>
            </w:pPr>
            <w:r>
              <w:rPr>
                <w:rFonts w:ascii="Arial" w:hAnsi="Arial" w:cs="Arial"/>
                <w:b/>
                <w:sz w:val="20"/>
              </w:rPr>
              <w:t>Nom du responsable de la fonction d</w:t>
            </w:r>
            <w:r w:rsidR="004A1167">
              <w:rPr>
                <w:rFonts w:ascii="Arial" w:hAnsi="Arial" w:cs="Arial"/>
                <w:b/>
                <w:sz w:val="20"/>
              </w:rPr>
              <w:t>e</w:t>
            </w:r>
            <w:r w:rsidRPr="00F44311">
              <w:rPr>
                <w:rFonts w:ascii="Arial" w:hAnsi="Arial" w:cs="Arial"/>
                <w:b/>
                <w:sz w:val="20"/>
              </w:rPr>
              <w:t xml:space="preserve"> contrôle permanent</w:t>
            </w:r>
            <w:r>
              <w:rPr>
                <w:rFonts w:ascii="Arial" w:hAnsi="Arial" w:cs="Arial"/>
                <w:b/>
                <w:sz w:val="20"/>
              </w:rPr>
              <w:t xml:space="preserve"> de deuxième niveau</w:t>
            </w:r>
            <w:r>
              <w:rPr>
                <w:rFonts w:ascii="Arial" w:hAnsi="Arial" w:cs="Arial"/>
                <w:sz w:val="20"/>
              </w:rPr>
              <w:t> (1)</w:t>
            </w:r>
          </w:p>
        </w:tc>
        <w:tc>
          <w:tcPr>
            <w:tcW w:w="3827" w:type="dxa"/>
            <w:shd w:val="clear" w:color="auto" w:fill="C6D9F1" w:themeFill="text2" w:themeFillTint="33"/>
          </w:tcPr>
          <w:p w14:paraId="42ECDDDF"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26CF3A86" w14:textId="77777777" w:rsidR="00553C82" w:rsidRDefault="00553C82" w:rsidP="00553C82">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553C82" w:rsidRPr="002F65F1" w14:paraId="16048A65" w14:textId="77777777" w:rsidTr="004A1167">
        <w:tc>
          <w:tcPr>
            <w:tcW w:w="5245" w:type="dxa"/>
            <w:shd w:val="clear" w:color="auto" w:fill="auto"/>
          </w:tcPr>
          <w:p w14:paraId="7704FAF9" w14:textId="77777777" w:rsidR="00553C82" w:rsidRPr="00F44311" w:rsidRDefault="00553C82" w:rsidP="004A1167">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151D0990" w14:textId="77777777" w:rsidR="00553C82" w:rsidRPr="00594C67" w:rsidRDefault="00553C82" w:rsidP="004A1167">
            <w:pPr>
              <w:rPr>
                <w:rFonts w:ascii="Arial" w:hAnsi="Arial" w:cs="Arial"/>
                <w:color w:val="002060"/>
                <w:sz w:val="20"/>
              </w:rPr>
            </w:pPr>
          </w:p>
        </w:tc>
      </w:tr>
      <w:tr w:rsidR="00553C82" w:rsidRPr="002F65F1" w14:paraId="6B35C50E" w14:textId="77777777" w:rsidTr="004A1167">
        <w:tc>
          <w:tcPr>
            <w:tcW w:w="5245" w:type="dxa"/>
            <w:shd w:val="clear" w:color="auto" w:fill="auto"/>
          </w:tcPr>
          <w:p w14:paraId="473DF731" w14:textId="77777777" w:rsidR="00553C82" w:rsidRPr="00D56021"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w:t>
            </w:r>
            <w:r w:rsidRPr="00F44311">
              <w:rPr>
                <w:rFonts w:ascii="Arial" w:hAnsi="Arial" w:cs="Arial"/>
                <w:i/>
                <w:sz w:val="20"/>
                <w:szCs w:val="20"/>
              </w:rPr>
              <w:t xml:space="preserve"> de l’arrêté du 03 novembre 2014</w:t>
            </w:r>
            <w:r>
              <w:rPr>
                <w:rFonts w:ascii="Arial" w:hAnsi="Arial" w:cs="Arial"/>
                <w:sz w:val="20"/>
                <w:szCs w:val="20"/>
              </w:rPr>
              <w:t>)</w:t>
            </w:r>
          </w:p>
        </w:tc>
        <w:tc>
          <w:tcPr>
            <w:tcW w:w="3827" w:type="dxa"/>
            <w:shd w:val="clear" w:color="auto" w:fill="auto"/>
          </w:tcPr>
          <w:p w14:paraId="2F40FCFA" w14:textId="77777777" w:rsidR="00553C82" w:rsidRPr="00594C67" w:rsidRDefault="00553C82" w:rsidP="004A1167">
            <w:pPr>
              <w:rPr>
                <w:rFonts w:ascii="Arial" w:hAnsi="Arial" w:cs="Arial"/>
                <w:color w:val="002060"/>
                <w:sz w:val="20"/>
              </w:rPr>
            </w:pPr>
          </w:p>
        </w:tc>
      </w:tr>
      <w:tr w:rsidR="00553C82" w:rsidRPr="002F65F1" w14:paraId="3F05C2E7" w14:textId="77777777" w:rsidTr="004A1167">
        <w:tc>
          <w:tcPr>
            <w:tcW w:w="5245" w:type="dxa"/>
            <w:shd w:val="clear" w:color="auto" w:fill="auto"/>
          </w:tcPr>
          <w:p w14:paraId="08D599CF" w14:textId="77777777" w:rsidR="00553C82" w:rsidRPr="00F44311" w:rsidRDefault="00553C82" w:rsidP="004A1167">
            <w:pPr>
              <w:rPr>
                <w:rFonts w:ascii="Arial" w:hAnsi="Arial" w:cs="Arial"/>
                <w:b/>
                <w:sz w:val="20"/>
              </w:rPr>
            </w:pPr>
            <w:r>
              <w:rPr>
                <w:rFonts w:ascii="Arial" w:hAnsi="Arial" w:cs="Arial"/>
                <w:b/>
                <w:sz w:val="20"/>
              </w:rPr>
              <w:t xml:space="preserve">Nom du responsable </w:t>
            </w:r>
            <w:r w:rsidRPr="00A86B1F">
              <w:rPr>
                <w:rFonts w:ascii="Arial" w:hAnsi="Arial" w:cs="Arial"/>
                <w:b/>
                <w:sz w:val="20"/>
              </w:rPr>
              <w:t xml:space="preserve">de la fonction de vérification de la conformité </w:t>
            </w:r>
            <w:r w:rsidRPr="00F44311">
              <w:rPr>
                <w:rFonts w:ascii="Arial" w:hAnsi="Arial" w:cs="Arial"/>
                <w:sz w:val="20"/>
              </w:rPr>
              <w:t>(1)</w:t>
            </w:r>
          </w:p>
        </w:tc>
        <w:tc>
          <w:tcPr>
            <w:tcW w:w="3827" w:type="dxa"/>
            <w:shd w:val="clear" w:color="auto" w:fill="C6D9F1" w:themeFill="text2" w:themeFillTint="33"/>
          </w:tcPr>
          <w:p w14:paraId="057A4716"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B12DC54" w14:textId="0D41A1B4" w:rsidR="00553C82" w:rsidRDefault="00553C82" w:rsidP="00553C82">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w:t>
      </w:r>
      <w:r w:rsidR="009F46AA">
        <w:rPr>
          <w:rFonts w:ascii="Arial" w:hAnsi="Arial" w:cs="Arial"/>
          <w:i/>
          <w:sz w:val="20"/>
          <w:szCs w:val="20"/>
        </w:rPr>
        <w:t>s</w:t>
      </w:r>
      <w:r w:rsidRPr="00F44311">
        <w:rPr>
          <w:rFonts w:ascii="Arial" w:hAnsi="Arial" w:cs="Arial"/>
          <w:i/>
          <w:sz w:val="20"/>
          <w:szCs w:val="20"/>
        </w:rPr>
        <w:t xml:space="preserve"> 28</w:t>
      </w:r>
      <w:r w:rsidR="009F46AA">
        <w:rPr>
          <w:rFonts w:ascii="Arial" w:hAnsi="Arial" w:cs="Arial"/>
          <w:i/>
          <w:sz w:val="20"/>
          <w:szCs w:val="20"/>
        </w:rPr>
        <w:t>, 29 et 30</w:t>
      </w:r>
      <w:r w:rsidRPr="00F44311">
        <w:rPr>
          <w:rFonts w:ascii="Arial" w:hAnsi="Arial" w:cs="Arial"/>
          <w:i/>
          <w:sz w:val="20"/>
          <w:szCs w:val="20"/>
        </w:rPr>
        <w:t xml:space="preserve">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553C82" w:rsidRPr="002F65F1" w14:paraId="160FEA7A" w14:textId="77777777" w:rsidTr="004A1167">
        <w:tc>
          <w:tcPr>
            <w:tcW w:w="5245" w:type="dxa"/>
            <w:shd w:val="clear" w:color="auto" w:fill="auto"/>
          </w:tcPr>
          <w:p w14:paraId="7D9B5622" w14:textId="77777777" w:rsidR="00553C82" w:rsidRPr="00F44311" w:rsidRDefault="00553C82" w:rsidP="004A1167">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responsable de la fonction d'audit interne</w:t>
            </w:r>
            <w:r w:rsidRPr="00F44311">
              <w:rPr>
                <w:rFonts w:ascii="Arial" w:hAnsi="Arial" w:cs="Arial"/>
                <w:sz w:val="20"/>
              </w:rPr>
              <w:t>(1)</w:t>
            </w:r>
          </w:p>
        </w:tc>
        <w:tc>
          <w:tcPr>
            <w:tcW w:w="3827" w:type="dxa"/>
            <w:shd w:val="clear" w:color="auto" w:fill="C6D9F1" w:themeFill="text2" w:themeFillTint="33"/>
          </w:tcPr>
          <w:p w14:paraId="4B444B77"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553C82" w:rsidRPr="002F65F1" w14:paraId="4939678D" w14:textId="77777777" w:rsidTr="004A1167">
        <w:tc>
          <w:tcPr>
            <w:tcW w:w="5245" w:type="dxa"/>
            <w:shd w:val="clear" w:color="auto" w:fill="auto"/>
          </w:tcPr>
          <w:p w14:paraId="7BA3006A" w14:textId="77777777" w:rsidR="00553C82"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3753E841" w14:textId="77777777" w:rsidR="00553C82" w:rsidRPr="00F44311" w:rsidRDefault="00553C82" w:rsidP="004A1167">
            <w:pPr>
              <w:rPr>
                <w:rFonts w:ascii="Arial" w:hAnsi="Arial" w:cs="Arial"/>
                <w:b/>
                <w:sz w:val="20"/>
              </w:rPr>
            </w:pPr>
          </w:p>
        </w:tc>
        <w:tc>
          <w:tcPr>
            <w:tcW w:w="3827" w:type="dxa"/>
            <w:shd w:val="clear" w:color="auto" w:fill="auto"/>
          </w:tcPr>
          <w:p w14:paraId="2901E84C" w14:textId="77777777" w:rsidR="00553C82" w:rsidRPr="00594C67" w:rsidRDefault="00553C82" w:rsidP="004A1167">
            <w:pPr>
              <w:rPr>
                <w:rFonts w:ascii="Arial" w:hAnsi="Arial" w:cs="Arial"/>
                <w:color w:val="002060"/>
                <w:sz w:val="20"/>
              </w:rPr>
            </w:pPr>
          </w:p>
        </w:tc>
      </w:tr>
      <w:tr w:rsidR="00553C82" w:rsidRPr="002F65F1" w14:paraId="7266ADF1" w14:textId="77777777" w:rsidTr="004A1167">
        <w:tc>
          <w:tcPr>
            <w:tcW w:w="5245" w:type="dxa"/>
            <w:shd w:val="clear" w:color="auto" w:fill="auto"/>
          </w:tcPr>
          <w:p w14:paraId="3A46720D" w14:textId="18FCA65E" w:rsidR="00553C82" w:rsidRPr="00F44311" w:rsidRDefault="00553C82" w:rsidP="00F840F0">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 xml:space="preserve">dirigeant effectif en charge de la cohérence et de l'efficacité du contrôle périodique </w:t>
            </w:r>
            <w:r w:rsidRPr="00F44311">
              <w:rPr>
                <w:rFonts w:ascii="Arial" w:hAnsi="Arial" w:cs="Arial"/>
                <w:sz w:val="20"/>
              </w:rPr>
              <w:t>(1)</w:t>
            </w:r>
          </w:p>
        </w:tc>
        <w:tc>
          <w:tcPr>
            <w:tcW w:w="3827" w:type="dxa"/>
            <w:shd w:val="clear" w:color="auto" w:fill="C6D9F1" w:themeFill="text2" w:themeFillTint="33"/>
          </w:tcPr>
          <w:p w14:paraId="3B9230CB" w14:textId="77777777" w:rsidR="00553C82" w:rsidRPr="00594C67" w:rsidRDefault="00553C82" w:rsidP="004A1167">
            <w:pPr>
              <w:rPr>
                <w:rFonts w:ascii="Arial" w:hAnsi="Arial" w:cs="Arial"/>
                <w:color w:val="002060"/>
                <w:sz w:val="20"/>
              </w:rPr>
            </w:pPr>
          </w:p>
        </w:tc>
      </w:tr>
      <w:tr w:rsidR="00553C82" w:rsidRPr="002F65F1" w14:paraId="42E818AC" w14:textId="77777777" w:rsidTr="004A1167">
        <w:tc>
          <w:tcPr>
            <w:tcW w:w="5245" w:type="dxa"/>
            <w:shd w:val="clear" w:color="auto" w:fill="auto"/>
          </w:tcPr>
          <w:p w14:paraId="682BDA5A" w14:textId="77777777" w:rsidR="00553C82"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7564ACCC" w14:textId="77777777" w:rsidR="00553C82" w:rsidRPr="00F44311" w:rsidRDefault="00553C82" w:rsidP="004A1167">
            <w:pPr>
              <w:rPr>
                <w:rFonts w:ascii="Arial" w:hAnsi="Arial" w:cs="Arial"/>
                <w:b/>
                <w:sz w:val="20"/>
              </w:rPr>
            </w:pPr>
          </w:p>
        </w:tc>
        <w:tc>
          <w:tcPr>
            <w:tcW w:w="3827" w:type="dxa"/>
            <w:shd w:val="clear" w:color="auto" w:fill="auto"/>
          </w:tcPr>
          <w:p w14:paraId="324602D9" w14:textId="77777777" w:rsidR="00553C82" w:rsidRPr="00594C67" w:rsidRDefault="00553C82" w:rsidP="004A1167">
            <w:pPr>
              <w:rPr>
                <w:rFonts w:ascii="Arial" w:hAnsi="Arial" w:cs="Arial"/>
                <w:color w:val="002060"/>
                <w:sz w:val="20"/>
              </w:rPr>
            </w:pPr>
          </w:p>
        </w:tc>
      </w:tr>
    </w:tbl>
    <w:p w14:paraId="172B6BE2" w14:textId="77777777" w:rsidR="00A86B1F" w:rsidRDefault="00A86B1F" w:rsidP="0093368A">
      <w:pPr>
        <w:tabs>
          <w:tab w:val="left" w:pos="1418"/>
        </w:tabs>
        <w:jc w:val="both"/>
        <w:rPr>
          <w:rFonts w:ascii="Arial" w:hAnsi="Arial" w:cs="Arial"/>
          <w:sz w:val="20"/>
          <w:szCs w:val="20"/>
        </w:rPr>
      </w:pPr>
    </w:p>
    <w:p w14:paraId="777BDD03" w14:textId="77777777"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14:paraId="65DAC6A1" w14:textId="77777777" w:rsidR="0093368A" w:rsidRDefault="0093368A" w:rsidP="0093368A">
      <w:pPr>
        <w:tabs>
          <w:tab w:val="left" w:pos="1418"/>
        </w:tabs>
        <w:jc w:val="both"/>
        <w:rPr>
          <w:rFonts w:ascii="Arial" w:hAnsi="Arial" w:cs="Arial"/>
          <w:b/>
          <w:sz w:val="20"/>
          <w:szCs w:val="20"/>
        </w:rPr>
      </w:pPr>
    </w:p>
    <w:p w14:paraId="15030926"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3082B78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1C826F1" w14:textId="77777777" w:rsidR="0093368A" w:rsidRDefault="0093368A" w:rsidP="0093368A">
      <w:pPr>
        <w:tabs>
          <w:tab w:val="left" w:pos="1418"/>
        </w:tabs>
        <w:jc w:val="both"/>
        <w:rPr>
          <w:rFonts w:ascii="Arial" w:hAnsi="Arial" w:cs="Arial"/>
          <w:sz w:val="20"/>
          <w:szCs w:val="20"/>
        </w:rPr>
      </w:pPr>
    </w:p>
    <w:p w14:paraId="168A9E0E"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32F52">
        <w:rPr>
          <w:rFonts w:ascii="Arial" w:hAnsi="Arial" w:cs="Arial"/>
          <w:sz w:val="20"/>
          <w:szCs w:val="20"/>
        </w:rPr>
      </w:r>
      <w:r w:rsidR="00C32F52">
        <w:rPr>
          <w:rFonts w:ascii="Arial" w:hAnsi="Arial" w:cs="Arial"/>
          <w:sz w:val="20"/>
          <w:szCs w:val="20"/>
        </w:rPr>
        <w:fldChar w:fldCharType="separate"/>
      </w:r>
      <w:r w:rsidRPr="002F65F1">
        <w:rPr>
          <w:rFonts w:ascii="Arial" w:hAnsi="Arial" w:cs="Arial"/>
          <w:sz w:val="20"/>
          <w:szCs w:val="20"/>
        </w:rPr>
        <w:fldChar w:fldCharType="end"/>
      </w:r>
    </w:p>
    <w:p w14:paraId="5EDE42E5"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0FB933CB" w14:textId="77777777" w:rsidR="0093368A" w:rsidRDefault="0093368A" w:rsidP="0093368A">
      <w:pPr>
        <w:tabs>
          <w:tab w:val="left" w:pos="1418"/>
        </w:tabs>
        <w:spacing w:line="240" w:lineRule="auto"/>
        <w:jc w:val="both"/>
        <w:rPr>
          <w:rFonts w:ascii="Arial" w:hAnsi="Arial" w:cs="Arial"/>
          <w:sz w:val="20"/>
          <w:szCs w:val="20"/>
        </w:rPr>
      </w:pPr>
    </w:p>
    <w:p w14:paraId="4F04BC1A"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14:paraId="03B1049F" w14:textId="77777777" w:rsidR="0093368A" w:rsidRDefault="0093368A" w:rsidP="0093368A">
      <w:pPr>
        <w:tabs>
          <w:tab w:val="left" w:pos="1418"/>
        </w:tabs>
        <w:spacing w:line="240" w:lineRule="auto"/>
        <w:jc w:val="both"/>
        <w:rPr>
          <w:rFonts w:ascii="Arial" w:hAnsi="Arial" w:cs="Arial"/>
          <w:sz w:val="20"/>
          <w:szCs w:val="20"/>
        </w:rPr>
      </w:pPr>
    </w:p>
    <w:p w14:paraId="390AECB4"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73277DEB" w14:textId="77777777" w:rsidR="0093368A" w:rsidRDefault="0093368A" w:rsidP="0093368A">
      <w:pPr>
        <w:spacing w:line="240" w:lineRule="auto"/>
        <w:jc w:val="both"/>
        <w:rPr>
          <w:rFonts w:ascii="Arial" w:hAnsi="Arial" w:cs="Arial"/>
          <w:sz w:val="20"/>
          <w:szCs w:val="20"/>
        </w:rPr>
      </w:pPr>
    </w:p>
    <w:p w14:paraId="4D1699FB"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14:paraId="771E0487" w14:textId="77777777" w:rsidR="0093368A" w:rsidRDefault="0093368A" w:rsidP="0093368A">
      <w:pPr>
        <w:spacing w:line="240" w:lineRule="auto"/>
        <w:jc w:val="both"/>
        <w:rPr>
          <w:rFonts w:ascii="Arial" w:hAnsi="Arial" w:cs="Arial"/>
          <w:sz w:val="20"/>
          <w:szCs w:val="20"/>
        </w:rPr>
      </w:pPr>
    </w:p>
    <w:p w14:paraId="55A0A0C8"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0E450EAC" w14:textId="77777777" w:rsidR="0093368A" w:rsidRPr="00011F7B" w:rsidRDefault="0093368A" w:rsidP="0093368A">
      <w:pPr>
        <w:spacing w:line="240" w:lineRule="auto"/>
        <w:jc w:val="both"/>
        <w:rPr>
          <w:rFonts w:ascii="Arial" w:hAnsi="Arial" w:cs="Arial"/>
          <w:sz w:val="20"/>
          <w:szCs w:val="20"/>
        </w:rPr>
      </w:pPr>
    </w:p>
    <w:p w14:paraId="0A509330"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14:paraId="502B3C7A" w14:textId="77777777" w:rsidR="0093368A" w:rsidRPr="00B5257A" w:rsidRDefault="0093368A" w:rsidP="0093368A">
      <w:pPr>
        <w:spacing w:line="240" w:lineRule="auto"/>
        <w:jc w:val="both"/>
        <w:rPr>
          <w:rFonts w:ascii="Arial" w:hAnsi="Arial" w:cs="Arial"/>
          <w:sz w:val="20"/>
          <w:szCs w:val="20"/>
        </w:rPr>
      </w:pPr>
    </w:p>
    <w:p w14:paraId="25BBFC53"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37CBB420" w14:textId="77777777" w:rsidR="0093368A" w:rsidRDefault="0093368A" w:rsidP="0093368A">
      <w:pPr>
        <w:tabs>
          <w:tab w:val="left" w:pos="1418"/>
        </w:tabs>
        <w:spacing w:line="240" w:lineRule="auto"/>
        <w:jc w:val="both"/>
        <w:rPr>
          <w:rFonts w:ascii="Arial" w:hAnsi="Arial" w:cs="Arial"/>
          <w:sz w:val="20"/>
          <w:szCs w:val="20"/>
        </w:rPr>
      </w:pPr>
    </w:p>
    <w:p w14:paraId="1CC9FD67"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0C0B20BA" w14:textId="77777777" w:rsidR="0093368A" w:rsidRDefault="0093368A" w:rsidP="0093368A">
      <w:pPr>
        <w:tabs>
          <w:tab w:val="left" w:pos="1418"/>
        </w:tabs>
        <w:spacing w:line="240" w:lineRule="auto"/>
        <w:jc w:val="both"/>
        <w:rPr>
          <w:rFonts w:ascii="Arial" w:hAnsi="Arial" w:cs="Arial"/>
          <w:sz w:val="20"/>
          <w:szCs w:val="20"/>
        </w:rPr>
      </w:pPr>
    </w:p>
    <w:p w14:paraId="21F33DEA" w14:textId="77777777" w:rsidR="0093368A" w:rsidRPr="003B1354" w:rsidRDefault="00F72E89" w:rsidP="0093368A">
      <w:pPr>
        <w:pStyle w:val="Titre2"/>
        <w:numPr>
          <w:ilvl w:val="2"/>
          <w:numId w:val="13"/>
        </w:numPr>
        <w:ind w:left="782" w:hanging="357"/>
      </w:pPr>
      <w:bookmarkStart w:id="20" w:name="_Toc507679362"/>
      <w:r>
        <w:t>Lutte contre le blanchiment de capitaux et le financement du terrorisme</w:t>
      </w:r>
      <w:bookmarkEnd w:id="20"/>
    </w:p>
    <w:p w14:paraId="0B9AF248" w14:textId="7D3F19A6"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00553C82">
        <w:rPr>
          <w:rFonts w:ascii="Arial" w:hAnsi="Arial" w:cs="Arial"/>
          <w:sz w:val="20"/>
          <w:szCs w:val="20"/>
        </w:rPr>
        <w:t>Arrêté du 6 janvier 2021</w:t>
      </w:r>
      <w:r w:rsidR="00553C82" w:rsidRPr="00553C82">
        <w:t xml:space="preserve"> </w:t>
      </w:r>
      <w:r w:rsidR="00553C82">
        <w:t>r</w:t>
      </w:r>
      <w:r w:rsidR="00553C82"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553C82">
        <w:rPr>
          <w:rFonts w:ascii="Arial" w:hAnsi="Arial" w:cs="Arial"/>
          <w:sz w:val="20"/>
          <w:szCs w:val="20"/>
        </w:rPr>
        <w:t>)</w:t>
      </w:r>
    </w:p>
    <w:p w14:paraId="524D7771"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6A5768" w:rsidRPr="002F65F1" w14:paraId="2D1E5AE4" w14:textId="77777777" w:rsidTr="006A5768">
        <w:tc>
          <w:tcPr>
            <w:tcW w:w="4736" w:type="dxa"/>
            <w:shd w:val="clear" w:color="auto" w:fill="auto"/>
          </w:tcPr>
          <w:p w14:paraId="7451E508" w14:textId="77777777" w:rsidR="006A5768" w:rsidRPr="002F65F1" w:rsidRDefault="006A5768" w:rsidP="004A1167">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04CC4FCF" w14:textId="77777777" w:rsidR="006A5768" w:rsidRPr="00594C67" w:rsidRDefault="006A5768"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635AE1" w:rsidRPr="002F65F1" w14:paraId="20FB7979" w14:textId="77777777" w:rsidTr="006A5768">
        <w:tc>
          <w:tcPr>
            <w:tcW w:w="4736" w:type="dxa"/>
            <w:shd w:val="clear" w:color="auto" w:fill="auto"/>
          </w:tcPr>
          <w:p w14:paraId="0D7F25A6" w14:textId="77777777" w:rsidR="00635AE1" w:rsidRPr="00F44311" w:rsidRDefault="00635AE1" w:rsidP="00B93618">
            <w:pPr>
              <w:rPr>
                <w:rFonts w:ascii="Arial" w:hAnsi="Arial" w:cs="Arial"/>
                <w:b/>
                <w:sz w:val="20"/>
              </w:rPr>
            </w:pPr>
          </w:p>
        </w:tc>
        <w:tc>
          <w:tcPr>
            <w:tcW w:w="4336" w:type="dxa"/>
            <w:shd w:val="clear" w:color="auto" w:fill="auto"/>
          </w:tcPr>
          <w:p w14:paraId="61D41A22" w14:textId="77777777" w:rsidR="00635AE1" w:rsidRPr="00594C67" w:rsidRDefault="00635AE1" w:rsidP="00B93618">
            <w:pPr>
              <w:rPr>
                <w:rFonts w:ascii="Arial" w:hAnsi="Arial" w:cs="Arial"/>
                <w:color w:val="002060"/>
                <w:sz w:val="20"/>
              </w:rPr>
            </w:pPr>
          </w:p>
        </w:tc>
      </w:tr>
      <w:tr w:rsidR="00635AE1" w:rsidRPr="002F65F1" w14:paraId="0281476E" w14:textId="77777777" w:rsidTr="006A5768">
        <w:tc>
          <w:tcPr>
            <w:tcW w:w="4736" w:type="dxa"/>
            <w:shd w:val="clear" w:color="auto" w:fill="auto"/>
          </w:tcPr>
          <w:p w14:paraId="1DC58043" w14:textId="078F0DCD" w:rsidR="00635AE1" w:rsidRPr="00F44311" w:rsidRDefault="006A5768" w:rsidP="00B93618">
            <w:pPr>
              <w:rPr>
                <w:rFonts w:ascii="Arial" w:hAnsi="Arial" w:cs="Arial"/>
                <w:b/>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36" w:type="dxa"/>
            <w:shd w:val="clear" w:color="auto" w:fill="C6D9F1" w:themeFill="text2" w:themeFillTint="33"/>
          </w:tcPr>
          <w:p w14:paraId="3CD640D0" w14:textId="77777777" w:rsidR="00635AE1" w:rsidRPr="00594C67" w:rsidRDefault="00635AE1" w:rsidP="00B93618">
            <w:pPr>
              <w:rPr>
                <w:rFonts w:ascii="Arial" w:hAnsi="Arial" w:cs="Arial"/>
                <w:color w:val="002060"/>
                <w:sz w:val="20"/>
              </w:rPr>
            </w:pPr>
          </w:p>
        </w:tc>
      </w:tr>
    </w:tbl>
    <w:p w14:paraId="6209A66D"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1D64C1E7" w14:textId="77777777" w:rsidTr="00B93618">
        <w:tc>
          <w:tcPr>
            <w:tcW w:w="4786" w:type="dxa"/>
            <w:shd w:val="clear" w:color="auto" w:fill="auto"/>
          </w:tcPr>
          <w:p w14:paraId="27428F32"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3F7C44B6"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D6F6ED8" w14:textId="77777777"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14:paraId="76FC2996" w14:textId="77777777" w:rsidR="0093368A" w:rsidRDefault="0093368A" w:rsidP="0093368A">
      <w:pPr>
        <w:spacing w:line="240" w:lineRule="auto"/>
        <w:jc w:val="both"/>
        <w:rPr>
          <w:rFonts w:ascii="Arial" w:hAnsi="Arial" w:cs="Arial"/>
          <w:sz w:val="20"/>
          <w:szCs w:val="20"/>
        </w:rPr>
      </w:pPr>
    </w:p>
    <w:p w14:paraId="42D44685" w14:textId="49C78A90"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lastRenderedPageBreak/>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w:t>
      </w:r>
      <w:r w:rsidR="00635AE1">
        <w:rPr>
          <w:rFonts w:ascii="Arial" w:hAnsi="Arial" w:cs="Arial"/>
          <w:bCs/>
          <w:sz w:val="20"/>
          <w:szCs w:val="20"/>
        </w:rPr>
        <w:t>e aux articles 2 de l’arrêté du 6 janvier 2021 et L.</w:t>
      </w:r>
      <w:r w:rsidR="00635AE1" w:rsidRPr="00635AE1">
        <w:rPr>
          <w:rFonts w:ascii="Arial" w:hAnsi="Arial" w:cs="Arial"/>
          <w:bCs/>
          <w:sz w:val="20"/>
          <w:szCs w:val="20"/>
        </w:rPr>
        <w:t>561-4-1</w:t>
      </w:r>
      <w:r w:rsidR="00635AE1">
        <w:rPr>
          <w:rFonts w:ascii="Arial" w:hAnsi="Arial" w:cs="Arial"/>
          <w:bCs/>
          <w:sz w:val="20"/>
          <w:szCs w:val="20"/>
        </w:rPr>
        <w:t xml:space="preserve"> du Code monétaire et financier </w:t>
      </w:r>
      <w:r w:rsidR="00635AE1">
        <w:rPr>
          <w:rFonts w:ascii="Arial" w:hAnsi="Arial" w:cs="Arial"/>
          <w:sz w:val="20"/>
          <w:szCs w:val="20"/>
        </w:rPr>
        <w:t xml:space="preserve">.Il conviendra notamment de prendre en compte les </w:t>
      </w:r>
      <w:r w:rsidR="0093368A" w:rsidRPr="00AB3231">
        <w:rPr>
          <w:rFonts w:ascii="Arial" w:hAnsi="Arial" w:cs="Arial"/>
          <w:sz w:val="20"/>
          <w:szCs w:val="20"/>
        </w:rPr>
        <w:t xml:space="preserve">risques associés à </w:t>
      </w:r>
      <w:r w:rsidR="00635AE1"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r w:rsidR="0093368A" w:rsidRPr="00AB3231">
        <w:rPr>
          <w:rFonts w:ascii="Arial" w:hAnsi="Arial" w:cs="Arial"/>
          <w:sz w:val="20"/>
          <w:szCs w:val="20"/>
        </w:rPr>
        <w:t>.</w:t>
      </w:r>
    </w:p>
    <w:p w14:paraId="64A22CDD" w14:textId="77777777" w:rsidR="0093368A" w:rsidRDefault="0093368A" w:rsidP="00172DD1">
      <w:pPr>
        <w:spacing w:line="240" w:lineRule="auto"/>
        <w:jc w:val="both"/>
        <w:rPr>
          <w:rFonts w:ascii="Arial" w:hAnsi="Arial" w:cs="Arial"/>
          <w:sz w:val="20"/>
          <w:szCs w:val="20"/>
        </w:rPr>
      </w:pPr>
    </w:p>
    <w:p w14:paraId="1DD15B99" w14:textId="77777777" w:rsidR="006A5768" w:rsidRDefault="00AB3231" w:rsidP="00172DD1">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4C64A2CD" w14:textId="77777777" w:rsidR="00F840F0" w:rsidRPr="00F840F0" w:rsidRDefault="0093368A" w:rsidP="006A5768">
      <w:pPr>
        <w:pStyle w:val="Paragraphedeliste"/>
        <w:numPr>
          <w:ilvl w:val="0"/>
          <w:numId w:val="58"/>
        </w:numPr>
        <w:jc w:val="both"/>
        <w:rPr>
          <w:rFonts w:ascii="Arial" w:hAnsi="Arial" w:cs="Arial"/>
          <w:bCs/>
          <w:sz w:val="20"/>
          <w:szCs w:val="20"/>
        </w:rPr>
      </w:pPr>
      <w:r w:rsidRPr="006A5768">
        <w:rPr>
          <w:rFonts w:ascii="Arial" w:hAnsi="Arial" w:cs="Arial"/>
          <w:sz w:val="20"/>
          <w:szCs w:val="20"/>
        </w:rPr>
        <w:t>les modalités d’identification</w:t>
      </w:r>
      <w:r w:rsidRPr="006A5768">
        <w:rPr>
          <w:rFonts w:ascii="Arial" w:hAnsi="Arial" w:cs="Arial"/>
          <w:color w:val="C0504D"/>
          <w:sz w:val="20"/>
          <w:szCs w:val="20"/>
        </w:rPr>
        <w:t xml:space="preserve"> </w:t>
      </w:r>
      <w:r w:rsidRPr="006A5768">
        <w:rPr>
          <w:rFonts w:ascii="Arial" w:hAnsi="Arial" w:cs="Arial"/>
          <w:bCs/>
          <w:sz w:val="20"/>
          <w:szCs w:val="20"/>
        </w:rPr>
        <w:t>et de vérification de l’identité</w:t>
      </w:r>
      <w:r w:rsidRPr="006A5768">
        <w:rPr>
          <w:rFonts w:ascii="Arial" w:hAnsi="Arial" w:cs="Arial"/>
          <w:sz w:val="20"/>
          <w:szCs w:val="20"/>
        </w:rPr>
        <w:t xml:space="preserve"> des clients et, le cas échéant, des bénéficiaires effectifs ;</w:t>
      </w:r>
    </w:p>
    <w:p w14:paraId="3C9FFE3D" w14:textId="2065628D" w:rsidR="0093368A" w:rsidRPr="006A5768" w:rsidRDefault="0093368A" w:rsidP="006A5768">
      <w:pPr>
        <w:pStyle w:val="Paragraphedeliste"/>
        <w:numPr>
          <w:ilvl w:val="0"/>
          <w:numId w:val="58"/>
        </w:numPr>
        <w:jc w:val="both"/>
        <w:rPr>
          <w:rFonts w:ascii="Arial" w:hAnsi="Arial" w:cs="Arial"/>
          <w:bCs/>
          <w:sz w:val="20"/>
          <w:szCs w:val="20"/>
        </w:rPr>
      </w:pPr>
      <w:r w:rsidRPr="006A5768">
        <w:rPr>
          <w:rFonts w:ascii="Arial" w:hAnsi="Arial" w:cs="Arial"/>
          <w:bCs/>
          <w:sz w:val="20"/>
          <w:szCs w:val="20"/>
        </w:rPr>
        <w:t>les éléments d’information recueillis et analysés, parmi ceux figurant dans l’arrêté du 2 septembre 2009</w:t>
      </w:r>
      <w:r w:rsidR="008D00D8">
        <w:rPr>
          <w:rStyle w:val="Appelnotedebasdep"/>
          <w:rFonts w:cs="Arial"/>
          <w:bCs/>
          <w:szCs w:val="20"/>
        </w:rPr>
        <w:footnoteReference w:id="7"/>
      </w:r>
      <w:r w:rsidRPr="006A5768">
        <w:rPr>
          <w:rFonts w:ascii="Arial" w:hAnsi="Arial" w:cs="Arial"/>
          <w:bCs/>
          <w:sz w:val="20"/>
          <w:szCs w:val="20"/>
        </w:rPr>
        <w:t xml:space="preserve"> pris en application de l’article R. 561-12 du Code monétaire et financier, aux fins de connaissance de leur clientèle selon une approche par les risques ;</w:t>
      </w:r>
    </w:p>
    <w:p w14:paraId="60E94FD6" w14:textId="0C633D33"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modalités de suivi de la clientèle au regard de l’obligation de vigilance constante de l’article L. 561-6 du Code monétaire et financier ;</w:t>
      </w:r>
    </w:p>
    <w:p w14:paraId="71A8B13C" w14:textId="0684AC2B"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procédures mettant en œuvre les vigilances complémentaires, notamment pour les personnes politiquement exposées ;</w:t>
      </w:r>
    </w:p>
    <w:p w14:paraId="6FA44B99" w14:textId="35F94969"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 xml:space="preserve">les modalités de mise en </w:t>
      </w:r>
      <w:r w:rsidRPr="006A5768">
        <w:rPr>
          <w:rFonts w:ascii="Arial" w:hAnsi="Arial" w:cs="Arial"/>
          <w:bCs/>
          <w:sz w:val="20"/>
          <w:szCs w:val="20"/>
        </w:rPr>
        <w:t>œuvre des obligations déclaratives auprès de TRACFIN ;</w:t>
      </w:r>
    </w:p>
    <w:p w14:paraId="0CF50FB7" w14:textId="7DDDB448"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 xml:space="preserve">le dispositif adopté </w:t>
      </w:r>
      <w:r w:rsidRPr="006A5768">
        <w:rPr>
          <w:rFonts w:ascii="Arial" w:hAnsi="Arial" w:cs="Arial"/>
          <w:bCs/>
          <w:sz w:val="20"/>
          <w:szCs w:val="20"/>
        </w:rPr>
        <w:t>pour le respect des mesures restrictives, en particulier les obligations relatives au gel des</w:t>
      </w:r>
      <w:r w:rsidRPr="006A5768">
        <w:rPr>
          <w:rFonts w:ascii="Arial" w:hAnsi="Arial" w:cs="Arial"/>
          <w:sz w:val="20"/>
          <w:szCs w:val="20"/>
        </w:rPr>
        <w:t xml:space="preserve"> avoirs ;</w:t>
      </w:r>
    </w:p>
    <w:p w14:paraId="2908316D" w14:textId="7EBB1F34" w:rsidR="006A5768"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modalités de mesure de l’efficacité et de la pertinence des procédures et de leur actualisation ;</w:t>
      </w:r>
    </w:p>
    <w:p w14:paraId="663BFEBE" w14:textId="0429638A" w:rsidR="0093368A" w:rsidRPr="006A5768" w:rsidRDefault="006A5768" w:rsidP="006A5768">
      <w:pPr>
        <w:pStyle w:val="Paragraphedeliste"/>
        <w:numPr>
          <w:ilvl w:val="0"/>
          <w:numId w:val="58"/>
        </w:numPr>
        <w:jc w:val="both"/>
        <w:rPr>
          <w:rFonts w:ascii="Arial" w:hAnsi="Arial" w:cs="Arial"/>
          <w:sz w:val="20"/>
          <w:szCs w:val="20"/>
        </w:rPr>
      </w:pPr>
      <w:r w:rsidRPr="006A5768">
        <w:rPr>
          <w:rFonts w:ascii="Arial" w:hAnsi="Arial" w:cs="Arial"/>
          <w:bCs/>
          <w:sz w:val="20"/>
          <w:szCs w:val="20"/>
        </w:rPr>
        <w:t>l</w:t>
      </w:r>
      <w:r w:rsidR="0093368A" w:rsidRPr="006A5768">
        <w:rPr>
          <w:rFonts w:ascii="Arial" w:hAnsi="Arial" w:cs="Arial"/>
          <w:bCs/>
          <w:sz w:val="20"/>
          <w:szCs w:val="20"/>
        </w:rPr>
        <w:t>orsque l’établissement envisage de recourir aux services d’agents</w:t>
      </w:r>
      <w:r w:rsidR="0093368A" w:rsidRPr="003D2C56">
        <w:t xml:space="preserve"> </w:t>
      </w:r>
      <w:r w:rsidR="0093368A" w:rsidRPr="006A5768">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6A5768" w:rsidDel="009251CE">
        <w:rPr>
          <w:rFonts w:ascii="Arial" w:hAnsi="Arial" w:cs="Arial"/>
          <w:bCs/>
          <w:sz w:val="20"/>
          <w:szCs w:val="20"/>
        </w:rPr>
        <w:t xml:space="preserve"> </w:t>
      </w:r>
      <w:r w:rsidR="0093368A" w:rsidRPr="006A5768">
        <w:rPr>
          <w:rFonts w:ascii="Arial" w:hAnsi="Arial" w:cs="Arial"/>
          <w:bCs/>
          <w:sz w:val="20"/>
          <w:szCs w:val="20"/>
        </w:rPr>
        <w:t xml:space="preserve">chez ces agents et les conditions dans lesquelles ces derniers transmettent à l’établissement toute information utile à cette lutte. </w:t>
      </w:r>
    </w:p>
    <w:p w14:paraId="1C756696" w14:textId="77777777" w:rsidR="006A5768" w:rsidRDefault="006A5768" w:rsidP="00172DD1">
      <w:pPr>
        <w:spacing w:line="240" w:lineRule="auto"/>
        <w:jc w:val="both"/>
        <w:rPr>
          <w:rFonts w:ascii="Arial" w:hAnsi="Arial" w:cs="Arial"/>
          <w:bCs/>
          <w:sz w:val="20"/>
          <w:szCs w:val="20"/>
        </w:rPr>
      </w:pPr>
    </w:p>
    <w:p w14:paraId="26A8A2D4" w14:textId="1CB30FE4"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14:paraId="2E7B76C2" w14:textId="77777777" w:rsidR="0093368A" w:rsidRPr="003D2C56" w:rsidRDefault="0093368A" w:rsidP="00172DD1">
      <w:pPr>
        <w:spacing w:line="240" w:lineRule="auto"/>
        <w:jc w:val="both"/>
        <w:rPr>
          <w:rFonts w:ascii="Arial" w:hAnsi="Arial" w:cs="Arial"/>
          <w:bCs/>
          <w:sz w:val="20"/>
          <w:szCs w:val="20"/>
        </w:rPr>
      </w:pPr>
    </w:p>
    <w:p w14:paraId="5187BEDA"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5FB18AE2" w14:textId="77777777" w:rsidR="0093368A" w:rsidRPr="00F74159" w:rsidRDefault="0093368A" w:rsidP="00172DD1">
      <w:pPr>
        <w:spacing w:line="240" w:lineRule="auto"/>
        <w:jc w:val="both"/>
        <w:rPr>
          <w:rFonts w:ascii="Arial" w:hAnsi="Arial" w:cs="Arial"/>
          <w:bCs/>
          <w:sz w:val="20"/>
          <w:szCs w:val="20"/>
        </w:rPr>
      </w:pPr>
    </w:p>
    <w:p w14:paraId="3929EA33"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180A8829" w14:textId="77777777" w:rsidR="0093368A" w:rsidRPr="00F74159" w:rsidRDefault="0093368A" w:rsidP="00172DD1">
      <w:pPr>
        <w:pStyle w:val="Paragraphedeliste"/>
        <w:ind w:left="0"/>
        <w:contextualSpacing w:val="0"/>
        <w:rPr>
          <w:rFonts w:ascii="Arial" w:hAnsi="Arial" w:cs="Arial"/>
          <w:bCs/>
          <w:sz w:val="20"/>
          <w:szCs w:val="20"/>
        </w:rPr>
      </w:pPr>
    </w:p>
    <w:p w14:paraId="67165A5E"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14:paraId="5F95C14E" w14:textId="77777777" w:rsidR="0093368A" w:rsidRDefault="0093368A" w:rsidP="00172DD1">
      <w:pPr>
        <w:spacing w:line="240" w:lineRule="auto"/>
        <w:jc w:val="both"/>
        <w:rPr>
          <w:rFonts w:ascii="Arial" w:hAnsi="Arial" w:cs="Arial"/>
          <w:sz w:val="20"/>
          <w:szCs w:val="20"/>
        </w:rPr>
      </w:pPr>
    </w:p>
    <w:p w14:paraId="0F25C287"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36A46BD1" w14:textId="77777777" w:rsidR="0093368A" w:rsidRPr="00F74159" w:rsidRDefault="0093368A" w:rsidP="00172DD1">
      <w:pPr>
        <w:pStyle w:val="Paragraphedeliste"/>
        <w:ind w:left="0"/>
        <w:contextualSpacing w:val="0"/>
        <w:jc w:val="both"/>
        <w:rPr>
          <w:rFonts w:ascii="Arial" w:hAnsi="Arial" w:cs="Arial"/>
          <w:sz w:val="20"/>
          <w:szCs w:val="20"/>
        </w:rPr>
      </w:pPr>
    </w:p>
    <w:p w14:paraId="5CC9024C"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66A017E" w14:textId="77777777" w:rsidR="0093368A" w:rsidRPr="00A167A7" w:rsidRDefault="00F72E89" w:rsidP="0093368A">
      <w:pPr>
        <w:pStyle w:val="Titre1"/>
      </w:pPr>
      <w:bookmarkStart w:id="21" w:name="_Toc507679363"/>
      <w:r>
        <w:lastRenderedPageBreak/>
        <w:t>Procédures des systèmes de sécurité</w:t>
      </w:r>
      <w:r w:rsidR="0093368A" w:rsidRPr="00A167A7">
        <w:t xml:space="preserve"> </w:t>
      </w:r>
      <w:r>
        <w:t>et accès aux données sensibles</w:t>
      </w:r>
      <w:bookmarkEnd w:id="21"/>
    </w:p>
    <w:p w14:paraId="4BC7F71E" w14:textId="77777777" w:rsidR="0093368A" w:rsidRDefault="0093368A" w:rsidP="0093368A">
      <w:pPr>
        <w:spacing w:line="240" w:lineRule="auto"/>
        <w:jc w:val="both"/>
        <w:rPr>
          <w:rFonts w:ascii="Arial" w:hAnsi="Arial" w:cs="Arial"/>
          <w:bCs/>
          <w:sz w:val="20"/>
          <w:szCs w:val="20"/>
        </w:rPr>
      </w:pPr>
    </w:p>
    <w:p w14:paraId="51602A84"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714BE404" w14:textId="77777777" w:rsidR="001778C5" w:rsidRDefault="001778C5" w:rsidP="0093368A">
      <w:pPr>
        <w:spacing w:line="240" w:lineRule="auto"/>
        <w:jc w:val="both"/>
        <w:rPr>
          <w:rFonts w:ascii="Arial" w:hAnsi="Arial" w:cs="Arial"/>
          <w:bCs/>
          <w:sz w:val="20"/>
          <w:szCs w:val="20"/>
        </w:rPr>
      </w:pPr>
    </w:p>
    <w:p w14:paraId="07775409" w14:textId="77777777" w:rsidR="00D963A6" w:rsidRPr="00D620B7" w:rsidRDefault="00D963A6" w:rsidP="00D963A6">
      <w:pPr>
        <w:jc w:val="both"/>
        <w:rPr>
          <w:rFonts w:ascii="Arial" w:hAnsi="Arial" w:cs="Arial"/>
          <w:sz w:val="20"/>
          <w:szCs w:val="20"/>
        </w:rPr>
      </w:pPr>
      <w:r w:rsidRPr="00D620B7">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14:paraId="07DF8403" w14:textId="77777777" w:rsidR="00D963A6" w:rsidRPr="00D620B7" w:rsidRDefault="00D963A6" w:rsidP="00D963A6">
      <w:pPr>
        <w:jc w:val="both"/>
        <w:rPr>
          <w:rFonts w:ascii="Arial" w:hAnsi="Arial" w:cs="Arial"/>
          <w:sz w:val="20"/>
          <w:szCs w:val="20"/>
        </w:rPr>
      </w:pPr>
    </w:p>
    <w:p w14:paraId="24D8170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type de données collectées en rapport avec les clients, le type de service de paiement, le canal, l’instrument, les juridictions et les devises ;</w:t>
      </w:r>
    </w:p>
    <w:p w14:paraId="10F8E46E"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portée de la collecte sur les activités et entités concernées, y compris les succursales et les agents ;</w:t>
      </w:r>
    </w:p>
    <w:p w14:paraId="376004D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Les moyens de collecte</w:t>
      </w:r>
    </w:p>
    <w:p w14:paraId="79A74EE6"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but de la collecte</w:t>
      </w:r>
    </w:p>
    <w:p w14:paraId="228ACBB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fréquence de la collecte</w:t>
      </w:r>
    </w:p>
    <w:p w14:paraId="41B6C0A4"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documentation, tel qu’un manuel, décrivant le fonctionnement du système</w:t>
      </w:r>
    </w:p>
    <w:p w14:paraId="1B092926" w14:textId="77777777" w:rsidR="00D963A6" w:rsidRDefault="00D963A6" w:rsidP="0093368A">
      <w:pPr>
        <w:spacing w:line="240" w:lineRule="auto"/>
        <w:jc w:val="both"/>
        <w:rPr>
          <w:rFonts w:ascii="Arial" w:hAnsi="Arial" w:cs="Arial"/>
          <w:bCs/>
          <w:sz w:val="20"/>
          <w:szCs w:val="20"/>
        </w:rPr>
      </w:pPr>
    </w:p>
    <w:p w14:paraId="497C5AEA" w14:textId="77777777" w:rsidR="0093368A" w:rsidRPr="00503B91" w:rsidRDefault="00F72E89" w:rsidP="007D371F">
      <w:pPr>
        <w:pStyle w:val="Titre2"/>
        <w:numPr>
          <w:ilvl w:val="0"/>
          <w:numId w:val="56"/>
        </w:numPr>
      </w:pPr>
      <w:bookmarkStart w:id="22" w:name="_Toc507679364"/>
      <w:r>
        <w:t>Procédure de surveillance</w:t>
      </w:r>
      <w:r w:rsidR="00F77291">
        <w:t>, de traitement</w:t>
      </w:r>
      <w:r w:rsidR="0093368A" w:rsidRPr="00503B91">
        <w:t xml:space="preserve"> </w:t>
      </w:r>
      <w:r>
        <w:t xml:space="preserve">et </w:t>
      </w:r>
      <w:r w:rsidR="00F77291">
        <w:t xml:space="preserve">de </w:t>
      </w:r>
      <w:r>
        <w:t>suivi des incidents de</w:t>
      </w:r>
      <w:r w:rsidR="0093368A" w:rsidRPr="00503B91">
        <w:t xml:space="preserve"> </w:t>
      </w:r>
      <w:r>
        <w:t>sécurité et des réclamations clients</w:t>
      </w:r>
      <w:bookmarkEnd w:id="22"/>
    </w:p>
    <w:p w14:paraId="42B8A11E" w14:textId="77777777" w:rsidR="0093368A" w:rsidRPr="00D620B7" w:rsidRDefault="0093368A" w:rsidP="0093368A">
      <w:pPr>
        <w:spacing w:line="240" w:lineRule="auto"/>
        <w:jc w:val="both"/>
        <w:rPr>
          <w:rFonts w:ascii="Arial" w:hAnsi="Arial" w:cs="Arial"/>
          <w:bCs/>
          <w:sz w:val="20"/>
          <w:szCs w:val="20"/>
        </w:rPr>
      </w:pPr>
    </w:p>
    <w:p w14:paraId="4009DB22"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55287C05"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0D2AAF66"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F77291">
        <w:rPr>
          <w:rFonts w:ascii="Arial" w:hAnsi="Arial" w:cs="Arial"/>
          <w:bCs/>
          <w:sz w:val="20"/>
          <w:szCs w:val="20"/>
        </w:rPr>
        <w:t>modalités</w:t>
      </w:r>
      <w:r w:rsidR="00406922">
        <w:rPr>
          <w:rFonts w:ascii="Arial" w:hAnsi="Arial" w:cs="Arial"/>
          <w:bCs/>
          <w:sz w:val="20"/>
          <w:szCs w:val="20"/>
        </w:rPr>
        <w:t xml:space="preserve"> de remontée des fraudes au sein de l’organisation du demandeur ;</w:t>
      </w:r>
    </w:p>
    <w:p w14:paraId="39979EE4" w14:textId="77777777" w:rsidR="0040692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08B76B92"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7FA6723D" w14:textId="77777777" w:rsidR="00406922" w:rsidRPr="00E5311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outils de surveillance utilisés </w:t>
      </w:r>
      <w:r w:rsidR="00F77291">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2F7982D3" w14:textId="77777777" w:rsidR="0093368A" w:rsidRDefault="0093368A" w:rsidP="00D620B7">
      <w:pPr>
        <w:spacing w:line="240" w:lineRule="auto"/>
        <w:ind w:left="357"/>
        <w:jc w:val="both"/>
        <w:rPr>
          <w:rFonts w:ascii="Arial" w:hAnsi="Arial" w:cs="Arial"/>
          <w:bCs/>
          <w:sz w:val="20"/>
          <w:szCs w:val="20"/>
        </w:rPr>
      </w:pPr>
    </w:p>
    <w:p w14:paraId="639CAB72" w14:textId="77777777" w:rsidR="0093368A" w:rsidRPr="00F557C5" w:rsidRDefault="0093368A" w:rsidP="007D371F">
      <w:pPr>
        <w:pStyle w:val="Titre2"/>
      </w:pPr>
      <w:bookmarkStart w:id="23" w:name="_Toc507679365"/>
      <w:r w:rsidRPr="00F557C5">
        <w:t>P</w:t>
      </w:r>
      <w:r w:rsidR="00F72E89">
        <w:t xml:space="preserve">rocédures pour </w:t>
      </w:r>
      <w:r w:rsidR="00D620B7">
        <w:t xml:space="preserve">restreindre, </w:t>
      </w:r>
      <w:r w:rsidR="00F72E89">
        <w:t>enregistrer</w:t>
      </w:r>
      <w:r w:rsidRPr="00F557C5">
        <w:t xml:space="preserve">, </w:t>
      </w:r>
      <w:r w:rsidR="00F72E89">
        <w:t>surveiller</w:t>
      </w:r>
      <w:r w:rsidR="00B93618">
        <w:t xml:space="preserve">, </w:t>
      </w:r>
      <w:r w:rsidR="00F72E89">
        <w:t xml:space="preserve">et </w:t>
      </w:r>
      <w:r w:rsidR="00D620B7">
        <w:t>tracer</w:t>
      </w:r>
      <w:r w:rsidR="00F72E89">
        <w:t xml:space="preserve"> l’accès</w:t>
      </w:r>
      <w:r w:rsidRPr="00F557C5">
        <w:t xml:space="preserve"> </w:t>
      </w:r>
      <w:r w:rsidR="00F72E89">
        <w:t>aux</w:t>
      </w:r>
      <w:r w:rsidR="00F72E89" w:rsidRPr="00F557C5">
        <w:t xml:space="preserve"> </w:t>
      </w:r>
      <w:r w:rsidR="00F72E89">
        <w:t>données de paiement sensibles</w:t>
      </w:r>
      <w:r w:rsidR="00D620B7">
        <w:t xml:space="preserve"> et garder la trace de ces accès</w:t>
      </w:r>
      <w:bookmarkEnd w:id="23"/>
    </w:p>
    <w:p w14:paraId="0C6A299B" w14:textId="77777777" w:rsidR="0093368A" w:rsidRDefault="0093368A" w:rsidP="0093368A">
      <w:pPr>
        <w:spacing w:line="240" w:lineRule="auto"/>
        <w:jc w:val="both"/>
        <w:rPr>
          <w:rFonts w:ascii="Arial" w:hAnsi="Arial" w:cs="Arial"/>
          <w:bCs/>
          <w:sz w:val="20"/>
          <w:szCs w:val="20"/>
        </w:rPr>
      </w:pPr>
    </w:p>
    <w:p w14:paraId="5FCAD614" w14:textId="77777777"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0383B501" w14:textId="77777777"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14:paraId="6EC3A4E0" w14:textId="77777777"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w:t>
      </w:r>
      <w:r w:rsidR="00D620B7">
        <w:rPr>
          <w:rFonts w:ascii="Arial" w:hAnsi="Arial" w:cs="Arial"/>
          <w:bCs/>
          <w:sz w:val="20"/>
          <w:szCs w:val="20"/>
        </w:rPr>
        <w:lastRenderedPageBreak/>
        <w:t>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14:paraId="62992A72" w14:textId="77777777"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14:paraId="28FE4808"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14:paraId="3E1E34F8"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27E2F4AC" w14:textId="77777777"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48D13783" w14:textId="77777777" w:rsidR="00074738"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1D4B6BF1" w14:textId="77777777" w:rsidR="0093368A" w:rsidRDefault="0093368A" w:rsidP="0093368A">
      <w:pPr>
        <w:jc w:val="both"/>
        <w:rPr>
          <w:rFonts w:ascii="Arial" w:hAnsi="Arial" w:cs="Arial"/>
          <w:bCs/>
          <w:sz w:val="20"/>
          <w:szCs w:val="20"/>
        </w:rPr>
      </w:pPr>
    </w:p>
    <w:p w14:paraId="7178BDBC"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013D68C" w14:textId="77777777" w:rsidR="0093368A" w:rsidRPr="00A167A7" w:rsidRDefault="00F72E89" w:rsidP="0093368A">
      <w:pPr>
        <w:pStyle w:val="Titre1"/>
      </w:pPr>
      <w:bookmarkStart w:id="24" w:name="_Toc507679366"/>
      <w:r>
        <w:lastRenderedPageBreak/>
        <w:t>Dispositif de continuité d’activité</w:t>
      </w:r>
      <w:r w:rsidR="0093368A" w:rsidRPr="00A167A7">
        <w:t xml:space="preserve"> </w:t>
      </w:r>
      <w:r>
        <w:t>et politique de sécurité</w:t>
      </w:r>
      <w:bookmarkEnd w:id="24"/>
    </w:p>
    <w:p w14:paraId="541A9F6F" w14:textId="77777777" w:rsidR="00305D0E" w:rsidRDefault="00305D0E" w:rsidP="0093368A">
      <w:pPr>
        <w:spacing w:line="240" w:lineRule="auto"/>
        <w:jc w:val="both"/>
        <w:rPr>
          <w:rFonts w:ascii="Arial" w:hAnsi="Arial" w:cs="Arial"/>
          <w:bCs/>
          <w:sz w:val="20"/>
          <w:szCs w:val="20"/>
        </w:rPr>
      </w:pPr>
    </w:p>
    <w:p w14:paraId="1C6358B7" w14:textId="77777777" w:rsidR="00F72E89" w:rsidRPr="00F72E89" w:rsidRDefault="00F72E89" w:rsidP="007D371F">
      <w:pPr>
        <w:pStyle w:val="Titre2"/>
        <w:numPr>
          <w:ilvl w:val="0"/>
          <w:numId w:val="57"/>
        </w:numPr>
      </w:pPr>
      <w:bookmarkStart w:id="25" w:name="_Toc507679367"/>
      <w:r>
        <w:t>Continuité d’activité</w:t>
      </w:r>
      <w:bookmarkEnd w:id="25"/>
    </w:p>
    <w:p w14:paraId="2A4F33D5" w14:textId="77777777" w:rsidR="00F72E89" w:rsidRDefault="00F72E89" w:rsidP="0093368A">
      <w:pPr>
        <w:spacing w:line="240" w:lineRule="auto"/>
        <w:jc w:val="both"/>
        <w:rPr>
          <w:rFonts w:ascii="Arial" w:hAnsi="Arial" w:cs="Arial"/>
          <w:bCs/>
          <w:sz w:val="20"/>
          <w:szCs w:val="20"/>
        </w:rPr>
      </w:pPr>
    </w:p>
    <w:p w14:paraId="3B84339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59BB1C90"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2C6A84">
        <w:rPr>
          <w:rFonts w:ascii="Arial" w:hAnsi="Arial" w:cs="Arial"/>
          <w:bCs/>
          <w:sz w:val="20"/>
          <w:szCs w:val="20"/>
        </w:rPr>
        <w:t xml:space="preserve"> ainsi que les pertes de données maximales admissibles</w:t>
      </w:r>
    </w:p>
    <w:p w14:paraId="7A43A6D0"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106365FD"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504C4817"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19768881" w14:textId="77777777" w:rsidR="002208D0" w:rsidRDefault="002208D0"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14:paraId="735F70C9" w14:textId="77777777" w:rsidR="00DD1B85" w:rsidRDefault="00DD1B85" w:rsidP="0093368A">
      <w:pPr>
        <w:rPr>
          <w:rFonts w:ascii="Arial" w:hAnsi="Arial" w:cs="Arial"/>
          <w:b/>
          <w:sz w:val="20"/>
          <w:szCs w:val="20"/>
        </w:rPr>
      </w:pPr>
    </w:p>
    <w:p w14:paraId="2F76CA81" w14:textId="77777777" w:rsidR="00D963A6" w:rsidRDefault="00F72E89" w:rsidP="007D371F">
      <w:pPr>
        <w:pStyle w:val="Titre2"/>
      </w:pPr>
      <w:bookmarkStart w:id="26" w:name="_Toc507679368"/>
      <w:r>
        <w:t>Politique de sécurité des services de paiement</w:t>
      </w:r>
      <w:bookmarkEnd w:id="26"/>
    </w:p>
    <w:p w14:paraId="7B437786" w14:textId="77777777" w:rsidR="00897657" w:rsidRPr="008C7BC8" w:rsidRDefault="00897657" w:rsidP="00897657">
      <w:pPr>
        <w:jc w:val="both"/>
        <w:rPr>
          <w:rFonts w:ascii="Arial" w:hAnsi="Arial" w:cs="Arial"/>
          <w:bCs/>
          <w:sz w:val="20"/>
          <w:szCs w:val="20"/>
        </w:rPr>
      </w:pPr>
    </w:p>
    <w:p w14:paraId="664D4684" w14:textId="77777777"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14:paraId="3D971317" w14:textId="77777777" w:rsidR="008C3C87" w:rsidRPr="00A1709B" w:rsidRDefault="008C3C87" w:rsidP="00E52199">
      <w:pPr>
        <w:jc w:val="both"/>
        <w:rPr>
          <w:rFonts w:ascii="Arial" w:hAnsi="Arial" w:cs="Arial"/>
          <w:sz w:val="20"/>
          <w:szCs w:val="20"/>
        </w:rPr>
      </w:pPr>
    </w:p>
    <w:p w14:paraId="67C42ABA"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14:paraId="6BA80573"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14:paraId="27E5EB7D" w14:textId="77777777"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14:paraId="3A87E4AA"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0A5C27D3"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14:paraId="0C7089DF" w14:textId="77777777"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14:paraId="5465D6AC" w14:textId="77777777"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14:paraId="61E97A32" w14:textId="77777777"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14:paraId="5501B7B7" w14:textId="77777777"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14:paraId="3DF1C25E" w14:textId="77777777"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lastRenderedPageBreak/>
        <w:t>La nature technique et organisationnelle et la fréquence de chaque mesure, par exemple s’il agit d’une mesure préventive ou détective si elle est mise en œuvre en temps réél ;</w:t>
      </w:r>
    </w:p>
    <w:p w14:paraId="7EBA76A6" w14:textId="77777777"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14:paraId="5266AABA"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14:paraId="47B0751D"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14:paraId="5789C7AE"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14:paraId="5BBE3880"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14:paraId="2B8A5B9F"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14:paraId="75E9A36C"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14:paraId="1F2F5D13"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14:paraId="771258AC"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14:paraId="15E0B639"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14:paraId="68BB665F" w14:textId="77777777" w:rsidR="00D3524E" w:rsidRDefault="00D3524E" w:rsidP="00F06BBE"/>
    <w:sectPr w:rsidR="00D3524E" w:rsidSect="001D482F">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A4AFA" w14:textId="77777777" w:rsidR="00C32F52" w:rsidRDefault="00C32F52" w:rsidP="0093368A">
      <w:pPr>
        <w:spacing w:line="240" w:lineRule="auto"/>
      </w:pPr>
      <w:r>
        <w:separator/>
      </w:r>
    </w:p>
  </w:endnote>
  <w:endnote w:type="continuationSeparator" w:id="0">
    <w:p w14:paraId="7A633A42" w14:textId="77777777" w:rsidR="00C32F52" w:rsidRDefault="00C32F52"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2CD137C6" w14:textId="4F6F9654" w:rsidR="004A1167" w:rsidRDefault="004A1167">
        <w:pPr>
          <w:pStyle w:val="Pieddepage"/>
          <w:jc w:val="right"/>
        </w:pPr>
        <w:r>
          <w:fldChar w:fldCharType="begin"/>
        </w:r>
        <w:r>
          <w:instrText>PAGE   \* MERGEFORMAT</w:instrText>
        </w:r>
        <w:r>
          <w:fldChar w:fldCharType="separate"/>
        </w:r>
        <w:r w:rsidR="00097C44">
          <w:rPr>
            <w:noProof/>
          </w:rPr>
          <w:t>5</w:t>
        </w:r>
        <w:r>
          <w:fldChar w:fldCharType="end"/>
        </w:r>
      </w:p>
    </w:sdtContent>
  </w:sdt>
  <w:p w14:paraId="71557920" w14:textId="77777777" w:rsidR="004A1167" w:rsidRDefault="004A11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BC01" w14:textId="77777777" w:rsidR="00C32F52" w:rsidRDefault="00C32F52" w:rsidP="0093368A">
      <w:pPr>
        <w:spacing w:line="240" w:lineRule="auto"/>
      </w:pPr>
      <w:r>
        <w:separator/>
      </w:r>
    </w:p>
  </w:footnote>
  <w:footnote w:type="continuationSeparator" w:id="0">
    <w:p w14:paraId="5ECEE89D" w14:textId="77777777" w:rsidR="00C32F52" w:rsidRDefault="00C32F52" w:rsidP="0093368A">
      <w:pPr>
        <w:spacing w:line="240" w:lineRule="auto"/>
      </w:pPr>
      <w:r>
        <w:continuationSeparator/>
      </w:r>
    </w:p>
  </w:footnote>
  <w:footnote w:id="1">
    <w:p w14:paraId="3C71B770" w14:textId="77777777" w:rsidR="004A1167" w:rsidRDefault="004A1167" w:rsidP="0093368A">
      <w:pPr>
        <w:pStyle w:val="Notedebasdepage"/>
      </w:pPr>
      <w:r>
        <w:rPr>
          <w:rStyle w:val="Appelnotedebasdep"/>
        </w:rPr>
        <w:footnoteRef/>
      </w:r>
      <w:r>
        <w:t xml:space="preserve"> Inscrire en cours de constitution si la société n’est pas encore créée/en cours de création</w:t>
      </w:r>
    </w:p>
  </w:footnote>
  <w:footnote w:id="2">
    <w:p w14:paraId="71971116" w14:textId="77777777" w:rsidR="004A1167" w:rsidRDefault="004A1167"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 qui précise que les fonds propres sont composés des instruments de capital (en respects des conditions fixées à l’article 28 et 29 du CRR, des comptes des primes d’émission liés à ces instruments, des résultats non distribués, des autres éléments du résultat global accumulés, des autres réserves, des fonds pour risques bancaires généraux.</w:t>
      </w:r>
    </w:p>
  </w:footnote>
  <w:footnote w:id="3">
    <w:p w14:paraId="4B776B2F" w14:textId="77777777" w:rsidR="004A1167" w:rsidRDefault="004A1167">
      <w:pPr>
        <w:pStyle w:val="Notedebasdepage"/>
      </w:pPr>
      <w:r>
        <w:rPr>
          <w:rStyle w:val="Appelnotedebasdep"/>
        </w:rPr>
        <w:footnoteRef/>
      </w:r>
      <w:r>
        <w:t xml:space="preserve"> A</w:t>
      </w:r>
      <w:r w:rsidRPr="003F5779">
        <w:t>rrêté du 29 octobre 2009 portant sur la règlementation prudentielle des établissements de paiemen</w:t>
      </w:r>
      <w:r>
        <w:t>t</w:t>
      </w:r>
    </w:p>
  </w:footnote>
  <w:footnote w:id="4">
    <w:p w14:paraId="3F57BD05" w14:textId="77777777" w:rsidR="004A1167" w:rsidRDefault="004A1167"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5">
    <w:p w14:paraId="23FB4594" w14:textId="77777777" w:rsidR="004A1167" w:rsidRPr="00553C82" w:rsidRDefault="004A1167">
      <w:pPr>
        <w:pStyle w:val="Notedebasdepage"/>
      </w:pPr>
      <w:r>
        <w:rPr>
          <w:rStyle w:val="Appelnotedebasdep"/>
        </w:rPr>
        <w:footnoteRef/>
      </w:r>
      <w:r>
        <w:t xml:space="preserve"> </w:t>
      </w:r>
      <w:r w:rsidRPr="00553C82">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14:paraId="79A913A8" w14:textId="77777777" w:rsidR="004A1167" w:rsidRDefault="004A1167"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14:paraId="66640C84" w14:textId="77777777" w:rsidR="004A1167" w:rsidRDefault="004A1167">
      <w:pPr>
        <w:pStyle w:val="Notedebasdepage"/>
      </w:pPr>
      <w:r>
        <w:rPr>
          <w:rStyle w:val="Appelnotedebasdep"/>
        </w:rPr>
        <w:footnoteRef/>
      </w:r>
      <w:r>
        <w:t xml:space="preserve"> </w:t>
      </w:r>
      <w:r w:rsidRPr="00635AE1">
        <w:rPr>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E7B3" w14:textId="6B727A49" w:rsidR="004A1167" w:rsidRPr="00B33BA4" w:rsidRDefault="004A1167" w:rsidP="00B33BA4">
    <w:pPr>
      <w:pStyle w:val="En-tte"/>
      <w:jc w:val="right"/>
      <w:rPr>
        <w:rFonts w:ascii="Times New Roman" w:hAnsi="Times New Roman" w:cs="Times New Roman"/>
      </w:rPr>
    </w:pPr>
    <w:r>
      <w:rPr>
        <w:rFonts w:ascii="Times New Roman" w:hAnsi="Times New Roman" w:cs="Times New Roman"/>
      </w:rPr>
      <w:t xml:space="preserve">Annexe </w:t>
    </w:r>
    <w:r w:rsidR="00B0247D">
      <w:rPr>
        <w:rFonts w:ascii="Times New Roman" w:hAnsi="Times New Roman" w:cs="Times New Roman"/>
      </w:rPr>
      <w:t>I</w:t>
    </w:r>
    <w:r w:rsidRPr="00B33BA4">
      <w:rPr>
        <w:rFonts w:ascii="Times New Roman" w:hAnsi="Times New Roman" w:cs="Times New Roman"/>
      </w:rPr>
      <w:t xml:space="preserve"> de l’instruction </w:t>
    </w:r>
    <w:r w:rsidR="00C63FCA">
      <w:rPr>
        <w:rFonts w:ascii="Times New Roman" w:hAnsi="Times New Roman" w:cs="Times New Roman"/>
      </w:rPr>
      <w:t xml:space="preserve">n° </w:t>
    </w:r>
    <w:r w:rsidRPr="00B33BA4">
      <w:rPr>
        <w:rFonts w:ascii="Times New Roman" w:hAnsi="Times New Roman" w:cs="Times New Roman"/>
      </w:rPr>
      <w:t>2019-I-22</w:t>
    </w:r>
  </w:p>
  <w:p w14:paraId="6769B2D7" w14:textId="1DF0377D" w:rsidR="004A1167" w:rsidRPr="00993C47" w:rsidRDefault="004A1167" w:rsidP="00B33BA4">
    <w:pPr>
      <w:pStyle w:val="En-tte"/>
      <w:jc w:val="right"/>
      <w:rPr>
        <w:rFonts w:ascii="Times New Roman" w:hAnsi="Times New Roman" w:cs="Times New Roman"/>
      </w:rPr>
    </w:pPr>
    <w:r w:rsidRPr="00B33BA4">
      <w:rPr>
        <w:rFonts w:ascii="Times New Roman" w:hAnsi="Times New Roman" w:cs="Times New Roman"/>
      </w:rPr>
      <w:t xml:space="preserve">modifiée par l’instruction </w:t>
    </w:r>
    <w:r w:rsidR="00C63FCA">
      <w:rPr>
        <w:rFonts w:ascii="Times New Roman" w:hAnsi="Times New Roman" w:cs="Times New Roman"/>
      </w:rPr>
      <w:t>n° </w:t>
    </w:r>
    <w:r w:rsidRPr="00B33BA4">
      <w:rPr>
        <w:rFonts w:ascii="Times New Roman" w:hAnsi="Times New Roman" w:cs="Times New Roman"/>
      </w:rPr>
      <w:t>202</w:t>
    </w:r>
    <w:r>
      <w:rPr>
        <w:rFonts w:ascii="Times New Roman" w:hAnsi="Times New Roman" w:cs="Times New Roman"/>
      </w:rPr>
      <w:t>1-I-</w:t>
    </w:r>
    <w:r w:rsidR="00E7666A">
      <w:rPr>
        <w:rFonts w:ascii="Times New Roman" w:hAnsi="Times New Roman" w:cs="Times New Roman"/>
      </w:rPr>
      <w:t>0</w:t>
    </w:r>
    <w:r w:rsidR="004C4100">
      <w:rPr>
        <w:rFonts w:ascii="Times New Roman" w:hAnsi="Times New Roman" w:cs="Times New Roman"/>
      </w:rPr>
      <w:t>9</w:t>
    </w:r>
    <w:r>
      <w:rPr>
        <w:rFonts w:ascii="Times New Roman" w:hAnsi="Times New Roman" w:cs="Times New Roman"/>
      </w:rPr>
      <w:t xml:space="preserve"> du </w:t>
    </w:r>
    <w:r w:rsidR="00B0247D">
      <w:rPr>
        <w:rFonts w:ascii="Times New Roman" w:hAnsi="Times New Roman" w:cs="Times New Roman"/>
      </w:rPr>
      <w:t>6 octobre 2021</w:t>
    </w:r>
  </w:p>
  <w:p w14:paraId="5CFEC2D6" w14:textId="77777777" w:rsidR="004A1167" w:rsidRDefault="004A1167" w:rsidP="00993C47">
    <w:pPr>
      <w:pStyle w:val="En-tte"/>
      <w:tabs>
        <w:tab w:val="clear" w:pos="4536"/>
        <w:tab w:val="clear" w:pos="9072"/>
        <w:tab w:val="left" w:pos="2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01433D"/>
    <w:multiLevelType w:val="hybridMultilevel"/>
    <w:tmpl w:val="896A4398"/>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8"/>
  </w:num>
  <w:num w:numId="4">
    <w:abstractNumId w:val="11"/>
  </w:num>
  <w:num w:numId="5">
    <w:abstractNumId w:val="20"/>
  </w:num>
  <w:num w:numId="6">
    <w:abstractNumId w:val="25"/>
  </w:num>
  <w:num w:numId="7">
    <w:abstractNumId w:val="17"/>
  </w:num>
  <w:num w:numId="8">
    <w:abstractNumId w:val="2"/>
  </w:num>
  <w:num w:numId="9">
    <w:abstractNumId w:val="32"/>
  </w:num>
  <w:num w:numId="10">
    <w:abstractNumId w:val="8"/>
  </w:num>
  <w:num w:numId="11">
    <w:abstractNumId w:val="15"/>
  </w:num>
  <w:num w:numId="12">
    <w:abstractNumId w:val="29"/>
  </w:num>
  <w:num w:numId="13">
    <w:abstractNumId w:val="36"/>
  </w:num>
  <w:num w:numId="14">
    <w:abstractNumId w:val="26"/>
  </w:num>
  <w:num w:numId="15">
    <w:abstractNumId w:val="9"/>
  </w:num>
  <w:num w:numId="16">
    <w:abstractNumId w:val="35"/>
  </w:num>
  <w:num w:numId="17">
    <w:abstractNumId w:val="0"/>
  </w:num>
  <w:num w:numId="18">
    <w:abstractNumId w:val="31"/>
  </w:num>
  <w:num w:numId="19">
    <w:abstractNumId w:val="10"/>
  </w:num>
  <w:num w:numId="20">
    <w:abstractNumId w:val="37"/>
  </w:num>
  <w:num w:numId="21">
    <w:abstractNumId w:val="1"/>
  </w:num>
  <w:num w:numId="22">
    <w:abstractNumId w:val="39"/>
  </w:num>
  <w:num w:numId="23">
    <w:abstractNumId w:val="28"/>
  </w:num>
  <w:num w:numId="24">
    <w:abstractNumId w:val="18"/>
  </w:num>
  <w:num w:numId="25">
    <w:abstractNumId w:val="3"/>
  </w:num>
  <w:num w:numId="26">
    <w:abstractNumId w:val="27"/>
  </w:num>
  <w:num w:numId="27">
    <w:abstractNumId w:val="33"/>
  </w:num>
  <w:num w:numId="28">
    <w:abstractNumId w:val="40"/>
  </w:num>
  <w:num w:numId="29">
    <w:abstractNumId w:val="14"/>
  </w:num>
  <w:num w:numId="30">
    <w:abstractNumId w:val="6"/>
  </w:num>
  <w:num w:numId="31">
    <w:abstractNumId w:val="13"/>
  </w:num>
  <w:num w:numId="32">
    <w:abstractNumId w:val="24"/>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30"/>
  </w:num>
  <w:num w:numId="47">
    <w:abstractNumId w:val="41"/>
  </w:num>
  <w:num w:numId="48">
    <w:abstractNumId w:val="34"/>
  </w:num>
  <w:num w:numId="49">
    <w:abstractNumId w:val="19"/>
  </w:num>
  <w:num w:numId="50">
    <w:abstractNumId w:val="42"/>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 w:numId="57">
    <w:abstractNumId w:val="6"/>
    <w:lvlOverride w:ilvl="0">
      <w:startOverride w:val="1"/>
    </w:lvlOverride>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317E"/>
    <w:rsid w:val="00037AB7"/>
    <w:rsid w:val="0005395C"/>
    <w:rsid w:val="00074738"/>
    <w:rsid w:val="000905BA"/>
    <w:rsid w:val="000930D8"/>
    <w:rsid w:val="00097C44"/>
    <w:rsid w:val="000B03F3"/>
    <w:rsid w:val="00116E70"/>
    <w:rsid w:val="001562DD"/>
    <w:rsid w:val="00172DD1"/>
    <w:rsid w:val="001778C5"/>
    <w:rsid w:val="001B29B0"/>
    <w:rsid w:val="001B4A91"/>
    <w:rsid w:val="001D482F"/>
    <w:rsid w:val="001D7DA9"/>
    <w:rsid w:val="001F5225"/>
    <w:rsid w:val="00215D08"/>
    <w:rsid w:val="0021695F"/>
    <w:rsid w:val="002208D0"/>
    <w:rsid w:val="002351DB"/>
    <w:rsid w:val="00252184"/>
    <w:rsid w:val="0026037B"/>
    <w:rsid w:val="00285722"/>
    <w:rsid w:val="002B2196"/>
    <w:rsid w:val="002C6A84"/>
    <w:rsid w:val="002E30CF"/>
    <w:rsid w:val="002E4362"/>
    <w:rsid w:val="00305D0E"/>
    <w:rsid w:val="00305E6E"/>
    <w:rsid w:val="0031570E"/>
    <w:rsid w:val="003168A0"/>
    <w:rsid w:val="00321119"/>
    <w:rsid w:val="00333050"/>
    <w:rsid w:val="00337A6A"/>
    <w:rsid w:val="00343F7A"/>
    <w:rsid w:val="003565B9"/>
    <w:rsid w:val="00360915"/>
    <w:rsid w:val="003618B3"/>
    <w:rsid w:val="00365434"/>
    <w:rsid w:val="00381B07"/>
    <w:rsid w:val="003B4B91"/>
    <w:rsid w:val="003C156C"/>
    <w:rsid w:val="003C412B"/>
    <w:rsid w:val="003E3541"/>
    <w:rsid w:val="003E4BC1"/>
    <w:rsid w:val="003F336D"/>
    <w:rsid w:val="003F5779"/>
    <w:rsid w:val="004057BC"/>
    <w:rsid w:val="00406922"/>
    <w:rsid w:val="004473DE"/>
    <w:rsid w:val="00451907"/>
    <w:rsid w:val="00482035"/>
    <w:rsid w:val="004A1167"/>
    <w:rsid w:val="004C4100"/>
    <w:rsid w:val="004C5E6F"/>
    <w:rsid w:val="004C62D4"/>
    <w:rsid w:val="004C6859"/>
    <w:rsid w:val="004F2391"/>
    <w:rsid w:val="004F5429"/>
    <w:rsid w:val="00517CCF"/>
    <w:rsid w:val="00543CAF"/>
    <w:rsid w:val="00545D30"/>
    <w:rsid w:val="00546E4D"/>
    <w:rsid w:val="00553C82"/>
    <w:rsid w:val="005636B0"/>
    <w:rsid w:val="00597863"/>
    <w:rsid w:val="0060241A"/>
    <w:rsid w:val="00635AE1"/>
    <w:rsid w:val="006A5768"/>
    <w:rsid w:val="006C2A33"/>
    <w:rsid w:val="00716327"/>
    <w:rsid w:val="00732BA0"/>
    <w:rsid w:val="00762DE8"/>
    <w:rsid w:val="007813C0"/>
    <w:rsid w:val="007C225D"/>
    <w:rsid w:val="007C6276"/>
    <w:rsid w:val="007D1761"/>
    <w:rsid w:val="007D371F"/>
    <w:rsid w:val="00821632"/>
    <w:rsid w:val="00855690"/>
    <w:rsid w:val="00855C13"/>
    <w:rsid w:val="00872530"/>
    <w:rsid w:val="008753CE"/>
    <w:rsid w:val="008852BF"/>
    <w:rsid w:val="00890EF0"/>
    <w:rsid w:val="00897657"/>
    <w:rsid w:val="008B4933"/>
    <w:rsid w:val="008B61F9"/>
    <w:rsid w:val="008B7264"/>
    <w:rsid w:val="008C3C87"/>
    <w:rsid w:val="008D00D8"/>
    <w:rsid w:val="008D7CAF"/>
    <w:rsid w:val="00921842"/>
    <w:rsid w:val="00927AE0"/>
    <w:rsid w:val="0093368A"/>
    <w:rsid w:val="00957083"/>
    <w:rsid w:val="00966C83"/>
    <w:rsid w:val="00971FAF"/>
    <w:rsid w:val="00987F2E"/>
    <w:rsid w:val="0099000B"/>
    <w:rsid w:val="00993C47"/>
    <w:rsid w:val="009B2B08"/>
    <w:rsid w:val="009B4F6F"/>
    <w:rsid w:val="009C5CC7"/>
    <w:rsid w:val="009F46AA"/>
    <w:rsid w:val="009F4906"/>
    <w:rsid w:val="00A0642F"/>
    <w:rsid w:val="00A1709B"/>
    <w:rsid w:val="00A26C73"/>
    <w:rsid w:val="00A630C7"/>
    <w:rsid w:val="00A74F8A"/>
    <w:rsid w:val="00A86235"/>
    <w:rsid w:val="00A86B1F"/>
    <w:rsid w:val="00A96CBC"/>
    <w:rsid w:val="00AA6247"/>
    <w:rsid w:val="00AB3231"/>
    <w:rsid w:val="00AB48E1"/>
    <w:rsid w:val="00AC008C"/>
    <w:rsid w:val="00AC47AC"/>
    <w:rsid w:val="00AC4856"/>
    <w:rsid w:val="00AF1784"/>
    <w:rsid w:val="00B0247D"/>
    <w:rsid w:val="00B2439C"/>
    <w:rsid w:val="00B31C03"/>
    <w:rsid w:val="00B33BA4"/>
    <w:rsid w:val="00B353E1"/>
    <w:rsid w:val="00B81F49"/>
    <w:rsid w:val="00B93618"/>
    <w:rsid w:val="00BA5F6B"/>
    <w:rsid w:val="00BA65A2"/>
    <w:rsid w:val="00BB0D31"/>
    <w:rsid w:val="00BB4987"/>
    <w:rsid w:val="00BD234F"/>
    <w:rsid w:val="00BD4CFF"/>
    <w:rsid w:val="00BE5C33"/>
    <w:rsid w:val="00BF73E1"/>
    <w:rsid w:val="00C07FF2"/>
    <w:rsid w:val="00C32F52"/>
    <w:rsid w:val="00C46954"/>
    <w:rsid w:val="00C4792F"/>
    <w:rsid w:val="00C55479"/>
    <w:rsid w:val="00C63FCA"/>
    <w:rsid w:val="00C66DAE"/>
    <w:rsid w:val="00CB362B"/>
    <w:rsid w:val="00CD57B0"/>
    <w:rsid w:val="00CE7A83"/>
    <w:rsid w:val="00CF4C5D"/>
    <w:rsid w:val="00CF5E65"/>
    <w:rsid w:val="00D24076"/>
    <w:rsid w:val="00D3524E"/>
    <w:rsid w:val="00D538F5"/>
    <w:rsid w:val="00D56021"/>
    <w:rsid w:val="00D60EAC"/>
    <w:rsid w:val="00D620B7"/>
    <w:rsid w:val="00D963A6"/>
    <w:rsid w:val="00D97723"/>
    <w:rsid w:val="00DB1C15"/>
    <w:rsid w:val="00DC1D6A"/>
    <w:rsid w:val="00DD1B85"/>
    <w:rsid w:val="00DD56A6"/>
    <w:rsid w:val="00E228CD"/>
    <w:rsid w:val="00E52199"/>
    <w:rsid w:val="00E61A2E"/>
    <w:rsid w:val="00E73F49"/>
    <w:rsid w:val="00E7666A"/>
    <w:rsid w:val="00E84365"/>
    <w:rsid w:val="00E9363B"/>
    <w:rsid w:val="00EA77E9"/>
    <w:rsid w:val="00EB2A08"/>
    <w:rsid w:val="00EB4EDC"/>
    <w:rsid w:val="00EC6407"/>
    <w:rsid w:val="00EF0AE1"/>
    <w:rsid w:val="00F06BBE"/>
    <w:rsid w:val="00F11A47"/>
    <w:rsid w:val="00F33366"/>
    <w:rsid w:val="00F33382"/>
    <w:rsid w:val="00F3407B"/>
    <w:rsid w:val="00F3741D"/>
    <w:rsid w:val="00F45CC2"/>
    <w:rsid w:val="00F67A9A"/>
    <w:rsid w:val="00F72E89"/>
    <w:rsid w:val="00F77291"/>
    <w:rsid w:val="00F832D3"/>
    <w:rsid w:val="00F840F0"/>
    <w:rsid w:val="00F86F6A"/>
    <w:rsid w:val="00F93720"/>
    <w:rsid w:val="00FA6DFC"/>
    <w:rsid w:val="00FD7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9BFFC"/>
  <w15:docId w15:val="{36CC2413-6AA7-4A49-9CD3-B7DA9DEB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02887">
      <w:bodyDiv w:val="1"/>
      <w:marLeft w:val="0"/>
      <w:marRight w:val="0"/>
      <w:marTop w:val="0"/>
      <w:marBottom w:val="0"/>
      <w:divBdr>
        <w:top w:val="none" w:sz="0" w:space="0" w:color="auto"/>
        <w:left w:val="none" w:sz="0" w:space="0" w:color="auto"/>
        <w:bottom w:val="none" w:sz="0" w:space="0" w:color="auto"/>
        <w:right w:val="none" w:sz="0" w:space="0" w:color="auto"/>
      </w:divBdr>
    </w:div>
    <w:div w:id="18097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sites/default/files/media/2022/02/01/272._instruction_2021-i-20_annex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F618-FF52-4BA1-9308-F4F55F78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6492</Words>
  <Characters>37010</Characters>
  <Application>Microsoft Office Word</Application>
  <DocSecurity>0</DocSecurity>
  <Lines>308</Lines>
  <Paragraphs>86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Clemence.PILLON@acpr.banque-france.fr;Androniki.DELEVA@acpr.banque-france.fr</dc:creator>
  <cp:lastModifiedBy>GAUTIER Arthur (SGACPR DA)</cp:lastModifiedBy>
  <cp:revision>14</cp:revision>
  <cp:lastPrinted>2019-04-23T16:13:00Z</cp:lastPrinted>
  <dcterms:created xsi:type="dcterms:W3CDTF">2021-08-04T15:56:00Z</dcterms:created>
  <dcterms:modified xsi:type="dcterms:W3CDTF">2023-09-15T14:31:00Z</dcterms:modified>
</cp:coreProperties>
</file>