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pPr w:leftFromText="141" w:rightFromText="141" w:horzAnchor="margin" w:tblpX="-1134" w:tblpY="-660"/>
        <w:tblW w:w="582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847"/>
        <w:gridCol w:w="318"/>
        <w:gridCol w:w="7052"/>
        <w:gridCol w:w="331"/>
        <w:gridCol w:w="870"/>
        <w:gridCol w:w="405"/>
      </w:tblGrid>
      <w:tr w:rsidR="00182901" w:rsidRPr="00AC496F" w14:paraId="47E13A55" w14:textId="77777777" w:rsidTr="00182901">
        <w:trPr>
          <w:gridAfter w:val="1"/>
          <w:wAfter w:w="187" w:type="pct"/>
          <w:trHeight w:hRule="exact" w:val="2154"/>
        </w:trPr>
        <w:tc>
          <w:tcPr>
            <w:tcW w:w="853" w:type="pct"/>
          </w:tcPr>
          <w:p w14:paraId="1DF102AD" w14:textId="77777777" w:rsidR="00182901" w:rsidRPr="00AD7D1C" w:rsidRDefault="00182901" w:rsidP="00CC1A73">
            <w:pPr>
              <w:rPr>
                <w:sz w:val="24"/>
              </w:rPr>
            </w:pPr>
            <w:bookmarkStart w:id="0" w:name="_GoBack"/>
            <w:bookmarkEnd w:id="0"/>
          </w:p>
        </w:tc>
        <w:tc>
          <w:tcPr>
            <w:tcW w:w="3558" w:type="pct"/>
            <w:gridSpan w:val="3"/>
            <w:vMerge w:val="restart"/>
            <w:vAlign w:val="bottom"/>
          </w:tcPr>
          <w:p w14:paraId="42006B42" w14:textId="77777777" w:rsidR="00182901" w:rsidRPr="00AD7D1C" w:rsidRDefault="00AD7D1C" w:rsidP="00182901">
            <w:pPr>
              <w:pStyle w:val="STATTitreGraph"/>
              <w:ind w:left="-713" w:right="-942"/>
              <w:jc w:val="center"/>
              <w:rPr>
                <w:color w:val="000000" w:themeColor="text1"/>
                <w:sz w:val="24"/>
                <w:lang w:val="en-US"/>
              </w:rPr>
            </w:pPr>
            <w:r w:rsidRPr="00AD7D1C">
              <w:rPr>
                <w:rFonts w:ascii="Arial Black" w:hAnsi="Arial Black" w:cs="Times New Roman"/>
                <w:b w:val="0"/>
                <w:bCs w:val="0"/>
                <w:iCs/>
                <w:color w:val="000000" w:themeColor="text1"/>
                <w:w w:val="100"/>
                <w:sz w:val="24"/>
                <w:szCs w:val="28"/>
                <w:lang w:val="en-US"/>
              </w:rPr>
              <w:t>Backcasting methodology for national financial accounts</w:t>
            </w:r>
          </w:p>
        </w:tc>
        <w:tc>
          <w:tcPr>
            <w:tcW w:w="402" w:type="pct"/>
          </w:tcPr>
          <w:p w14:paraId="251F9699" w14:textId="77777777" w:rsidR="00182901" w:rsidRPr="00AD7D1C" w:rsidRDefault="00182901" w:rsidP="00182901">
            <w:pPr>
              <w:jc w:val="center"/>
              <w:rPr>
                <w:lang w:val="en-US"/>
              </w:rPr>
            </w:pPr>
          </w:p>
        </w:tc>
      </w:tr>
      <w:tr w:rsidR="00182901" w:rsidRPr="00AC496F" w14:paraId="20AFED43" w14:textId="77777777" w:rsidTr="00182901">
        <w:trPr>
          <w:trHeight w:val="57"/>
        </w:trPr>
        <w:tc>
          <w:tcPr>
            <w:tcW w:w="853" w:type="pct"/>
          </w:tcPr>
          <w:p w14:paraId="2687A50C" w14:textId="77777777" w:rsidR="00182901" w:rsidRPr="00AD7D1C" w:rsidRDefault="00182901" w:rsidP="00CC1A73">
            <w:pPr>
              <w:tabs>
                <w:tab w:val="left" w:pos="638"/>
              </w:tabs>
              <w:rPr>
                <w:sz w:val="24"/>
                <w:lang w:val="en-US"/>
              </w:rPr>
            </w:pPr>
          </w:p>
        </w:tc>
        <w:tc>
          <w:tcPr>
            <w:tcW w:w="3558" w:type="pct"/>
            <w:gridSpan w:val="3"/>
            <w:vMerge/>
            <w:vAlign w:val="center"/>
          </w:tcPr>
          <w:p w14:paraId="3CD392DA" w14:textId="77777777" w:rsidR="00182901" w:rsidRPr="00AD7D1C" w:rsidRDefault="00182901" w:rsidP="00182901">
            <w:pPr>
              <w:pStyle w:val="STATTitreGraph"/>
              <w:jc w:val="center"/>
              <w:rPr>
                <w:sz w:val="24"/>
                <w:lang w:val="en-US"/>
              </w:rPr>
            </w:pPr>
          </w:p>
        </w:tc>
        <w:tc>
          <w:tcPr>
            <w:tcW w:w="589" w:type="pct"/>
            <w:gridSpan w:val="2"/>
          </w:tcPr>
          <w:p w14:paraId="1BB598B4" w14:textId="77777777" w:rsidR="00182901" w:rsidRPr="00AD7D1C" w:rsidRDefault="00182901" w:rsidP="00182901">
            <w:pPr>
              <w:jc w:val="center"/>
              <w:rPr>
                <w:lang w:val="en-US"/>
              </w:rPr>
            </w:pPr>
          </w:p>
        </w:tc>
      </w:tr>
      <w:tr w:rsidR="00182901" w:rsidRPr="00AC496F" w14:paraId="5621B344" w14:textId="77777777" w:rsidTr="00182901">
        <w:trPr>
          <w:trHeight w:val="57"/>
        </w:trPr>
        <w:tc>
          <w:tcPr>
            <w:tcW w:w="853" w:type="pct"/>
          </w:tcPr>
          <w:p w14:paraId="182DDBD7" w14:textId="77777777" w:rsidR="00182901" w:rsidRPr="00AD7D1C" w:rsidRDefault="00182901" w:rsidP="00CC1A73">
            <w:pPr>
              <w:tabs>
                <w:tab w:val="left" w:pos="638"/>
              </w:tabs>
              <w:rPr>
                <w:sz w:val="24"/>
                <w:lang w:val="en-US"/>
              </w:rPr>
            </w:pPr>
          </w:p>
        </w:tc>
        <w:tc>
          <w:tcPr>
            <w:tcW w:w="3558" w:type="pct"/>
            <w:gridSpan w:val="3"/>
            <w:vMerge/>
            <w:tcBorders>
              <w:bottom w:val="single" w:sz="6" w:space="0" w:color="2864AA"/>
            </w:tcBorders>
            <w:vAlign w:val="center"/>
          </w:tcPr>
          <w:p w14:paraId="325778EF" w14:textId="77777777" w:rsidR="00182901" w:rsidRPr="00AD7D1C" w:rsidRDefault="00182901" w:rsidP="00CC1A73">
            <w:pPr>
              <w:pStyle w:val="STATTitreGraph"/>
              <w:rPr>
                <w:sz w:val="24"/>
                <w:lang w:val="en-US"/>
              </w:rPr>
            </w:pPr>
          </w:p>
        </w:tc>
        <w:tc>
          <w:tcPr>
            <w:tcW w:w="589" w:type="pct"/>
            <w:gridSpan w:val="2"/>
          </w:tcPr>
          <w:p w14:paraId="60C73AA5" w14:textId="77777777" w:rsidR="00182901" w:rsidRPr="00AD7D1C" w:rsidRDefault="00182901" w:rsidP="00CC1A73">
            <w:pPr>
              <w:rPr>
                <w:lang w:val="en-US"/>
              </w:rPr>
            </w:pPr>
          </w:p>
        </w:tc>
      </w:tr>
      <w:tr w:rsidR="0080756A" w:rsidRPr="00AC496F" w14:paraId="774DD494" w14:textId="77777777" w:rsidTr="00CC1A73">
        <w:trPr>
          <w:trHeight w:val="328"/>
        </w:trPr>
        <w:tc>
          <w:tcPr>
            <w:tcW w:w="853" w:type="pct"/>
          </w:tcPr>
          <w:p w14:paraId="65E7240C" w14:textId="77777777" w:rsidR="0080756A" w:rsidRPr="00AD7D1C" w:rsidRDefault="0080756A" w:rsidP="00CC1A73">
            <w:pPr>
              <w:tabs>
                <w:tab w:val="left" w:pos="638"/>
              </w:tabs>
              <w:rPr>
                <w:lang w:val="en-US"/>
              </w:rPr>
            </w:pPr>
          </w:p>
        </w:tc>
        <w:tc>
          <w:tcPr>
            <w:tcW w:w="147" w:type="pct"/>
            <w:tcBorders>
              <w:top w:val="single" w:sz="6" w:space="0" w:color="2864AA"/>
            </w:tcBorders>
            <w:vAlign w:val="center"/>
          </w:tcPr>
          <w:p w14:paraId="6F5ED339" w14:textId="77777777" w:rsidR="0080756A" w:rsidRPr="00AD7D1C" w:rsidRDefault="0080756A" w:rsidP="00CC1A73">
            <w:pPr>
              <w:pStyle w:val="STATTitreGraph"/>
              <w:rPr>
                <w:lang w:val="en-US"/>
              </w:rPr>
            </w:pPr>
          </w:p>
        </w:tc>
        <w:tc>
          <w:tcPr>
            <w:tcW w:w="3258" w:type="pct"/>
            <w:tcBorders>
              <w:top w:val="single" w:sz="6" w:space="0" w:color="2864AA"/>
            </w:tcBorders>
            <w:vAlign w:val="center"/>
          </w:tcPr>
          <w:p w14:paraId="23DA1D02" w14:textId="77777777" w:rsidR="0080756A" w:rsidRPr="00AD7D1C" w:rsidRDefault="0080756A" w:rsidP="00CC1A73">
            <w:pPr>
              <w:pStyle w:val="STATDate"/>
              <w:rPr>
                <w:lang w:val="en-US"/>
              </w:rPr>
            </w:pPr>
          </w:p>
        </w:tc>
        <w:tc>
          <w:tcPr>
            <w:tcW w:w="153" w:type="pct"/>
            <w:tcBorders>
              <w:top w:val="single" w:sz="6" w:space="0" w:color="2864AA"/>
            </w:tcBorders>
          </w:tcPr>
          <w:p w14:paraId="01978D67" w14:textId="77777777" w:rsidR="0080756A" w:rsidRPr="00AD7D1C" w:rsidRDefault="0080756A" w:rsidP="00CC1A73">
            <w:pPr>
              <w:rPr>
                <w:lang w:val="en-US"/>
              </w:rPr>
            </w:pPr>
          </w:p>
        </w:tc>
        <w:tc>
          <w:tcPr>
            <w:tcW w:w="589" w:type="pct"/>
            <w:gridSpan w:val="2"/>
          </w:tcPr>
          <w:p w14:paraId="2E185A52" w14:textId="77777777" w:rsidR="0080756A" w:rsidRPr="00AD7D1C" w:rsidRDefault="0080756A" w:rsidP="00CC1A73">
            <w:pPr>
              <w:rPr>
                <w:lang w:val="en-US"/>
              </w:rPr>
            </w:pPr>
          </w:p>
        </w:tc>
      </w:tr>
    </w:tbl>
    <w:p w14:paraId="7FE12078" w14:textId="7C9715BC" w:rsidR="00CE3E76" w:rsidRPr="00CE3E76" w:rsidRDefault="00182901" w:rsidP="00CE3E76">
      <w:pPr>
        <w:pStyle w:val="Titre2"/>
        <w:numPr>
          <w:ilvl w:val="0"/>
          <w:numId w:val="34"/>
        </w:numPr>
        <w:spacing w:after="120"/>
        <w:ind w:left="284" w:hanging="284"/>
        <w:rPr>
          <w:b/>
          <w:bCs/>
          <w:color w:val="4F81BD" w:themeColor="accent1"/>
          <w:sz w:val="26"/>
          <w:szCs w:val="26"/>
        </w:rPr>
      </w:pPr>
      <w:r>
        <w:rPr>
          <w:noProof/>
        </w:rPr>
        <w:drawing>
          <wp:anchor distT="0" distB="0" distL="114300" distR="114300" simplePos="0" relativeHeight="251658240" behindDoc="1" locked="0" layoutInCell="1" allowOverlap="1" wp14:anchorId="6C300467" wp14:editId="0925C7AD">
            <wp:simplePos x="0" y="0"/>
            <wp:positionH relativeFrom="column">
              <wp:posOffset>-819730</wp:posOffset>
            </wp:positionH>
            <wp:positionV relativeFrom="paragraph">
              <wp:posOffset>-695987</wp:posOffset>
            </wp:positionV>
            <wp:extent cx="7591045" cy="2409245"/>
            <wp:effectExtent l="0" t="0" r="0" b="0"/>
            <wp:wrapNone/>
            <wp:docPr id="3" name="Image 2" descr="banniere_une_méthdolo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iere_une_méthdologie.jpg"/>
                    <pic:cNvPicPr/>
                  </pic:nvPicPr>
                  <pic:blipFill>
                    <a:blip r:embed="rId8" cstate="print"/>
                    <a:stretch>
                      <a:fillRect/>
                    </a:stretch>
                  </pic:blipFill>
                  <pic:spPr>
                    <a:xfrm>
                      <a:off x="0" y="0"/>
                      <a:ext cx="7591045" cy="2409245"/>
                    </a:xfrm>
                    <a:prstGeom prst="rect">
                      <a:avLst/>
                    </a:prstGeom>
                  </pic:spPr>
                </pic:pic>
              </a:graphicData>
            </a:graphic>
          </wp:anchor>
        </w:drawing>
      </w:r>
      <w:r w:rsidR="00AD7D1C" w:rsidRPr="001D0E62">
        <w:rPr>
          <w:b/>
          <w:bCs/>
          <w:color w:val="4F81BD" w:themeColor="accent1"/>
          <w:sz w:val="26"/>
          <w:szCs w:val="26"/>
          <w:lang w:val="en-US"/>
        </w:rPr>
        <w:t xml:space="preserve">The </w:t>
      </w:r>
      <w:r w:rsidR="00880B14" w:rsidRPr="001D0E62">
        <w:rPr>
          <w:b/>
          <w:bCs/>
          <w:color w:val="4F81BD" w:themeColor="accent1"/>
          <w:sz w:val="26"/>
          <w:szCs w:val="26"/>
          <w:lang w:val="en-US"/>
        </w:rPr>
        <w:t>ba</w:t>
      </w:r>
      <w:r w:rsidR="00880B14">
        <w:rPr>
          <w:b/>
          <w:bCs/>
          <w:color w:val="4F81BD" w:themeColor="accent1"/>
          <w:sz w:val="26"/>
          <w:szCs w:val="26"/>
          <w:lang w:val="en-US"/>
        </w:rPr>
        <w:t>ckground</w:t>
      </w:r>
    </w:p>
    <w:p w14:paraId="7AA796FF" w14:textId="1D9AFACD" w:rsidR="00AD7D1C" w:rsidRPr="00AD7D1C" w:rsidRDefault="00AD7D1C" w:rsidP="00AD7D1C">
      <w:pPr>
        <w:pStyle w:val="NormalWeb"/>
        <w:spacing w:after="0" w:afterAutospacing="0"/>
        <w:jc w:val="both"/>
        <w:rPr>
          <w:rFonts w:ascii="Arial" w:hAnsi="Arial" w:cs="Arial"/>
          <w:bCs/>
          <w:sz w:val="20"/>
          <w:szCs w:val="20"/>
          <w:lang w:val="en-US"/>
        </w:rPr>
      </w:pPr>
      <w:bookmarkStart w:id="1" w:name="_Ref528748185"/>
      <w:r w:rsidRPr="00AD7D1C">
        <w:rPr>
          <w:rFonts w:ascii="Arial" w:hAnsi="Arial" w:cs="Arial"/>
          <w:bCs/>
          <w:sz w:val="20"/>
          <w:szCs w:val="20"/>
          <w:lang w:val="en-US"/>
        </w:rPr>
        <w:t>The French national accounts are currently published from 1995 onwards, and follow harmonized rules at European level (according to the European System of Accounts 2010). In the past, there have been several methodological developments or changes in accounting recording principles, which mean that it is not always easy to present consistent statistics with constant methodologies over a long period. In particular, in September 2014, the new European standard, the "</w:t>
      </w:r>
      <w:hyperlink r:id="rId9" w:history="1">
        <w:r w:rsidRPr="008550B1">
          <w:rPr>
            <w:rStyle w:val="Lienhypertexte"/>
            <w:rFonts w:ascii="Arial" w:hAnsi="Arial" w:cs="Arial"/>
            <w:bCs/>
            <w:sz w:val="20"/>
            <w:szCs w:val="20"/>
            <w:lang w:val="en-US"/>
          </w:rPr>
          <w:t>European System of National and Regional Accounts - ESA 2010</w:t>
        </w:r>
      </w:hyperlink>
      <w:r w:rsidRPr="00AD7D1C">
        <w:rPr>
          <w:rFonts w:ascii="Arial" w:hAnsi="Arial" w:cs="Arial"/>
          <w:bCs/>
          <w:sz w:val="20"/>
          <w:szCs w:val="20"/>
          <w:lang w:val="en-US"/>
        </w:rPr>
        <w:t xml:space="preserve">" came into force for the calculation of national accounts and thus succeeded ESA 1995 as the reference methodology. While it has retained the general foundations and principles of its predecessor, ESA 2010 has introduced </w:t>
      </w:r>
      <w:r w:rsidR="009103D4">
        <w:rPr>
          <w:rFonts w:ascii="Arial" w:hAnsi="Arial" w:cs="Arial"/>
          <w:bCs/>
          <w:sz w:val="20"/>
          <w:szCs w:val="20"/>
          <w:lang w:val="en-US"/>
        </w:rPr>
        <w:t>some</w:t>
      </w:r>
      <w:r w:rsidRPr="00AD7D1C">
        <w:rPr>
          <w:rFonts w:ascii="Arial" w:hAnsi="Arial" w:cs="Arial"/>
          <w:bCs/>
          <w:sz w:val="20"/>
          <w:szCs w:val="20"/>
          <w:lang w:val="en-US"/>
        </w:rPr>
        <w:t xml:space="preserve"> changes to better match the changing way our economy operates.</w:t>
      </w:r>
    </w:p>
    <w:p w14:paraId="0A58BB23" w14:textId="1DBCE68F" w:rsidR="00AD7D1C" w:rsidRPr="00AD7D1C" w:rsidRDefault="00AD7D1C" w:rsidP="00AD7D1C">
      <w:pPr>
        <w:pStyle w:val="NormalWeb"/>
        <w:spacing w:before="0" w:beforeAutospacing="0" w:after="0" w:afterAutospacing="0"/>
        <w:jc w:val="both"/>
        <w:rPr>
          <w:rFonts w:ascii="Arial" w:hAnsi="Arial" w:cs="Arial"/>
          <w:bCs/>
          <w:sz w:val="20"/>
          <w:szCs w:val="20"/>
          <w:lang w:val="en-US"/>
        </w:rPr>
      </w:pPr>
      <w:r w:rsidRPr="00AD7D1C">
        <w:rPr>
          <w:rFonts w:ascii="Arial" w:hAnsi="Arial" w:cs="Arial"/>
          <w:bCs/>
          <w:sz w:val="20"/>
          <w:szCs w:val="20"/>
          <w:lang w:val="en-US"/>
        </w:rPr>
        <w:t xml:space="preserve">This change of </w:t>
      </w:r>
      <w:r w:rsidR="00880B14">
        <w:rPr>
          <w:rFonts w:ascii="Arial" w:hAnsi="Arial" w:cs="Arial"/>
          <w:bCs/>
          <w:sz w:val="20"/>
          <w:szCs w:val="20"/>
          <w:lang w:val="en-US"/>
        </w:rPr>
        <w:t>benchmark</w:t>
      </w:r>
      <w:r w:rsidR="00880B14" w:rsidRPr="00AD7D1C">
        <w:rPr>
          <w:rFonts w:ascii="Arial" w:hAnsi="Arial" w:cs="Arial"/>
          <w:bCs/>
          <w:sz w:val="20"/>
          <w:szCs w:val="20"/>
          <w:lang w:val="en-US"/>
        </w:rPr>
        <w:t xml:space="preserve"> </w:t>
      </w:r>
      <w:r w:rsidRPr="00AD7D1C">
        <w:rPr>
          <w:rFonts w:ascii="Arial" w:hAnsi="Arial" w:cs="Arial"/>
          <w:bCs/>
          <w:sz w:val="20"/>
          <w:szCs w:val="20"/>
          <w:lang w:val="en-US"/>
        </w:rPr>
        <w:t>(as well as the previous ones) led to revisions that were often significant</w:t>
      </w:r>
      <w:r w:rsidR="00A1406A">
        <w:rPr>
          <w:rFonts w:ascii="Arial" w:hAnsi="Arial" w:cs="Arial"/>
          <w:bCs/>
          <w:sz w:val="20"/>
          <w:szCs w:val="20"/>
          <w:lang w:val="en-US"/>
        </w:rPr>
        <w:t xml:space="preserve"> and</w:t>
      </w:r>
      <w:r w:rsidRPr="00AD7D1C">
        <w:rPr>
          <w:rFonts w:ascii="Arial" w:hAnsi="Arial" w:cs="Arial"/>
          <w:bCs/>
          <w:sz w:val="20"/>
          <w:szCs w:val="20"/>
          <w:lang w:val="en-US"/>
        </w:rPr>
        <w:t xml:space="preserve"> linked, for example, to changes in accounting principles, reclassifications of entities or changes in financial operations or institutional sectors. These revisions cause breaks in the time series. </w:t>
      </w:r>
    </w:p>
    <w:p w14:paraId="090FE2FE" w14:textId="74CEE8FE" w:rsidR="00030A25" w:rsidRDefault="00AD7D1C" w:rsidP="00AD7D1C">
      <w:pPr>
        <w:pStyle w:val="NormalWeb"/>
        <w:spacing w:before="0" w:beforeAutospacing="0" w:after="0" w:afterAutospacing="0"/>
        <w:jc w:val="both"/>
        <w:rPr>
          <w:rFonts w:ascii="Arial" w:hAnsi="Arial" w:cs="Arial"/>
          <w:bCs/>
          <w:sz w:val="20"/>
          <w:szCs w:val="20"/>
          <w:lang w:val="en-US"/>
        </w:rPr>
      </w:pPr>
      <w:r w:rsidRPr="00AD7D1C">
        <w:rPr>
          <w:rFonts w:ascii="Arial" w:hAnsi="Arial" w:cs="Arial"/>
          <w:bCs/>
          <w:sz w:val="20"/>
          <w:szCs w:val="20"/>
          <w:lang w:val="en-US"/>
        </w:rPr>
        <w:t>For example, while the accounts currently published ("2014 b</w:t>
      </w:r>
      <w:r w:rsidR="00A1406A">
        <w:rPr>
          <w:rFonts w:ascii="Arial" w:hAnsi="Arial" w:cs="Arial"/>
          <w:bCs/>
          <w:sz w:val="20"/>
          <w:szCs w:val="20"/>
          <w:lang w:val="en-US"/>
        </w:rPr>
        <w:t>enchmark</w:t>
      </w:r>
      <w:r w:rsidRPr="00AD7D1C">
        <w:rPr>
          <w:rFonts w:ascii="Arial" w:hAnsi="Arial" w:cs="Arial"/>
          <w:bCs/>
          <w:sz w:val="20"/>
          <w:szCs w:val="20"/>
          <w:lang w:val="en-US"/>
        </w:rPr>
        <w:t>" in national accounts terminology) cover the period from 1995 to the present day, there are also older statistics ("2000 b</w:t>
      </w:r>
      <w:r w:rsidR="00A1406A">
        <w:rPr>
          <w:rFonts w:ascii="Arial" w:hAnsi="Arial" w:cs="Arial"/>
          <w:bCs/>
          <w:sz w:val="20"/>
          <w:szCs w:val="20"/>
          <w:lang w:val="en-US"/>
        </w:rPr>
        <w:t>enchmark</w:t>
      </w:r>
      <w:r w:rsidRPr="00AD7D1C">
        <w:rPr>
          <w:rFonts w:ascii="Arial" w:hAnsi="Arial" w:cs="Arial"/>
          <w:bCs/>
          <w:sz w:val="20"/>
          <w:szCs w:val="20"/>
          <w:lang w:val="en-US"/>
        </w:rPr>
        <w:t>") which cover the period from 1977 to 2009, but which are not entirely consistent and comparable, as can be seen if only by comparing them over their comm</w:t>
      </w:r>
      <w:r>
        <w:rPr>
          <w:rFonts w:ascii="Arial" w:hAnsi="Arial" w:cs="Arial"/>
          <w:bCs/>
          <w:sz w:val="20"/>
          <w:szCs w:val="20"/>
          <w:lang w:val="en-US"/>
        </w:rPr>
        <w:t>on period between 1995 and 2009.</w:t>
      </w:r>
    </w:p>
    <w:p w14:paraId="4183E35E" w14:textId="77777777" w:rsidR="00AD7D1C" w:rsidRPr="00AD7D1C" w:rsidRDefault="00AD7D1C" w:rsidP="00AD7D1C">
      <w:pPr>
        <w:pStyle w:val="NormalWeb"/>
        <w:spacing w:before="0" w:beforeAutospacing="0" w:after="0" w:afterAutospacing="0"/>
        <w:jc w:val="both"/>
        <w:rPr>
          <w:rFonts w:ascii="Arial" w:hAnsi="Arial" w:cs="Arial"/>
          <w:sz w:val="20"/>
          <w:szCs w:val="20"/>
          <w:lang w:val="en-US"/>
        </w:rPr>
      </w:pPr>
    </w:p>
    <w:p w14:paraId="7BB676B8" w14:textId="40CD5AE0" w:rsidR="00030A25" w:rsidRDefault="00F148A2" w:rsidP="00030A25">
      <w:pPr>
        <w:jc w:val="both"/>
        <w:rPr>
          <w:rFonts w:cstheme="minorHAnsi"/>
          <w:bCs/>
        </w:rPr>
      </w:pPr>
      <w:r w:rsidRPr="00F148A2">
        <w:rPr>
          <w:rFonts w:cstheme="minorHAnsi"/>
          <w:bCs/>
          <w:noProof/>
        </w:rPr>
        <w:drawing>
          <wp:inline distT="0" distB="0" distL="0" distR="0" wp14:anchorId="3283877A" wp14:editId="7AF1158E">
            <wp:extent cx="5506218" cy="114316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6218" cy="1143160"/>
                    </a:xfrm>
                    <a:prstGeom prst="rect">
                      <a:avLst/>
                    </a:prstGeom>
                  </pic:spPr>
                </pic:pic>
              </a:graphicData>
            </a:graphic>
          </wp:inline>
        </w:drawing>
      </w:r>
    </w:p>
    <w:p w14:paraId="21F56E6D" w14:textId="21240DEE" w:rsidR="00AD7D1C" w:rsidRDefault="00AD7D1C" w:rsidP="00AD7D1C">
      <w:pPr>
        <w:rPr>
          <w:i/>
          <w:iCs/>
          <w:color w:val="1F497D" w:themeColor="text2"/>
          <w:sz w:val="18"/>
          <w:szCs w:val="18"/>
          <w:lang w:val="en-US"/>
        </w:rPr>
      </w:pPr>
      <w:r w:rsidRPr="00AD7D1C">
        <w:rPr>
          <w:i/>
          <w:iCs/>
          <w:szCs w:val="18"/>
          <w:lang w:val="en-US"/>
        </w:rPr>
        <w:t xml:space="preserve">Figure 1: Time periods covered by the various national financial accounts </w:t>
      </w:r>
      <w:r w:rsidR="00D07657">
        <w:rPr>
          <w:i/>
          <w:iCs/>
          <w:szCs w:val="18"/>
          <w:lang w:val="en-US"/>
        </w:rPr>
        <w:t>benchmarks</w:t>
      </w:r>
    </w:p>
    <w:p w14:paraId="5F9A0F8E" w14:textId="77777777" w:rsidR="00030A25" w:rsidRPr="002E5EEE" w:rsidRDefault="00030A25" w:rsidP="00030A25">
      <w:pPr>
        <w:rPr>
          <w:lang w:val="en-US"/>
        </w:rPr>
      </w:pPr>
    </w:p>
    <w:bookmarkEnd w:id="1"/>
    <w:p w14:paraId="3453B120" w14:textId="4EC51386" w:rsidR="00AD7D1C" w:rsidRPr="00AD7D1C" w:rsidRDefault="00AD7D1C" w:rsidP="006D19BA">
      <w:pPr>
        <w:spacing w:after="160" w:line="259" w:lineRule="auto"/>
        <w:jc w:val="both"/>
        <w:rPr>
          <w:rFonts w:ascii="Arial" w:eastAsia="Calibri" w:hAnsi="Arial" w:cs="Arial"/>
          <w:szCs w:val="22"/>
          <w:lang w:val="en-US" w:eastAsia="en-US"/>
        </w:rPr>
      </w:pPr>
      <w:r w:rsidRPr="00AD7D1C">
        <w:rPr>
          <w:rFonts w:ascii="Arial" w:eastAsia="Calibri" w:hAnsi="Arial" w:cs="Arial"/>
          <w:szCs w:val="22"/>
          <w:lang w:val="en-US" w:eastAsia="en-US"/>
        </w:rPr>
        <w:t xml:space="preserve">The aim of the </w:t>
      </w:r>
      <w:r w:rsidR="00A1406A">
        <w:rPr>
          <w:rFonts w:ascii="Arial" w:eastAsia="Calibri" w:hAnsi="Arial" w:cs="Arial"/>
          <w:szCs w:val="22"/>
          <w:lang w:val="en-US" w:eastAsia="en-US"/>
        </w:rPr>
        <w:t>backcasting</w:t>
      </w:r>
      <w:r w:rsidRPr="00AD7D1C">
        <w:rPr>
          <w:rFonts w:ascii="Arial" w:eastAsia="Calibri" w:hAnsi="Arial" w:cs="Arial"/>
          <w:szCs w:val="22"/>
          <w:lang w:val="en-US" w:eastAsia="en-US"/>
        </w:rPr>
        <w:t xml:space="preserve"> work was therefore to make the long-term time series homogeneous once again, in order to obtain statistical series from 1977 to the present day. The aim of this article is to detail the principles and methods used to carry out this </w:t>
      </w:r>
      <w:r w:rsidR="00A1406A">
        <w:rPr>
          <w:rFonts w:ascii="Arial" w:eastAsia="Calibri" w:hAnsi="Arial" w:cs="Arial"/>
          <w:szCs w:val="22"/>
          <w:lang w:val="en-US" w:eastAsia="en-US"/>
        </w:rPr>
        <w:t>backcasting</w:t>
      </w:r>
      <w:r w:rsidR="00B67EE9">
        <w:rPr>
          <w:rFonts w:ascii="Arial" w:eastAsia="Calibri" w:hAnsi="Arial" w:cs="Arial"/>
          <w:szCs w:val="22"/>
          <w:lang w:val="en-US" w:eastAsia="en-US"/>
        </w:rPr>
        <w:t>.</w:t>
      </w:r>
      <w:r w:rsidRPr="00AD7D1C">
        <w:rPr>
          <w:rFonts w:ascii="Arial" w:eastAsia="Calibri" w:hAnsi="Arial" w:cs="Arial"/>
          <w:szCs w:val="22"/>
          <w:lang w:val="en-US" w:eastAsia="en-US"/>
        </w:rPr>
        <w:t xml:space="preserve"> The financial accounts </w:t>
      </w:r>
      <w:r w:rsidR="00A1406A" w:rsidRPr="00AD7D1C">
        <w:rPr>
          <w:rFonts w:ascii="Arial" w:eastAsia="Calibri" w:hAnsi="Arial" w:cs="Arial"/>
          <w:szCs w:val="22"/>
          <w:lang w:val="en-US" w:eastAsia="en-US"/>
        </w:rPr>
        <w:t>backcast</w:t>
      </w:r>
      <w:r w:rsidR="00A1406A">
        <w:rPr>
          <w:rFonts w:ascii="Arial" w:eastAsia="Calibri" w:hAnsi="Arial" w:cs="Arial"/>
          <w:szCs w:val="22"/>
          <w:lang w:val="en-US" w:eastAsia="en-US"/>
        </w:rPr>
        <w:t>ed</w:t>
      </w:r>
      <w:r w:rsidR="00A1406A" w:rsidRPr="00AD7D1C">
        <w:rPr>
          <w:rFonts w:ascii="Arial" w:eastAsia="Calibri" w:hAnsi="Arial" w:cs="Arial"/>
          <w:szCs w:val="22"/>
          <w:lang w:val="en-US" w:eastAsia="en-US"/>
        </w:rPr>
        <w:t xml:space="preserve"> </w:t>
      </w:r>
      <w:r w:rsidRPr="00AD7D1C">
        <w:rPr>
          <w:rFonts w:ascii="Arial" w:eastAsia="Calibri" w:hAnsi="Arial" w:cs="Arial"/>
          <w:szCs w:val="22"/>
          <w:lang w:val="en-US" w:eastAsia="en-US"/>
        </w:rPr>
        <w:t>series over a long period, from 1977 to the present day, are available on the Banque de France's statistical portal</w:t>
      </w:r>
      <w:r w:rsidR="00486937">
        <w:rPr>
          <w:rStyle w:val="Appelnotedebasdep"/>
          <w:rFonts w:ascii="Arial" w:eastAsia="Calibri" w:hAnsi="Arial" w:cs="Arial"/>
          <w:szCs w:val="22"/>
          <w:lang w:val="en-US" w:eastAsia="en-US"/>
        </w:rPr>
        <w:footnoteReference w:id="1"/>
      </w:r>
      <w:r w:rsidRPr="00AD7D1C">
        <w:rPr>
          <w:rFonts w:ascii="Arial" w:eastAsia="Calibri" w:hAnsi="Arial" w:cs="Arial"/>
          <w:szCs w:val="22"/>
          <w:lang w:val="en-US" w:eastAsia="en-US"/>
        </w:rPr>
        <w:t>.</w:t>
      </w:r>
    </w:p>
    <w:p w14:paraId="09BED9BE" w14:textId="77777777" w:rsidR="00CE3E76" w:rsidRPr="00AD7D1C" w:rsidRDefault="00CE3E76" w:rsidP="00CE3E76">
      <w:pPr>
        <w:spacing w:after="60"/>
        <w:ind w:left="357"/>
        <w:jc w:val="both"/>
        <w:rPr>
          <w:sz w:val="22"/>
          <w:szCs w:val="22"/>
          <w:lang w:val="en-US"/>
        </w:rPr>
      </w:pPr>
    </w:p>
    <w:p w14:paraId="79B3FB94" w14:textId="77777777" w:rsidR="00CE3E76" w:rsidRPr="00CE3E76" w:rsidRDefault="00176253" w:rsidP="00CE3E76">
      <w:pPr>
        <w:keepNext/>
        <w:numPr>
          <w:ilvl w:val="0"/>
          <w:numId w:val="34"/>
        </w:numPr>
        <w:ind w:left="284" w:hanging="284"/>
        <w:outlineLvl w:val="1"/>
        <w:rPr>
          <w:rFonts w:ascii="Arial" w:hAnsi="Arial" w:cs="Arial"/>
          <w:b/>
          <w:bCs/>
          <w:color w:val="4F81BD" w:themeColor="accent1"/>
          <w:sz w:val="26"/>
          <w:szCs w:val="26"/>
        </w:rPr>
      </w:pPr>
      <w:r>
        <w:rPr>
          <w:rFonts w:ascii="Arial" w:hAnsi="Arial" w:cs="Arial"/>
          <w:b/>
          <w:bCs/>
          <w:color w:val="4F81BD" w:themeColor="accent1"/>
          <w:sz w:val="26"/>
          <w:szCs w:val="26"/>
        </w:rPr>
        <w:t xml:space="preserve">The </w:t>
      </w:r>
      <w:r w:rsidRPr="00176253">
        <w:rPr>
          <w:rFonts w:ascii="Arial" w:hAnsi="Arial" w:cs="Arial"/>
          <w:b/>
          <w:bCs/>
          <w:color w:val="4F81BD" w:themeColor="accent1"/>
          <w:sz w:val="26"/>
          <w:szCs w:val="26"/>
          <w:lang w:val="en-US"/>
        </w:rPr>
        <w:t>methodological</w:t>
      </w:r>
      <w:r>
        <w:rPr>
          <w:rFonts w:ascii="Arial" w:hAnsi="Arial" w:cs="Arial"/>
          <w:b/>
          <w:bCs/>
          <w:color w:val="4F81BD" w:themeColor="accent1"/>
          <w:sz w:val="26"/>
          <w:szCs w:val="26"/>
        </w:rPr>
        <w:t xml:space="preserve"> j</w:t>
      </w:r>
      <w:r w:rsidR="00030A25">
        <w:rPr>
          <w:rFonts w:ascii="Arial" w:hAnsi="Arial" w:cs="Arial"/>
          <w:b/>
          <w:bCs/>
          <w:color w:val="4F81BD" w:themeColor="accent1"/>
          <w:sz w:val="26"/>
          <w:szCs w:val="26"/>
        </w:rPr>
        <w:t>oint</w:t>
      </w:r>
    </w:p>
    <w:p w14:paraId="08C74764" w14:textId="77777777" w:rsidR="00CE3E76" w:rsidRPr="00CE3E76" w:rsidRDefault="00CE3E76" w:rsidP="00CE3E76">
      <w:pPr>
        <w:spacing w:after="60"/>
        <w:ind w:left="357"/>
        <w:jc w:val="both"/>
        <w:rPr>
          <w:sz w:val="22"/>
          <w:szCs w:val="22"/>
        </w:rPr>
      </w:pPr>
    </w:p>
    <w:p w14:paraId="600A8D16" w14:textId="77777777" w:rsidR="00176253" w:rsidRPr="00176253" w:rsidRDefault="00176253" w:rsidP="00176253">
      <w:pPr>
        <w:spacing w:after="60"/>
        <w:jc w:val="both"/>
        <w:rPr>
          <w:rFonts w:ascii="Arial" w:hAnsi="Arial" w:cs="Arial"/>
          <w:lang w:val="en-US"/>
        </w:rPr>
      </w:pPr>
      <w:r w:rsidRPr="00176253">
        <w:rPr>
          <w:rFonts w:ascii="Arial" w:hAnsi="Arial" w:cs="Arial"/>
          <w:lang w:val="en-US"/>
        </w:rPr>
        <w:t>The ESA 2010 has introduced a number of changes to the nomenclature of both institutional sectors and instruments. The format of the internal code has also been changed.</w:t>
      </w:r>
    </w:p>
    <w:p w14:paraId="0FD362F5" w14:textId="77777777" w:rsidR="00176253" w:rsidRPr="00176253" w:rsidRDefault="00176253" w:rsidP="00176253">
      <w:pPr>
        <w:spacing w:after="60"/>
        <w:jc w:val="both"/>
        <w:rPr>
          <w:rFonts w:ascii="Arial" w:hAnsi="Arial" w:cs="Arial"/>
          <w:lang w:val="en-US"/>
        </w:rPr>
      </w:pPr>
    </w:p>
    <w:p w14:paraId="3B87FBF0" w14:textId="34E007C0" w:rsidR="00176253" w:rsidRPr="00176253" w:rsidRDefault="00176253" w:rsidP="00176253">
      <w:pPr>
        <w:spacing w:after="60"/>
        <w:jc w:val="both"/>
        <w:rPr>
          <w:rFonts w:ascii="Arial" w:hAnsi="Arial" w:cs="Arial"/>
          <w:lang w:val="en-US"/>
        </w:rPr>
      </w:pPr>
      <w:r w:rsidRPr="00176253">
        <w:rPr>
          <w:rFonts w:ascii="Arial" w:hAnsi="Arial" w:cs="Arial"/>
          <w:lang w:val="en-US"/>
        </w:rPr>
        <w:t xml:space="preserve">The annual series in 2000 </w:t>
      </w:r>
      <w:r w:rsidR="000C02B4">
        <w:rPr>
          <w:rFonts w:ascii="Arial" w:hAnsi="Arial" w:cs="Arial"/>
          <w:lang w:val="en-US"/>
        </w:rPr>
        <w:t xml:space="preserve">benchmark </w:t>
      </w:r>
      <w:r w:rsidRPr="00176253">
        <w:rPr>
          <w:rFonts w:ascii="Arial" w:hAnsi="Arial" w:cs="Arial"/>
          <w:lang w:val="en-US"/>
        </w:rPr>
        <w:t>are available on the Banque de France website</w:t>
      </w:r>
      <w:r w:rsidR="008550B1" w:rsidRPr="00030A25">
        <w:rPr>
          <w:rFonts w:ascii="Arial" w:hAnsi="Arial" w:cs="Arial"/>
          <w:vertAlign w:val="superscript"/>
        </w:rPr>
        <w:footnoteReference w:id="2"/>
      </w:r>
      <w:r w:rsidRPr="00176253">
        <w:rPr>
          <w:rFonts w:ascii="Arial" w:hAnsi="Arial" w:cs="Arial"/>
          <w:lang w:val="en-US"/>
        </w:rPr>
        <w:t>. The 2876 series cover the period from December 1977 to December 2009. The detail is "all counterparty"</w:t>
      </w:r>
      <w:r w:rsidR="000C02B4">
        <w:rPr>
          <w:rFonts w:ascii="Arial" w:hAnsi="Arial" w:cs="Arial"/>
          <w:lang w:val="en-US"/>
        </w:rPr>
        <w:t xml:space="preserve"> (also referred to as total economy)</w:t>
      </w:r>
      <w:r w:rsidRPr="00176253">
        <w:rPr>
          <w:rFonts w:ascii="Arial" w:hAnsi="Arial" w:cs="Arial"/>
          <w:lang w:val="en-US"/>
        </w:rPr>
        <w:t xml:space="preserve">, meaning that for each instrument, we have the liabilities and assets of a sector (households, NFCs, etc.) but, unlike the 2014 </w:t>
      </w:r>
      <w:r w:rsidR="00ED3D7B">
        <w:rPr>
          <w:rFonts w:ascii="Arial" w:hAnsi="Arial" w:cs="Arial"/>
          <w:lang w:val="en-US"/>
        </w:rPr>
        <w:t>benchmark</w:t>
      </w:r>
      <w:r w:rsidRPr="00176253">
        <w:rPr>
          <w:rFonts w:ascii="Arial" w:hAnsi="Arial" w:cs="Arial"/>
          <w:lang w:val="en-US"/>
        </w:rPr>
        <w:t>, we do not have "who-to-whom" series (for example, bank loans to households).</w:t>
      </w:r>
    </w:p>
    <w:p w14:paraId="6AD90319" w14:textId="466031E2" w:rsidR="00176253" w:rsidRPr="00176253" w:rsidRDefault="00176253" w:rsidP="00176253">
      <w:pPr>
        <w:spacing w:after="60"/>
        <w:jc w:val="both"/>
        <w:rPr>
          <w:rFonts w:ascii="Arial" w:hAnsi="Arial" w:cs="Arial"/>
          <w:lang w:val="en-US"/>
        </w:rPr>
      </w:pPr>
      <w:r w:rsidRPr="00176253">
        <w:rPr>
          <w:rFonts w:ascii="Arial" w:hAnsi="Arial" w:cs="Arial"/>
          <w:lang w:val="en-US"/>
        </w:rPr>
        <w:lastRenderedPageBreak/>
        <w:t>The aim of backcasting is to 'link' these 2000</w:t>
      </w:r>
      <w:r w:rsidR="00D07657">
        <w:rPr>
          <w:rFonts w:ascii="Arial" w:hAnsi="Arial" w:cs="Arial"/>
          <w:lang w:val="en-US"/>
        </w:rPr>
        <w:t xml:space="preserve"> benchmark</w:t>
      </w:r>
      <w:r w:rsidRPr="00176253">
        <w:rPr>
          <w:rFonts w:ascii="Arial" w:hAnsi="Arial" w:cs="Arial"/>
          <w:lang w:val="en-US"/>
        </w:rPr>
        <w:t xml:space="preserve"> series to the 2014</w:t>
      </w:r>
      <w:r w:rsidR="00D07657">
        <w:rPr>
          <w:rFonts w:ascii="Arial" w:hAnsi="Arial" w:cs="Arial"/>
          <w:lang w:val="en-US"/>
        </w:rPr>
        <w:t xml:space="preserve"> benchmark</w:t>
      </w:r>
      <w:r w:rsidRPr="00176253">
        <w:rPr>
          <w:rFonts w:ascii="Arial" w:hAnsi="Arial" w:cs="Arial"/>
          <w:lang w:val="en-US"/>
        </w:rPr>
        <w:t xml:space="preserve"> series, which are the series currently published on all the usual statistical dissemination media (Webstat, Stat Info, data shared by international organisations, etc.).</w:t>
      </w:r>
    </w:p>
    <w:p w14:paraId="2258B8EA" w14:textId="77777777" w:rsidR="00CE3E76" w:rsidRPr="006D19BA" w:rsidRDefault="006D19BA" w:rsidP="006D19BA">
      <w:pPr>
        <w:spacing w:after="60"/>
        <w:jc w:val="both"/>
        <w:rPr>
          <w:rFonts w:ascii="Arial" w:hAnsi="Arial" w:cs="Arial"/>
          <w:lang w:val="en-US"/>
        </w:rPr>
      </w:pPr>
      <w:r w:rsidRPr="006D19BA">
        <w:rPr>
          <w:rFonts w:ascii="Arial" w:hAnsi="Arial" w:cs="Arial"/>
          <w:lang w:val="en-US"/>
        </w:rPr>
        <w:t>Direct observations are generally not available for households, and for non-financial corporations they are usually late and not very detailed. As a result, the financial accounts for these two sectors are based mainly on information reported by the other sectors.</w:t>
      </w:r>
    </w:p>
    <w:p w14:paraId="40BAB2F6" w14:textId="77777777" w:rsidR="00CE3E76" w:rsidRPr="00176253" w:rsidRDefault="00030A25" w:rsidP="00CE3E76">
      <w:pPr>
        <w:keepNext/>
        <w:spacing w:before="240" w:after="120"/>
        <w:ind w:left="567" w:hanging="567"/>
        <w:outlineLvl w:val="3"/>
        <w:rPr>
          <w:rFonts w:ascii="Arial" w:hAnsi="Arial" w:cs="Arial"/>
          <w:color w:val="4F81BD" w:themeColor="accent1"/>
          <w:sz w:val="22"/>
          <w:szCs w:val="22"/>
          <w:lang w:val="en-US"/>
        </w:rPr>
      </w:pPr>
      <w:r w:rsidRPr="00176253">
        <w:rPr>
          <w:rFonts w:ascii="Arial" w:hAnsi="Arial" w:cs="Arial"/>
          <w:color w:val="4F81BD" w:themeColor="accent1"/>
          <w:sz w:val="22"/>
          <w:szCs w:val="22"/>
          <w:lang w:val="en-US"/>
        </w:rPr>
        <w:t>2</w:t>
      </w:r>
      <w:r w:rsidR="00CE3E76" w:rsidRPr="00176253">
        <w:rPr>
          <w:rFonts w:ascii="Arial" w:hAnsi="Arial" w:cs="Arial"/>
          <w:color w:val="4F81BD" w:themeColor="accent1"/>
          <w:sz w:val="22"/>
          <w:szCs w:val="22"/>
          <w:lang w:val="en-US"/>
        </w:rPr>
        <w:t>.1.</w:t>
      </w:r>
      <w:r w:rsidR="00CE3E76" w:rsidRPr="00176253">
        <w:rPr>
          <w:rFonts w:ascii="Arial" w:hAnsi="Arial" w:cs="Arial"/>
          <w:color w:val="4F81BD" w:themeColor="accent1"/>
          <w:sz w:val="22"/>
          <w:szCs w:val="22"/>
          <w:lang w:val="en-US"/>
        </w:rPr>
        <w:tab/>
      </w:r>
      <w:r w:rsidRPr="00176253">
        <w:rPr>
          <w:rFonts w:ascii="Arial" w:hAnsi="Arial" w:cs="Arial"/>
          <w:color w:val="4F81BD" w:themeColor="accent1"/>
          <w:sz w:val="22"/>
          <w:szCs w:val="22"/>
          <w:lang w:val="en-US"/>
        </w:rPr>
        <w:t>Transcodi</w:t>
      </w:r>
      <w:r w:rsidR="00176253" w:rsidRPr="00176253">
        <w:rPr>
          <w:rFonts w:ascii="Arial" w:hAnsi="Arial" w:cs="Arial"/>
          <w:color w:val="4F81BD" w:themeColor="accent1"/>
          <w:sz w:val="22"/>
          <w:szCs w:val="22"/>
          <w:lang w:val="en-US"/>
        </w:rPr>
        <w:t>ng</w:t>
      </w:r>
      <w:r w:rsidR="00CE3E76" w:rsidRPr="00176253">
        <w:rPr>
          <w:rFonts w:ascii="Arial" w:hAnsi="Arial" w:cs="Arial"/>
          <w:color w:val="4F81BD" w:themeColor="accent1"/>
          <w:sz w:val="22"/>
          <w:szCs w:val="22"/>
          <w:lang w:val="en-US"/>
        </w:rPr>
        <w:t xml:space="preserve"> </w:t>
      </w:r>
    </w:p>
    <w:p w14:paraId="55706BEC" w14:textId="039FD2E9" w:rsidR="00176253" w:rsidRPr="00176253" w:rsidRDefault="00176253" w:rsidP="00176253">
      <w:pPr>
        <w:pStyle w:val="Sansinterligne"/>
        <w:jc w:val="both"/>
        <w:rPr>
          <w:rFonts w:ascii="Arial" w:eastAsiaTheme="majorEastAsia" w:hAnsi="Arial" w:cs="Arial"/>
          <w:sz w:val="20"/>
          <w:szCs w:val="30"/>
          <w:lang w:val="en-US"/>
        </w:rPr>
      </w:pPr>
      <w:r w:rsidRPr="00176253">
        <w:rPr>
          <w:rFonts w:ascii="Arial" w:eastAsiaTheme="majorEastAsia" w:hAnsi="Arial" w:cs="Arial"/>
          <w:sz w:val="20"/>
          <w:szCs w:val="30"/>
          <w:lang w:val="en-US"/>
        </w:rPr>
        <w:t xml:space="preserve">The first step was to carry out a translation between the old codification of the series and the one currently in use. Fortunately, as illustrated in the graph below, the process is injective in the sense that a new code can be assigned to any old series. The new dimensions present in the new code are not then </w:t>
      </w:r>
      <w:r w:rsidR="000C02B4">
        <w:rPr>
          <w:rFonts w:ascii="Arial" w:eastAsiaTheme="majorEastAsia" w:hAnsi="Arial" w:cs="Arial"/>
          <w:sz w:val="20"/>
          <w:szCs w:val="30"/>
          <w:lang w:val="en-US"/>
        </w:rPr>
        <w:t xml:space="preserve">fully </w:t>
      </w:r>
      <w:r w:rsidRPr="00176253">
        <w:rPr>
          <w:rFonts w:ascii="Arial" w:eastAsiaTheme="majorEastAsia" w:hAnsi="Arial" w:cs="Arial"/>
          <w:sz w:val="20"/>
          <w:szCs w:val="30"/>
          <w:lang w:val="en-US"/>
        </w:rPr>
        <w:t xml:space="preserve">used (they are used in the whom to whom series produced in the current </w:t>
      </w:r>
      <w:r w:rsidR="00D07657">
        <w:rPr>
          <w:rFonts w:ascii="Arial" w:eastAsiaTheme="majorEastAsia" w:hAnsi="Arial" w:cs="Arial"/>
          <w:sz w:val="20"/>
          <w:szCs w:val="30"/>
          <w:lang w:val="en-US"/>
        </w:rPr>
        <w:t>benchmark</w:t>
      </w:r>
      <w:r w:rsidRPr="00176253">
        <w:rPr>
          <w:rFonts w:ascii="Arial" w:eastAsiaTheme="majorEastAsia" w:hAnsi="Arial" w:cs="Arial"/>
          <w:sz w:val="20"/>
          <w:szCs w:val="30"/>
          <w:lang w:val="en-US"/>
        </w:rPr>
        <w:t>). These whom to whom series will not be back</w:t>
      </w:r>
      <w:r w:rsidR="00AB2BC6">
        <w:rPr>
          <w:rFonts w:ascii="Arial" w:eastAsiaTheme="majorEastAsia" w:hAnsi="Arial" w:cs="Arial"/>
          <w:sz w:val="20"/>
          <w:szCs w:val="30"/>
          <w:lang w:val="en-US"/>
        </w:rPr>
        <w:t>casted</w:t>
      </w:r>
      <w:r w:rsidRPr="00176253">
        <w:rPr>
          <w:rFonts w:ascii="Arial" w:eastAsiaTheme="majorEastAsia" w:hAnsi="Arial" w:cs="Arial"/>
          <w:sz w:val="20"/>
          <w:szCs w:val="30"/>
          <w:lang w:val="en-US"/>
        </w:rPr>
        <w:t xml:space="preserve"> due to a lack of relevant data to do so (absence of data in the old </w:t>
      </w:r>
      <w:r w:rsidR="00D07657">
        <w:rPr>
          <w:rFonts w:ascii="Arial" w:eastAsiaTheme="majorEastAsia" w:hAnsi="Arial" w:cs="Arial"/>
          <w:sz w:val="20"/>
          <w:szCs w:val="30"/>
          <w:lang w:val="en-US"/>
        </w:rPr>
        <w:t>benchmark</w:t>
      </w:r>
      <w:r w:rsidR="00D07657" w:rsidRPr="00176253" w:rsidDel="00D07657">
        <w:rPr>
          <w:rFonts w:ascii="Arial" w:eastAsiaTheme="majorEastAsia" w:hAnsi="Arial" w:cs="Arial"/>
          <w:sz w:val="20"/>
          <w:szCs w:val="30"/>
          <w:lang w:val="en-US"/>
        </w:rPr>
        <w:t xml:space="preserve"> </w:t>
      </w:r>
      <w:r w:rsidRPr="00176253">
        <w:rPr>
          <w:rFonts w:ascii="Arial" w:eastAsiaTheme="majorEastAsia" w:hAnsi="Arial" w:cs="Arial"/>
          <w:sz w:val="20"/>
          <w:szCs w:val="30"/>
          <w:lang w:val="en-US"/>
        </w:rPr>
        <w:t>and of robust data identified to make even good approximations).</w:t>
      </w:r>
    </w:p>
    <w:p w14:paraId="54E90D6E" w14:textId="77777777" w:rsidR="00030A25" w:rsidRPr="00176253" w:rsidRDefault="00030A25" w:rsidP="00030A25">
      <w:pPr>
        <w:pStyle w:val="Sansinterligne"/>
        <w:jc w:val="both"/>
        <w:rPr>
          <w:rFonts w:ascii="Arial" w:eastAsiaTheme="majorEastAsia" w:hAnsi="Arial" w:cs="Arial"/>
          <w:color w:val="365F91" w:themeColor="accent1" w:themeShade="BF"/>
          <w:sz w:val="18"/>
          <w:szCs w:val="20"/>
          <w:lang w:val="en-US"/>
        </w:rPr>
      </w:pPr>
    </w:p>
    <w:p w14:paraId="0BB526DB" w14:textId="256AE7D3" w:rsidR="00030A25" w:rsidRPr="001D0E62" w:rsidRDefault="00030A25" w:rsidP="00030A25">
      <w:pPr>
        <w:pStyle w:val="Sansinterligne"/>
        <w:jc w:val="both"/>
        <w:rPr>
          <w:rFonts w:ascii="Arial" w:eastAsiaTheme="majorEastAsia" w:hAnsi="Arial" w:cs="Arial"/>
          <w:color w:val="365F91" w:themeColor="accent1" w:themeShade="BF"/>
          <w:sz w:val="20"/>
          <w:szCs w:val="20"/>
          <w:lang w:val="en-US"/>
        </w:rPr>
      </w:pPr>
    </w:p>
    <w:p w14:paraId="39D3B7B9" w14:textId="648EBF39" w:rsidR="00F148A2" w:rsidRPr="001D0E62" w:rsidRDefault="00F148A2" w:rsidP="00030A25">
      <w:pPr>
        <w:pStyle w:val="Sansinterligne"/>
        <w:jc w:val="both"/>
        <w:rPr>
          <w:rFonts w:ascii="Arial" w:eastAsiaTheme="majorEastAsia" w:hAnsi="Arial" w:cs="Arial"/>
          <w:color w:val="365F91" w:themeColor="accent1" w:themeShade="BF"/>
          <w:sz w:val="20"/>
          <w:szCs w:val="20"/>
          <w:lang w:val="en-US"/>
        </w:rPr>
      </w:pPr>
      <w:r w:rsidRPr="00F148A2">
        <w:rPr>
          <w:rFonts w:ascii="Arial" w:eastAsiaTheme="majorEastAsia" w:hAnsi="Arial" w:cs="Arial"/>
          <w:noProof/>
          <w:color w:val="365F91" w:themeColor="accent1" w:themeShade="BF"/>
          <w:sz w:val="20"/>
          <w:szCs w:val="20"/>
          <w:lang w:eastAsia="fr-FR"/>
        </w:rPr>
        <w:drawing>
          <wp:inline distT="0" distB="0" distL="0" distR="0" wp14:anchorId="534AD0FC" wp14:editId="51576C5C">
            <wp:extent cx="5904230" cy="2909570"/>
            <wp:effectExtent l="0" t="0" r="1270"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04230" cy="2909570"/>
                    </a:xfrm>
                    <a:prstGeom prst="rect">
                      <a:avLst/>
                    </a:prstGeom>
                  </pic:spPr>
                </pic:pic>
              </a:graphicData>
            </a:graphic>
          </wp:inline>
        </w:drawing>
      </w:r>
    </w:p>
    <w:p w14:paraId="3FA056A2" w14:textId="77777777" w:rsidR="00030A25" w:rsidRPr="001D0E62" w:rsidRDefault="00030A25" w:rsidP="00030A25">
      <w:pPr>
        <w:pStyle w:val="Sansinterligne"/>
        <w:jc w:val="both"/>
        <w:rPr>
          <w:rFonts w:ascii="Arial" w:eastAsiaTheme="majorEastAsia" w:hAnsi="Arial" w:cs="Arial"/>
          <w:color w:val="365F91" w:themeColor="accent1" w:themeShade="BF"/>
          <w:sz w:val="20"/>
          <w:szCs w:val="20"/>
          <w:lang w:val="en-US"/>
        </w:rPr>
      </w:pPr>
    </w:p>
    <w:p w14:paraId="75EE3EB0" w14:textId="77777777" w:rsidR="00030A25" w:rsidRPr="001D0E62" w:rsidRDefault="00030A25" w:rsidP="00030A25">
      <w:pPr>
        <w:rPr>
          <w:sz w:val="14"/>
          <w:szCs w:val="24"/>
          <w:lang w:val="en-US"/>
        </w:rPr>
      </w:pPr>
    </w:p>
    <w:p w14:paraId="4FE7EC82" w14:textId="77777777" w:rsidR="00CE3E76" w:rsidRPr="001D0E62" w:rsidRDefault="00CE3E76" w:rsidP="00CE3E76">
      <w:pPr>
        <w:jc w:val="both"/>
        <w:rPr>
          <w:rFonts w:ascii="Arial" w:hAnsi="Arial" w:cs="Arial"/>
          <w:lang w:val="en-US"/>
        </w:rPr>
      </w:pPr>
    </w:p>
    <w:p w14:paraId="0F6919C3" w14:textId="77777777" w:rsidR="00CE3E76" w:rsidRPr="0081603C" w:rsidRDefault="00030A25" w:rsidP="00CE3E76">
      <w:pPr>
        <w:keepNext/>
        <w:spacing w:before="240" w:after="120"/>
        <w:ind w:left="567" w:hanging="567"/>
        <w:outlineLvl w:val="3"/>
        <w:rPr>
          <w:rFonts w:ascii="Arial" w:hAnsi="Arial" w:cs="Arial"/>
          <w:color w:val="4F81BD" w:themeColor="accent1"/>
          <w:sz w:val="22"/>
          <w:szCs w:val="22"/>
          <w:lang w:val="en-US"/>
        </w:rPr>
      </w:pPr>
      <w:r w:rsidRPr="0081603C">
        <w:rPr>
          <w:rFonts w:ascii="Arial" w:hAnsi="Arial" w:cs="Arial"/>
          <w:color w:val="4F81BD" w:themeColor="accent1"/>
          <w:sz w:val="22"/>
          <w:szCs w:val="22"/>
          <w:lang w:val="en-US"/>
        </w:rPr>
        <w:t>2</w:t>
      </w:r>
      <w:r w:rsidR="00CE3E76" w:rsidRPr="0081603C">
        <w:rPr>
          <w:rFonts w:ascii="Arial" w:hAnsi="Arial" w:cs="Arial"/>
          <w:color w:val="4F81BD" w:themeColor="accent1"/>
          <w:sz w:val="22"/>
          <w:szCs w:val="22"/>
          <w:lang w:val="en-US"/>
        </w:rPr>
        <w:t>.2.</w:t>
      </w:r>
      <w:r w:rsidR="00CE3E76" w:rsidRPr="0081603C">
        <w:rPr>
          <w:rFonts w:ascii="Arial" w:hAnsi="Arial" w:cs="Arial"/>
          <w:color w:val="4F81BD" w:themeColor="accent1"/>
          <w:sz w:val="22"/>
          <w:szCs w:val="22"/>
          <w:lang w:val="en-US"/>
        </w:rPr>
        <w:tab/>
      </w:r>
      <w:r w:rsidR="0081603C" w:rsidRPr="0081603C">
        <w:rPr>
          <w:rFonts w:ascii="Arial" w:hAnsi="Arial" w:cs="Arial"/>
          <w:color w:val="4F81BD" w:themeColor="accent1"/>
          <w:sz w:val="22"/>
          <w:szCs w:val="22"/>
          <w:lang w:val="en-US"/>
        </w:rPr>
        <w:t>Changes in financial instruments and institutional sectors between ESA 1995 and ESA 2010</w:t>
      </w:r>
      <w:r w:rsidR="00CE3E76" w:rsidRPr="0081603C">
        <w:rPr>
          <w:rFonts w:ascii="Arial" w:hAnsi="Arial" w:cs="Arial"/>
          <w:color w:val="4F81BD" w:themeColor="accent1"/>
          <w:sz w:val="22"/>
          <w:szCs w:val="22"/>
          <w:lang w:val="en-US"/>
        </w:rPr>
        <w:t xml:space="preserve"> </w:t>
      </w:r>
    </w:p>
    <w:p w14:paraId="4E0DFBD8" w14:textId="77777777" w:rsidR="0081603C" w:rsidRPr="0081603C" w:rsidRDefault="0081603C" w:rsidP="0081603C">
      <w:pPr>
        <w:spacing w:after="60"/>
        <w:jc w:val="both"/>
        <w:rPr>
          <w:rFonts w:ascii="Arial" w:hAnsi="Arial" w:cs="Arial"/>
          <w:lang w:val="en-US"/>
        </w:rPr>
      </w:pPr>
      <w:r w:rsidRPr="0081603C">
        <w:rPr>
          <w:rFonts w:ascii="Arial" w:hAnsi="Arial" w:cs="Arial"/>
          <w:lang w:val="en-US"/>
        </w:rPr>
        <w:t xml:space="preserve">The following tables show the differences between financial instruments and institutional sectors in ESA 1995 and ESA 2010. </w:t>
      </w:r>
    </w:p>
    <w:p w14:paraId="09837B8B" w14:textId="39D50861" w:rsidR="0081603C" w:rsidRPr="0081603C" w:rsidRDefault="0081603C" w:rsidP="0081603C">
      <w:pPr>
        <w:spacing w:after="60"/>
        <w:jc w:val="both"/>
        <w:rPr>
          <w:rFonts w:ascii="Arial" w:hAnsi="Arial" w:cs="Arial"/>
          <w:lang w:val="en-US"/>
        </w:rPr>
      </w:pPr>
      <w:r w:rsidRPr="0081603C">
        <w:rPr>
          <w:rFonts w:ascii="Arial" w:hAnsi="Arial" w:cs="Arial"/>
          <w:lang w:val="en-US"/>
        </w:rPr>
        <w:t xml:space="preserve">The main changes concern the breakdown into financial instruments. For the sake of simplicity, several instruments present in the ESA 1995 disappear and are grouped together in other instruments such as long-term interbank market securities, accrued interest on debt securities and </w:t>
      </w:r>
      <w:r w:rsidR="009103D4">
        <w:rPr>
          <w:rFonts w:ascii="Arial" w:hAnsi="Arial" w:cs="Arial"/>
          <w:lang w:val="en-US"/>
        </w:rPr>
        <w:t>some</w:t>
      </w:r>
      <w:r w:rsidRPr="0081603C">
        <w:rPr>
          <w:rFonts w:ascii="Arial" w:hAnsi="Arial" w:cs="Arial"/>
          <w:lang w:val="en-US"/>
        </w:rPr>
        <w:t xml:space="preserve"> loan sub-</w:t>
      </w:r>
      <w:r w:rsidR="000C02B4">
        <w:rPr>
          <w:rFonts w:ascii="Arial" w:hAnsi="Arial" w:cs="Arial"/>
          <w:lang w:val="en-US"/>
        </w:rPr>
        <w:t>breakdowns</w:t>
      </w:r>
      <w:r w:rsidRPr="0081603C">
        <w:rPr>
          <w:rFonts w:ascii="Arial" w:hAnsi="Arial" w:cs="Arial"/>
          <w:lang w:val="en-US"/>
        </w:rPr>
        <w:t xml:space="preserve">. On the other hand, the ESA 2010 introduces new instruments, such as the distinction between "unquoted shares" and "other equity", or the distinction between rights to life insurance technical reserves and rights to pension funds (made up of retirement savings pending the creation of an S129 pension fund sector in France </w:t>
      </w:r>
      <w:r w:rsidR="000C02B4">
        <w:rPr>
          <w:rFonts w:ascii="Arial" w:hAnsi="Arial" w:cs="Arial"/>
          <w:lang w:val="en-US"/>
        </w:rPr>
        <w:t>for</w:t>
      </w:r>
      <w:r w:rsidR="000C02B4" w:rsidRPr="0081603C">
        <w:rPr>
          <w:rFonts w:ascii="Arial" w:hAnsi="Arial" w:cs="Arial"/>
          <w:lang w:val="en-US"/>
        </w:rPr>
        <w:t xml:space="preserve"> </w:t>
      </w:r>
      <w:r w:rsidRPr="0081603C">
        <w:rPr>
          <w:rFonts w:ascii="Arial" w:hAnsi="Arial" w:cs="Arial"/>
          <w:lang w:val="en-US"/>
        </w:rPr>
        <w:t xml:space="preserve">the next </w:t>
      </w:r>
      <w:r w:rsidR="000C02B4">
        <w:rPr>
          <w:rFonts w:ascii="Arial" w:hAnsi="Arial" w:cs="Arial"/>
          <w:lang w:val="en-US"/>
        </w:rPr>
        <w:t>benchmark revision</w:t>
      </w:r>
      <w:r w:rsidR="000C02B4" w:rsidRPr="0081603C">
        <w:rPr>
          <w:rFonts w:ascii="Arial" w:hAnsi="Arial" w:cs="Arial"/>
          <w:lang w:val="en-US"/>
        </w:rPr>
        <w:t xml:space="preserve"> </w:t>
      </w:r>
      <w:r w:rsidRPr="0081603C">
        <w:rPr>
          <w:rFonts w:ascii="Arial" w:hAnsi="Arial" w:cs="Arial"/>
          <w:lang w:val="en-US"/>
        </w:rPr>
        <w:t>in 2024).</w:t>
      </w:r>
    </w:p>
    <w:p w14:paraId="14273075" w14:textId="77777777" w:rsidR="00030A25" w:rsidRPr="0081603C" w:rsidRDefault="0081603C" w:rsidP="0081603C">
      <w:pPr>
        <w:spacing w:after="60"/>
        <w:jc w:val="both"/>
        <w:rPr>
          <w:rFonts w:ascii="Arial" w:hAnsi="Arial" w:cs="Arial"/>
          <w:lang w:val="en-US"/>
        </w:rPr>
      </w:pPr>
      <w:r w:rsidRPr="0081603C">
        <w:rPr>
          <w:rFonts w:ascii="Arial" w:hAnsi="Arial" w:cs="Arial"/>
          <w:lang w:val="en-US"/>
        </w:rPr>
        <w:t>As far as institutional sectors are concerned, only one new sector, captive financial institutions and non-institutional lenders, appears in the ESA 2010.</w:t>
      </w:r>
    </w:p>
    <w:p w14:paraId="3E7AAB61" w14:textId="77777777" w:rsidR="00030A25" w:rsidRPr="0081603C" w:rsidRDefault="00030A25" w:rsidP="00030A25">
      <w:pPr>
        <w:spacing w:after="60"/>
        <w:ind w:left="357"/>
        <w:jc w:val="both"/>
        <w:rPr>
          <w:rFonts w:ascii="Arial" w:hAnsi="Arial" w:cs="Arial"/>
          <w:lang w:val="en-US"/>
        </w:rPr>
      </w:pPr>
    </w:p>
    <w:p w14:paraId="030D8EE5" w14:textId="77777777" w:rsidR="00030A25" w:rsidRPr="008550B1" w:rsidRDefault="00030A25" w:rsidP="00030A25">
      <w:pPr>
        <w:spacing w:after="60"/>
        <w:ind w:left="357"/>
        <w:jc w:val="both"/>
        <w:rPr>
          <w:rFonts w:ascii="Arial" w:hAnsi="Arial" w:cs="Arial"/>
          <w:lang w:val="en-US"/>
        </w:rPr>
      </w:pPr>
    </w:p>
    <w:p w14:paraId="3A2F94D3" w14:textId="77777777" w:rsidR="00030A25" w:rsidRPr="008550B1" w:rsidRDefault="00030A25" w:rsidP="00030A25">
      <w:pPr>
        <w:spacing w:after="60"/>
        <w:ind w:left="357"/>
        <w:jc w:val="both"/>
        <w:rPr>
          <w:rFonts w:ascii="Arial" w:hAnsi="Arial" w:cs="Arial"/>
          <w:lang w:val="en-US"/>
        </w:rPr>
      </w:pPr>
    </w:p>
    <w:p w14:paraId="4E6D2DE2" w14:textId="77777777" w:rsidR="00030A25" w:rsidRPr="008550B1" w:rsidRDefault="00030A25" w:rsidP="00030A25">
      <w:pPr>
        <w:spacing w:after="60"/>
        <w:ind w:left="357"/>
        <w:jc w:val="both"/>
        <w:rPr>
          <w:rFonts w:ascii="Arial" w:hAnsi="Arial" w:cs="Arial"/>
          <w:lang w:val="en-US"/>
        </w:rPr>
      </w:pPr>
    </w:p>
    <w:p w14:paraId="4D860FAB" w14:textId="77777777" w:rsidR="00030A25" w:rsidRPr="00030A25" w:rsidRDefault="00162A1B" w:rsidP="00030A25">
      <w:pPr>
        <w:spacing w:after="60"/>
        <w:ind w:left="357"/>
        <w:jc w:val="both"/>
        <w:rPr>
          <w:rFonts w:ascii="Arial" w:hAnsi="Arial" w:cs="Arial"/>
        </w:rPr>
      </w:pPr>
      <w:r w:rsidRPr="00162A1B">
        <w:rPr>
          <w:rFonts w:ascii="Arial" w:hAnsi="Arial" w:cs="Arial"/>
          <w:noProof/>
        </w:rPr>
        <w:lastRenderedPageBreak/>
        <w:drawing>
          <wp:inline distT="0" distB="0" distL="0" distR="0" wp14:anchorId="4DECA5D7" wp14:editId="0AA2FEFA">
            <wp:extent cx="5904230" cy="6306185"/>
            <wp:effectExtent l="0" t="0" r="127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04230" cy="6306185"/>
                    </a:xfrm>
                    <a:prstGeom prst="rect">
                      <a:avLst/>
                    </a:prstGeom>
                  </pic:spPr>
                </pic:pic>
              </a:graphicData>
            </a:graphic>
          </wp:inline>
        </w:drawing>
      </w:r>
    </w:p>
    <w:p w14:paraId="2B13E16C" w14:textId="77777777" w:rsidR="00030A25" w:rsidRPr="00030A25" w:rsidRDefault="00030A25" w:rsidP="00030A25">
      <w:pPr>
        <w:spacing w:after="60"/>
        <w:ind w:left="357"/>
        <w:jc w:val="both"/>
        <w:rPr>
          <w:rFonts w:ascii="Arial" w:hAnsi="Arial" w:cs="Arial"/>
        </w:rPr>
      </w:pPr>
    </w:p>
    <w:p w14:paraId="34BBBEF5" w14:textId="77777777" w:rsidR="00030A25" w:rsidRPr="00030A25" w:rsidRDefault="00B94E35" w:rsidP="00030A25">
      <w:pPr>
        <w:spacing w:after="60"/>
        <w:ind w:left="357"/>
        <w:jc w:val="both"/>
        <w:rPr>
          <w:rFonts w:ascii="Arial" w:hAnsi="Arial" w:cs="Arial"/>
        </w:rPr>
      </w:pPr>
      <w:r w:rsidRPr="00B94E35">
        <w:rPr>
          <w:rFonts w:ascii="Arial" w:hAnsi="Arial" w:cs="Arial"/>
          <w:noProof/>
        </w:rPr>
        <w:lastRenderedPageBreak/>
        <w:drawing>
          <wp:inline distT="0" distB="0" distL="0" distR="0" wp14:anchorId="2A1C7671" wp14:editId="20F89AAE">
            <wp:extent cx="5904230" cy="2713990"/>
            <wp:effectExtent l="0" t="0" r="127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04230" cy="2713990"/>
                    </a:xfrm>
                    <a:prstGeom prst="rect">
                      <a:avLst/>
                    </a:prstGeom>
                  </pic:spPr>
                </pic:pic>
              </a:graphicData>
            </a:graphic>
          </wp:inline>
        </w:drawing>
      </w:r>
    </w:p>
    <w:p w14:paraId="219984DD" w14:textId="77777777" w:rsidR="00030A25" w:rsidRPr="00030A25" w:rsidRDefault="00030A25" w:rsidP="00030A25">
      <w:pPr>
        <w:spacing w:after="60"/>
        <w:ind w:left="357"/>
        <w:jc w:val="both"/>
        <w:rPr>
          <w:rFonts w:ascii="Arial" w:hAnsi="Arial" w:cs="Arial"/>
        </w:rPr>
      </w:pPr>
    </w:p>
    <w:p w14:paraId="198ACD2E" w14:textId="2C198D5A" w:rsidR="00CE3E76" w:rsidRDefault="0081603C" w:rsidP="0081603C">
      <w:pPr>
        <w:spacing w:after="60"/>
        <w:jc w:val="both"/>
        <w:rPr>
          <w:rFonts w:ascii="Arial" w:hAnsi="Arial" w:cs="Arial"/>
          <w:lang w:val="en-US"/>
        </w:rPr>
      </w:pPr>
      <w:r w:rsidRPr="0081603C">
        <w:rPr>
          <w:rFonts w:ascii="Arial" w:hAnsi="Arial" w:cs="Arial"/>
          <w:lang w:val="en-US"/>
        </w:rPr>
        <w:t xml:space="preserve">For all these changes, we identified which instruments or sectors were impacted (including, for example, which instruments the disappearing instruments were allocated to). We also had to determine the </w:t>
      </w:r>
      <w:r w:rsidR="00AB2BC6">
        <w:rPr>
          <w:rFonts w:ascii="Arial" w:hAnsi="Arial" w:cs="Arial"/>
          <w:lang w:val="en-US"/>
        </w:rPr>
        <w:t>breakdown coefficients</w:t>
      </w:r>
      <w:r w:rsidRPr="0081603C">
        <w:rPr>
          <w:rFonts w:ascii="Arial" w:hAnsi="Arial" w:cs="Arial"/>
          <w:lang w:val="en-US"/>
        </w:rPr>
        <w:t xml:space="preserve"> to be applied in the various cases (new series or series that are disappearing). Appendix 1 provides a detailed description of the instruments and sectors used, as well as explanations of </w:t>
      </w:r>
      <w:r w:rsidRPr="0090076F">
        <w:rPr>
          <w:rFonts w:ascii="Arial" w:hAnsi="Arial" w:cs="Arial"/>
          <w:lang w:val="en-US"/>
        </w:rPr>
        <w:t xml:space="preserve">the </w:t>
      </w:r>
      <w:r w:rsidR="0090076F">
        <w:rPr>
          <w:rFonts w:ascii="Arial" w:hAnsi="Arial" w:cs="Arial"/>
          <w:lang w:val="en-US"/>
        </w:rPr>
        <w:t>breakdown coefficients</w:t>
      </w:r>
      <w:r w:rsidRPr="0090076F">
        <w:rPr>
          <w:rFonts w:ascii="Arial" w:hAnsi="Arial" w:cs="Arial"/>
          <w:lang w:val="en-US"/>
        </w:rPr>
        <w:t xml:space="preserve"> chosen</w:t>
      </w:r>
      <w:r w:rsidRPr="0081603C">
        <w:rPr>
          <w:rFonts w:ascii="Arial" w:hAnsi="Arial" w:cs="Arial"/>
          <w:lang w:val="en-US"/>
        </w:rPr>
        <w:t>.</w:t>
      </w:r>
    </w:p>
    <w:p w14:paraId="7CEE2EB4" w14:textId="77777777" w:rsidR="0081603C" w:rsidRPr="0081603C" w:rsidRDefault="0081603C" w:rsidP="0081603C">
      <w:pPr>
        <w:spacing w:after="60"/>
        <w:jc w:val="both"/>
        <w:rPr>
          <w:sz w:val="22"/>
          <w:szCs w:val="22"/>
          <w:lang w:val="en-US"/>
        </w:rPr>
      </w:pPr>
    </w:p>
    <w:p w14:paraId="5882BD27" w14:textId="77777777" w:rsidR="00030A25" w:rsidRPr="002E5EEE" w:rsidRDefault="00030A25" w:rsidP="00030A25">
      <w:pPr>
        <w:keepNext/>
        <w:ind w:left="284" w:hanging="284"/>
        <w:outlineLvl w:val="1"/>
        <w:rPr>
          <w:rFonts w:ascii="Arial" w:hAnsi="Arial" w:cs="Arial"/>
          <w:b/>
          <w:bCs/>
          <w:color w:val="4F81BD" w:themeColor="accent1"/>
          <w:sz w:val="26"/>
          <w:szCs w:val="26"/>
          <w:lang w:val="en-US"/>
        </w:rPr>
      </w:pPr>
      <w:r w:rsidRPr="002E5EEE">
        <w:rPr>
          <w:rFonts w:ascii="Arial" w:hAnsi="Arial" w:cs="Arial"/>
          <w:b/>
          <w:bCs/>
          <w:color w:val="4F81BD" w:themeColor="accent1"/>
          <w:sz w:val="26"/>
          <w:szCs w:val="26"/>
          <w:lang w:val="en-US"/>
        </w:rPr>
        <w:t>3</w:t>
      </w:r>
      <w:r w:rsidR="00CE3E76" w:rsidRPr="002E5EEE">
        <w:rPr>
          <w:rFonts w:ascii="Arial" w:hAnsi="Arial" w:cs="Arial"/>
          <w:b/>
          <w:bCs/>
          <w:color w:val="4F81BD" w:themeColor="accent1"/>
          <w:sz w:val="26"/>
          <w:szCs w:val="26"/>
          <w:lang w:val="en-US"/>
        </w:rPr>
        <w:t xml:space="preserve">. </w:t>
      </w:r>
      <w:r w:rsidR="0081603C" w:rsidRPr="002E5EEE">
        <w:rPr>
          <w:rFonts w:ascii="Arial" w:hAnsi="Arial" w:cs="Arial"/>
          <w:b/>
          <w:bCs/>
          <w:color w:val="4F81BD" w:themeColor="accent1"/>
          <w:sz w:val="26"/>
          <w:szCs w:val="26"/>
          <w:lang w:val="en-US"/>
        </w:rPr>
        <w:t>The main backcasting algorithm</w:t>
      </w:r>
    </w:p>
    <w:p w14:paraId="2A9F747C" w14:textId="77777777" w:rsidR="00030A25" w:rsidRPr="002E5EEE" w:rsidRDefault="00030A25" w:rsidP="00030A25">
      <w:pPr>
        <w:keepNext/>
        <w:ind w:left="284" w:hanging="284"/>
        <w:outlineLvl w:val="1"/>
        <w:rPr>
          <w:rFonts w:ascii="Arial" w:hAnsi="Arial" w:cs="Arial"/>
          <w:lang w:val="en-US"/>
        </w:rPr>
      </w:pPr>
    </w:p>
    <w:p w14:paraId="4244816E" w14:textId="6B508963" w:rsidR="00030A25" w:rsidRPr="0081603C" w:rsidRDefault="0081603C" w:rsidP="0081603C">
      <w:pPr>
        <w:keepNext/>
        <w:jc w:val="both"/>
        <w:outlineLvl w:val="1"/>
        <w:rPr>
          <w:rFonts w:ascii="Arial" w:hAnsi="Arial" w:cs="Arial"/>
          <w:lang w:val="en-US"/>
        </w:rPr>
      </w:pPr>
      <w:r w:rsidRPr="0081603C">
        <w:rPr>
          <w:rFonts w:ascii="Arial" w:hAnsi="Arial" w:cs="Arial"/>
          <w:lang w:val="en-US"/>
        </w:rPr>
        <w:t>In view of the large number of series to be backcast</w:t>
      </w:r>
      <w:r w:rsidR="0090076F">
        <w:rPr>
          <w:rFonts w:ascii="Arial" w:hAnsi="Arial" w:cs="Arial"/>
          <w:lang w:val="en-US"/>
        </w:rPr>
        <w:t>ed</w:t>
      </w:r>
      <w:r w:rsidRPr="0081603C">
        <w:rPr>
          <w:rFonts w:ascii="Arial" w:hAnsi="Arial" w:cs="Arial"/>
          <w:lang w:val="en-US"/>
        </w:rPr>
        <w:t xml:space="preserve">, we have set up a backcasting algorithm which will form the core of our methodology and which we will describe in detail here. Because of the difficulty of making choices adapted to </w:t>
      </w:r>
      <w:r w:rsidR="0090076F">
        <w:rPr>
          <w:rFonts w:ascii="Arial" w:hAnsi="Arial" w:cs="Arial"/>
          <w:lang w:val="en-US"/>
        </w:rPr>
        <w:t>every</w:t>
      </w:r>
      <w:r w:rsidR="0090076F" w:rsidRPr="0081603C">
        <w:rPr>
          <w:rFonts w:ascii="Arial" w:hAnsi="Arial" w:cs="Arial"/>
          <w:lang w:val="en-US"/>
        </w:rPr>
        <w:t xml:space="preserve"> </w:t>
      </w:r>
      <w:r w:rsidRPr="0081603C">
        <w:rPr>
          <w:rFonts w:ascii="Arial" w:hAnsi="Arial" w:cs="Arial"/>
          <w:lang w:val="en-US"/>
        </w:rPr>
        <w:t>situations, we have also allowed ourselves a few manual adjustments, which we will detail at the end.</w:t>
      </w:r>
    </w:p>
    <w:p w14:paraId="59261E45" w14:textId="5E127C76" w:rsidR="00325362" w:rsidRDefault="00325362" w:rsidP="00030A25">
      <w:pPr>
        <w:keepNext/>
        <w:outlineLvl w:val="1"/>
        <w:rPr>
          <w:rFonts w:ascii="Arial" w:hAnsi="Arial" w:cs="Arial"/>
          <w:lang w:val="en-US"/>
        </w:rPr>
      </w:pPr>
      <w:r w:rsidRPr="00325362">
        <w:rPr>
          <w:rFonts w:ascii="Arial" w:hAnsi="Arial" w:cs="Arial"/>
          <w:lang w:val="en-US"/>
        </w:rPr>
        <w:t>In national accounts, changes in outstanding</w:t>
      </w:r>
      <w:r w:rsidR="0090076F">
        <w:rPr>
          <w:rFonts w:ascii="Arial" w:hAnsi="Arial" w:cs="Arial"/>
          <w:lang w:val="en-US"/>
        </w:rPr>
        <w:t xml:space="preserve"> amount</w:t>
      </w:r>
      <w:r w:rsidRPr="00325362">
        <w:rPr>
          <w:rFonts w:ascii="Arial" w:hAnsi="Arial" w:cs="Arial"/>
          <w:lang w:val="en-US"/>
        </w:rPr>
        <w:t xml:space="preserve">s </w:t>
      </w:r>
      <w:r w:rsidR="0090076F">
        <w:rPr>
          <w:rFonts w:ascii="Arial" w:hAnsi="Arial" w:cs="Arial"/>
          <w:lang w:val="en-US"/>
        </w:rPr>
        <w:t xml:space="preserve">(stocks) </w:t>
      </w:r>
      <w:r w:rsidRPr="00325362">
        <w:rPr>
          <w:rFonts w:ascii="Arial" w:hAnsi="Arial" w:cs="Arial"/>
          <w:lang w:val="en-US"/>
        </w:rPr>
        <w:t>between two periods are based on the following relationship:</w:t>
      </w:r>
    </w:p>
    <w:p w14:paraId="26641795" w14:textId="16F0C1BA" w:rsidR="00030A25" w:rsidRPr="00D64E98" w:rsidRDefault="00AC496F" w:rsidP="00030A25">
      <w:pPr>
        <w:keepNext/>
        <w:outlineLvl w:val="1"/>
        <w:rPr>
          <w:rFonts w:ascii="Arial" w:hAnsi="Arial" w:cs="Arial"/>
          <w:sz w:val="22"/>
          <w:szCs w:val="22"/>
          <w:lang w:val="en-US"/>
        </w:rPr>
      </w:pPr>
      <m:oMathPara>
        <m:oMath>
          <m:sSub>
            <m:sSubPr>
              <m:ctrlPr>
                <w:rPr>
                  <w:rFonts w:ascii="Cambria Math" w:hAnsi="Cambria Math" w:cs="Arial"/>
                  <w:i/>
                  <w:sz w:val="22"/>
                  <w:szCs w:val="22"/>
                </w:rPr>
              </m:ctrlPr>
            </m:sSubPr>
            <m:e>
              <m:r>
                <w:rPr>
                  <w:rFonts w:ascii="Cambria Math" w:hAnsi="Cambria Math" w:cs="Arial"/>
                  <w:sz w:val="22"/>
                  <w:szCs w:val="22"/>
                </w:rPr>
                <m:t>Stock</m:t>
              </m:r>
            </m:e>
            <m:sub>
              <m:r>
                <w:rPr>
                  <w:rFonts w:ascii="Cambria Math" w:hAnsi="Cambria Math" w:cs="Arial"/>
                  <w:sz w:val="22"/>
                  <w:szCs w:val="22"/>
                </w:rPr>
                <m:t>q</m:t>
              </m:r>
            </m:sub>
          </m:sSub>
          <m:r>
            <w:rPr>
              <w:rFonts w:ascii="Cambria Math" w:hAnsi="Cambria Math" w:cs="Arial"/>
              <w:sz w:val="22"/>
              <w:szCs w:val="22"/>
              <w:lang w:val="en-US"/>
            </w:rPr>
            <m:t>=</m:t>
          </m:r>
          <m:sSub>
            <m:sSubPr>
              <m:ctrlPr>
                <w:rPr>
                  <w:rFonts w:ascii="Cambria Math" w:hAnsi="Cambria Math" w:cs="Arial"/>
                  <w:i/>
                  <w:sz w:val="22"/>
                  <w:szCs w:val="22"/>
                </w:rPr>
              </m:ctrlPr>
            </m:sSubPr>
            <m:e>
              <m:r>
                <w:rPr>
                  <w:rFonts w:ascii="Cambria Math" w:hAnsi="Cambria Math" w:cs="Arial"/>
                  <w:sz w:val="22"/>
                  <w:szCs w:val="22"/>
                </w:rPr>
                <m:t>Stock</m:t>
              </m:r>
            </m:e>
            <m:sub>
              <m:r>
                <w:rPr>
                  <w:rFonts w:ascii="Cambria Math" w:hAnsi="Cambria Math" w:cs="Arial"/>
                  <w:sz w:val="22"/>
                  <w:szCs w:val="22"/>
                  <w:lang w:val="en-US"/>
                </w:rPr>
                <m:t>q-1</m:t>
              </m:r>
            </m:sub>
          </m:sSub>
          <m:r>
            <w:rPr>
              <w:rFonts w:ascii="Cambria Math" w:hAnsi="Cambria Math" w:cs="Arial"/>
              <w:sz w:val="22"/>
              <w:szCs w:val="22"/>
              <w:lang w:val="en-US"/>
            </w:rPr>
            <m:t>+</m:t>
          </m:r>
          <m:r>
            <w:rPr>
              <w:rFonts w:ascii="Cambria Math" w:hAnsi="Cambria Math" w:cs="Arial"/>
              <w:sz w:val="22"/>
              <w:szCs w:val="22"/>
            </w:rPr>
            <m:t>F</m:t>
          </m:r>
          <m:sSub>
            <m:sSubPr>
              <m:ctrlPr>
                <w:rPr>
                  <w:rFonts w:ascii="Cambria Math" w:hAnsi="Cambria Math" w:cs="Arial"/>
                  <w:i/>
                  <w:sz w:val="22"/>
                  <w:szCs w:val="22"/>
                </w:rPr>
              </m:ctrlPr>
            </m:sSubPr>
            <m:e>
              <m:r>
                <w:rPr>
                  <w:rFonts w:ascii="Cambria Math" w:hAnsi="Cambria Math" w:cs="Arial"/>
                  <w:sz w:val="22"/>
                  <w:szCs w:val="22"/>
                </w:rPr>
                <m:t>low</m:t>
              </m:r>
            </m:e>
            <m:sub>
              <m:r>
                <w:rPr>
                  <w:rFonts w:ascii="Cambria Math" w:hAnsi="Cambria Math" w:cs="Arial"/>
                  <w:sz w:val="22"/>
                  <w:szCs w:val="22"/>
                </w:rPr>
                <m:t>q</m:t>
              </m:r>
            </m:sub>
          </m:sSub>
          <m:r>
            <w:rPr>
              <w:rFonts w:ascii="Cambria Math" w:hAnsi="Cambria Math" w:cs="Arial"/>
              <w:sz w:val="22"/>
              <w:szCs w:val="22"/>
              <w:lang w:val="en-US"/>
            </w:rPr>
            <m:t>+</m:t>
          </m:r>
          <m:r>
            <w:rPr>
              <w:rFonts w:ascii="Cambria Math" w:hAnsi="Cambria Math" w:cs="Arial"/>
              <w:sz w:val="22"/>
              <w:szCs w:val="22"/>
            </w:rPr>
            <m:t>R</m:t>
          </m:r>
          <m:r>
            <w:rPr>
              <w:rFonts w:ascii="Cambria Math" w:hAnsi="Cambria Math" w:cs="Arial"/>
              <w:sz w:val="22"/>
              <w:szCs w:val="22"/>
              <w:lang w:val="en-US"/>
            </w:rPr>
            <m:t>e</m:t>
          </m:r>
          <m:r>
            <w:rPr>
              <w:rFonts w:ascii="Cambria Math" w:hAnsi="Cambria Math" w:cs="Arial"/>
              <w:sz w:val="22"/>
              <w:szCs w:val="22"/>
            </w:rPr>
            <m:t>valuatio</m:t>
          </m:r>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q</m:t>
              </m:r>
            </m:sub>
          </m:sSub>
          <m:r>
            <w:rPr>
              <w:rFonts w:ascii="Cambria Math" w:hAnsi="Cambria Math" w:cs="Arial"/>
              <w:sz w:val="22"/>
              <w:szCs w:val="22"/>
              <w:lang w:val="en-US"/>
            </w:rPr>
            <m:t>+</m:t>
          </m:r>
          <m:sSub>
            <m:sSubPr>
              <m:ctrlPr>
                <w:rPr>
                  <w:rFonts w:ascii="Cambria Math" w:hAnsi="Cambria Math" w:cs="Arial"/>
                  <w:i/>
                  <w:sz w:val="22"/>
                  <w:szCs w:val="22"/>
                </w:rPr>
              </m:ctrlPr>
            </m:sSubPr>
            <m:e>
              <m:r>
                <m:rPr>
                  <m:sty m:val="p"/>
                </m:rPr>
                <w:rPr>
                  <w:rFonts w:ascii="Cambria Math" w:hAnsi="Cambria Math" w:cs="Arial"/>
                  <w:sz w:val="22"/>
                  <w:szCs w:val="22"/>
                </w:rPr>
                <m:t>Other changes in volume</m:t>
              </m:r>
            </m:e>
            <m:sub>
              <m:r>
                <w:rPr>
                  <w:rFonts w:ascii="Cambria Math" w:hAnsi="Cambria Math" w:cs="Arial"/>
                  <w:sz w:val="22"/>
                  <w:szCs w:val="22"/>
                </w:rPr>
                <m:t>q</m:t>
              </m:r>
            </m:sub>
          </m:sSub>
          <m:r>
            <w:rPr>
              <w:rFonts w:ascii="Cambria Math" w:hAnsi="Cambria Math" w:cs="Arial"/>
              <w:sz w:val="22"/>
              <w:szCs w:val="22"/>
              <w:lang w:val="en-US"/>
            </w:rPr>
            <m:t xml:space="preserve"> </m:t>
          </m:r>
        </m:oMath>
      </m:oMathPara>
    </w:p>
    <w:p w14:paraId="68E972C9" w14:textId="77777777" w:rsidR="00030A25" w:rsidRPr="00325362" w:rsidRDefault="00030A25" w:rsidP="00030A25">
      <w:pPr>
        <w:keepNext/>
        <w:outlineLvl w:val="1"/>
        <w:rPr>
          <w:rFonts w:ascii="Arial" w:hAnsi="Arial" w:cs="Arial"/>
          <w:lang w:val="en-US"/>
        </w:rPr>
      </w:pPr>
    </w:p>
    <w:p w14:paraId="5EE58A0B" w14:textId="0BB3970D" w:rsidR="00D64E98" w:rsidRPr="00D64E98" w:rsidRDefault="00D64E98" w:rsidP="00B94E35">
      <w:pPr>
        <w:keepNext/>
        <w:jc w:val="both"/>
        <w:outlineLvl w:val="1"/>
        <w:rPr>
          <w:rFonts w:ascii="Arial" w:hAnsi="Arial" w:cs="Arial"/>
          <w:lang w:val="en-US"/>
        </w:rPr>
      </w:pPr>
      <w:r w:rsidRPr="00D64E98">
        <w:rPr>
          <w:rFonts w:ascii="Arial" w:hAnsi="Arial" w:cs="Arial"/>
          <w:lang w:val="en-US"/>
        </w:rPr>
        <w:t>Flows correspond to transactions carried out over the period, revaluations to the impact of changes in market prices and other changes in volume to various effects such as reclassifications (of instruments or sectors, for example), the creation or disappearance of entities, methodological changes or the use of new sources that could not be back</w:t>
      </w:r>
      <w:r w:rsidR="00AB2BC6">
        <w:rPr>
          <w:rFonts w:ascii="Arial" w:hAnsi="Arial" w:cs="Arial"/>
          <w:lang w:val="en-US"/>
        </w:rPr>
        <w:t>casted</w:t>
      </w:r>
      <w:r w:rsidRPr="00D64E98">
        <w:rPr>
          <w:rFonts w:ascii="Arial" w:hAnsi="Arial" w:cs="Arial"/>
          <w:lang w:val="en-US"/>
        </w:rPr>
        <w:t>.</w:t>
      </w:r>
    </w:p>
    <w:p w14:paraId="26EDBFF5" w14:textId="2A9E958A" w:rsidR="00D64E98" w:rsidRPr="00D64E98" w:rsidRDefault="00D64E98" w:rsidP="00B94E35">
      <w:pPr>
        <w:keepNext/>
        <w:jc w:val="both"/>
        <w:outlineLvl w:val="1"/>
        <w:rPr>
          <w:rFonts w:ascii="Arial" w:hAnsi="Arial" w:cs="Arial"/>
          <w:lang w:val="en-US"/>
        </w:rPr>
      </w:pPr>
      <w:r w:rsidRPr="00D64E98">
        <w:rPr>
          <w:rFonts w:ascii="Arial" w:hAnsi="Arial" w:cs="Arial"/>
          <w:lang w:val="en-US"/>
        </w:rPr>
        <w:t xml:space="preserve">It is natural to start backcasting stocks. In the preparation of financial accounts, most data sources are available in the form of stocks. </w:t>
      </w:r>
      <w:r w:rsidR="0090076F">
        <w:rPr>
          <w:rFonts w:ascii="Arial" w:hAnsi="Arial" w:cs="Arial"/>
          <w:lang w:val="en-US"/>
        </w:rPr>
        <w:t>Stock</w:t>
      </w:r>
      <w:r w:rsidR="0090076F" w:rsidRPr="00D64E98">
        <w:rPr>
          <w:rFonts w:ascii="Arial" w:hAnsi="Arial" w:cs="Arial"/>
          <w:lang w:val="en-US"/>
        </w:rPr>
        <w:t xml:space="preserve"> </w:t>
      </w:r>
      <w:r w:rsidRPr="00D64E98">
        <w:rPr>
          <w:rFonts w:ascii="Arial" w:hAnsi="Arial" w:cs="Arial"/>
          <w:lang w:val="en-US"/>
        </w:rPr>
        <w:t xml:space="preserve">series are therefore generally robust (in both the old and the new </w:t>
      </w:r>
      <w:r w:rsidR="00D07657">
        <w:rPr>
          <w:rFonts w:ascii="Arial" w:eastAsiaTheme="majorEastAsia" w:hAnsi="Arial" w:cs="Arial"/>
          <w:szCs w:val="30"/>
          <w:lang w:val="en-US"/>
        </w:rPr>
        <w:t>benchmark</w:t>
      </w:r>
      <w:r w:rsidRPr="00D64E98">
        <w:rPr>
          <w:rFonts w:ascii="Arial" w:hAnsi="Arial" w:cs="Arial"/>
          <w:lang w:val="en-US"/>
        </w:rPr>
        <w:t>), so it is preferable to backcast them first and then use them to backcast the other series.</w:t>
      </w:r>
      <w:r w:rsidRPr="00D64E98">
        <w:rPr>
          <w:lang w:val="en-US"/>
        </w:rPr>
        <w:t xml:space="preserve"> </w:t>
      </w:r>
      <w:r w:rsidRPr="00D64E98">
        <w:rPr>
          <w:rFonts w:ascii="Arial" w:hAnsi="Arial" w:cs="Arial"/>
          <w:lang w:val="en-US"/>
        </w:rPr>
        <w:t xml:space="preserve">As we shall see, valuation effects are fairly easy to deduce and remain closely linked to levels of </w:t>
      </w:r>
      <w:r w:rsidR="0090076F">
        <w:rPr>
          <w:rFonts w:ascii="Arial" w:hAnsi="Arial" w:cs="Arial"/>
          <w:lang w:val="en-US"/>
        </w:rPr>
        <w:t>stocks</w:t>
      </w:r>
      <w:r w:rsidRPr="00D64E98">
        <w:rPr>
          <w:rFonts w:ascii="Arial" w:hAnsi="Arial" w:cs="Arial"/>
          <w:lang w:val="en-US"/>
        </w:rPr>
        <w:t xml:space="preserve">. The question then arises whether to try to backcast flows (using a method more or less similar to that used for </w:t>
      </w:r>
      <w:r w:rsidR="0090076F">
        <w:rPr>
          <w:rFonts w:ascii="Arial" w:hAnsi="Arial" w:cs="Arial"/>
          <w:lang w:val="en-US"/>
        </w:rPr>
        <w:t>stocks</w:t>
      </w:r>
      <w:r w:rsidRPr="00D64E98">
        <w:rPr>
          <w:rFonts w:ascii="Arial" w:hAnsi="Arial" w:cs="Arial"/>
          <w:lang w:val="en-US"/>
        </w:rPr>
        <w:t>) and deduce other changes in volume using the formula above, or conversely to backcast changes in volume and deduce flows. We have tested both approaches, each of which has its advantages and disadvantages. It turns out that if flows are back</w:t>
      </w:r>
      <w:r w:rsidR="0090076F">
        <w:rPr>
          <w:rFonts w:ascii="Arial" w:hAnsi="Arial" w:cs="Arial"/>
          <w:lang w:val="en-US"/>
        </w:rPr>
        <w:t>cas</w:t>
      </w:r>
      <w:r w:rsidRPr="00D64E98">
        <w:rPr>
          <w:rFonts w:ascii="Arial" w:hAnsi="Arial" w:cs="Arial"/>
          <w:lang w:val="en-US"/>
        </w:rPr>
        <w:t>ted, there will inevitably be differences in the consistency of the back</w:t>
      </w:r>
      <w:r w:rsidR="0090076F">
        <w:rPr>
          <w:rFonts w:ascii="Arial" w:hAnsi="Arial" w:cs="Arial"/>
          <w:lang w:val="en-US"/>
        </w:rPr>
        <w:t>casting</w:t>
      </w:r>
      <w:r w:rsidRPr="00D64E98">
        <w:rPr>
          <w:rFonts w:ascii="Arial" w:hAnsi="Arial" w:cs="Arial"/>
          <w:lang w:val="en-US"/>
        </w:rPr>
        <w:t xml:space="preserve"> of </w:t>
      </w:r>
      <w:r w:rsidR="0090076F">
        <w:rPr>
          <w:rFonts w:ascii="Arial" w:hAnsi="Arial" w:cs="Arial"/>
          <w:lang w:val="en-US"/>
        </w:rPr>
        <w:t>stocks</w:t>
      </w:r>
      <w:r w:rsidR="0090076F" w:rsidRPr="00D64E98">
        <w:rPr>
          <w:rFonts w:ascii="Arial" w:hAnsi="Arial" w:cs="Arial"/>
          <w:lang w:val="en-US"/>
        </w:rPr>
        <w:t xml:space="preserve"> </w:t>
      </w:r>
      <w:r w:rsidRPr="00D64E98">
        <w:rPr>
          <w:rFonts w:ascii="Arial" w:hAnsi="Arial" w:cs="Arial"/>
          <w:lang w:val="en-US"/>
        </w:rPr>
        <w:t xml:space="preserve">on the one hand and flows on the other. These differences will then create values for other changes in volume that are too noisy to be usable in practice and too different from what was observed for the old </w:t>
      </w:r>
      <w:r w:rsidR="0090076F">
        <w:rPr>
          <w:rFonts w:ascii="Arial" w:hAnsi="Arial" w:cs="Arial"/>
          <w:lang w:val="en-US"/>
        </w:rPr>
        <w:t>benchmark</w:t>
      </w:r>
      <w:r w:rsidRPr="00D64E98">
        <w:rPr>
          <w:rFonts w:ascii="Arial" w:hAnsi="Arial" w:cs="Arial"/>
          <w:lang w:val="en-US"/>
        </w:rPr>
        <w:t>, even for instruments that were not impacted very much. We have therefore chosen to back</w:t>
      </w:r>
      <w:r w:rsidR="0090076F">
        <w:rPr>
          <w:rFonts w:ascii="Arial" w:hAnsi="Arial" w:cs="Arial"/>
          <w:lang w:val="en-US"/>
        </w:rPr>
        <w:t>cast</w:t>
      </w:r>
      <w:r w:rsidRPr="00D64E98">
        <w:rPr>
          <w:rFonts w:ascii="Arial" w:hAnsi="Arial" w:cs="Arial"/>
          <w:lang w:val="en-US"/>
        </w:rPr>
        <w:t xml:space="preserve"> the other </w:t>
      </w:r>
      <w:r w:rsidR="0090076F" w:rsidRPr="00D64E98">
        <w:rPr>
          <w:rFonts w:ascii="Arial" w:hAnsi="Arial" w:cs="Arial"/>
          <w:lang w:val="en-US"/>
        </w:rPr>
        <w:t xml:space="preserve">changes </w:t>
      </w:r>
      <w:r w:rsidR="0090076F">
        <w:rPr>
          <w:rFonts w:ascii="Arial" w:hAnsi="Arial" w:cs="Arial"/>
          <w:lang w:val="en-US"/>
        </w:rPr>
        <w:t xml:space="preserve">in </w:t>
      </w:r>
      <w:r w:rsidRPr="00D64E98">
        <w:rPr>
          <w:rFonts w:ascii="Arial" w:hAnsi="Arial" w:cs="Arial"/>
          <w:lang w:val="en-US"/>
        </w:rPr>
        <w:t>volume and deduce the flows from them, even though, as we shall see, back</w:t>
      </w:r>
      <w:r w:rsidR="0090076F">
        <w:rPr>
          <w:rFonts w:ascii="Arial" w:hAnsi="Arial" w:cs="Arial"/>
          <w:lang w:val="en-US"/>
        </w:rPr>
        <w:t>cating</w:t>
      </w:r>
      <w:r w:rsidRPr="00D64E98">
        <w:rPr>
          <w:rFonts w:ascii="Arial" w:hAnsi="Arial" w:cs="Arial"/>
          <w:lang w:val="en-US"/>
        </w:rPr>
        <w:t xml:space="preserve"> these changes </w:t>
      </w:r>
      <w:r w:rsidR="00315025">
        <w:rPr>
          <w:rFonts w:ascii="Arial" w:hAnsi="Arial" w:cs="Arial"/>
          <w:lang w:val="en-US"/>
        </w:rPr>
        <w:t xml:space="preserve">in volume </w:t>
      </w:r>
      <w:r w:rsidRPr="00D64E98">
        <w:rPr>
          <w:rFonts w:ascii="Arial" w:hAnsi="Arial" w:cs="Arial"/>
          <w:lang w:val="en-US"/>
        </w:rPr>
        <w:t xml:space="preserve">proves </w:t>
      </w:r>
      <w:r w:rsidR="00315025">
        <w:rPr>
          <w:rFonts w:ascii="Arial" w:hAnsi="Arial" w:cs="Arial"/>
          <w:lang w:val="en-US"/>
        </w:rPr>
        <w:t xml:space="preserve">to be </w:t>
      </w:r>
      <w:r w:rsidRPr="00D64E98">
        <w:rPr>
          <w:rFonts w:ascii="Arial" w:hAnsi="Arial" w:cs="Arial"/>
          <w:lang w:val="en-US"/>
        </w:rPr>
        <w:t>tricky.</w:t>
      </w:r>
    </w:p>
    <w:p w14:paraId="09E9EC6E" w14:textId="77777777" w:rsidR="00D64E98" w:rsidRPr="00D64E98" w:rsidRDefault="00D64E98" w:rsidP="00D64E98">
      <w:pPr>
        <w:keepNext/>
        <w:outlineLvl w:val="1"/>
        <w:rPr>
          <w:rFonts w:ascii="Arial" w:hAnsi="Arial" w:cs="Arial"/>
          <w:lang w:val="en-US"/>
        </w:rPr>
      </w:pPr>
    </w:p>
    <w:p w14:paraId="6E1FE3F1" w14:textId="20DBA5FA" w:rsidR="00030A25" w:rsidRPr="00D64E98" w:rsidRDefault="00D64E98" w:rsidP="001D0E62">
      <w:pPr>
        <w:keepNext/>
        <w:jc w:val="both"/>
        <w:outlineLvl w:val="1"/>
        <w:rPr>
          <w:rFonts w:ascii="Arial" w:hAnsi="Arial" w:cs="Arial"/>
          <w:lang w:val="en-US"/>
        </w:rPr>
      </w:pPr>
      <w:r w:rsidRPr="00D64E98">
        <w:rPr>
          <w:rFonts w:ascii="Arial" w:hAnsi="Arial" w:cs="Arial"/>
          <w:lang w:val="en-US"/>
        </w:rPr>
        <w:t xml:space="preserve">In what follows, we will describe in turn the choices made for backcasting </w:t>
      </w:r>
      <w:r w:rsidR="00315025">
        <w:rPr>
          <w:rFonts w:ascii="Arial" w:hAnsi="Arial" w:cs="Arial"/>
          <w:lang w:val="en-US"/>
        </w:rPr>
        <w:t>stocks</w:t>
      </w:r>
      <w:r w:rsidRPr="00D64E98">
        <w:rPr>
          <w:rFonts w:ascii="Arial" w:hAnsi="Arial" w:cs="Arial"/>
          <w:lang w:val="en-US"/>
        </w:rPr>
        <w:t>, revaluation effects and changes in volume. As indicated, flows will be deduced from knowledge of the three preceding quantities.</w:t>
      </w:r>
    </w:p>
    <w:p w14:paraId="5878864A" w14:textId="77777777" w:rsidR="00CE3E76" w:rsidRPr="00D64E98" w:rsidRDefault="00CE3E76" w:rsidP="00CE3E76">
      <w:pPr>
        <w:keepNext/>
        <w:outlineLvl w:val="1"/>
        <w:rPr>
          <w:rFonts w:ascii="Arial" w:hAnsi="Arial" w:cs="Arial"/>
          <w:b/>
          <w:bCs/>
          <w:color w:val="007D69"/>
          <w:lang w:val="en-US"/>
        </w:rPr>
      </w:pPr>
    </w:p>
    <w:p w14:paraId="22C4BAE6" w14:textId="257B2F4E" w:rsidR="0080460B" w:rsidRPr="00747D39" w:rsidRDefault="0080460B" w:rsidP="0080460B">
      <w:pPr>
        <w:keepNext/>
        <w:spacing w:before="240" w:after="120"/>
        <w:ind w:left="567" w:hanging="567"/>
        <w:outlineLvl w:val="3"/>
        <w:rPr>
          <w:rFonts w:ascii="Arial" w:hAnsi="Arial" w:cs="Arial"/>
          <w:color w:val="4F81BD" w:themeColor="accent1"/>
          <w:sz w:val="22"/>
          <w:szCs w:val="22"/>
          <w:lang w:val="en-US"/>
        </w:rPr>
      </w:pPr>
      <w:r w:rsidRPr="00747D39">
        <w:rPr>
          <w:rFonts w:ascii="Arial" w:hAnsi="Arial" w:cs="Arial"/>
          <w:color w:val="4F81BD" w:themeColor="accent1"/>
          <w:sz w:val="22"/>
          <w:szCs w:val="22"/>
          <w:lang w:val="en-US"/>
        </w:rPr>
        <w:t>3.1.</w:t>
      </w:r>
      <w:r w:rsidRPr="00747D39">
        <w:rPr>
          <w:rFonts w:ascii="Arial" w:hAnsi="Arial" w:cs="Arial"/>
          <w:color w:val="4F81BD" w:themeColor="accent1"/>
          <w:sz w:val="22"/>
          <w:szCs w:val="22"/>
          <w:lang w:val="en-US"/>
        </w:rPr>
        <w:tab/>
      </w:r>
      <w:r w:rsidR="00D64E98" w:rsidRPr="00747D39">
        <w:rPr>
          <w:rFonts w:ascii="Arial" w:hAnsi="Arial" w:cs="Arial"/>
          <w:color w:val="4F81BD" w:themeColor="accent1"/>
          <w:sz w:val="22"/>
          <w:szCs w:val="22"/>
          <w:lang w:val="en-US"/>
        </w:rPr>
        <w:t xml:space="preserve">Backcasting of </w:t>
      </w:r>
      <w:r w:rsidR="00033658">
        <w:rPr>
          <w:rFonts w:ascii="Arial" w:hAnsi="Arial" w:cs="Arial"/>
          <w:color w:val="4F81BD" w:themeColor="accent1"/>
          <w:sz w:val="22"/>
          <w:szCs w:val="22"/>
          <w:lang w:val="en-US"/>
        </w:rPr>
        <w:t>stocks</w:t>
      </w:r>
    </w:p>
    <w:p w14:paraId="7042C040" w14:textId="77777777" w:rsidR="00CE3E76" w:rsidRPr="00747D39" w:rsidRDefault="00CE3E76" w:rsidP="00CE3E76">
      <w:pPr>
        <w:rPr>
          <w:lang w:val="en-US"/>
        </w:rPr>
      </w:pPr>
    </w:p>
    <w:p w14:paraId="4BD64804" w14:textId="1AA04887" w:rsidR="00747D39" w:rsidRDefault="00747D39" w:rsidP="0080460B">
      <w:pPr>
        <w:jc w:val="both"/>
        <w:rPr>
          <w:rFonts w:ascii="Arial" w:hAnsi="Arial" w:cs="Arial"/>
          <w:lang w:val="en-US"/>
        </w:rPr>
      </w:pPr>
      <w:r w:rsidRPr="00747D39">
        <w:rPr>
          <w:rFonts w:ascii="Arial" w:hAnsi="Arial" w:cs="Arial"/>
          <w:lang w:val="en-US"/>
        </w:rPr>
        <w:lastRenderedPageBreak/>
        <w:t xml:space="preserve">For </w:t>
      </w:r>
      <w:r w:rsidR="00ED3D7B">
        <w:rPr>
          <w:rFonts w:ascii="Arial" w:hAnsi="Arial" w:cs="Arial"/>
          <w:lang w:val="en-US"/>
        </w:rPr>
        <w:t>stocks</w:t>
      </w:r>
      <w:r w:rsidR="00ED3D7B" w:rsidRPr="00747D39">
        <w:rPr>
          <w:rFonts w:ascii="Arial" w:hAnsi="Arial" w:cs="Arial"/>
          <w:lang w:val="en-US"/>
        </w:rPr>
        <w:t xml:space="preserve"> </w:t>
      </w:r>
      <w:r w:rsidRPr="00747D39">
        <w:rPr>
          <w:rFonts w:ascii="Arial" w:hAnsi="Arial" w:cs="Arial"/>
          <w:lang w:val="en-US"/>
        </w:rPr>
        <w:t xml:space="preserve">(noted </w:t>
      </w:r>
      <w:r w:rsidR="00ED3D7B">
        <w:rPr>
          <w:rFonts w:ascii="Arial" w:hAnsi="Arial" w:cs="Arial"/>
          <w:lang w:val="en-US"/>
        </w:rPr>
        <w:t>S</w:t>
      </w:r>
      <w:r w:rsidR="00ED3D7B" w:rsidRPr="00747D39">
        <w:rPr>
          <w:rFonts w:ascii="Arial" w:hAnsi="Arial" w:cs="Arial"/>
          <w:lang w:val="en-US"/>
        </w:rPr>
        <w:t xml:space="preserve"> </w:t>
      </w:r>
      <w:r w:rsidRPr="00747D39">
        <w:rPr>
          <w:rFonts w:ascii="Arial" w:hAnsi="Arial" w:cs="Arial"/>
          <w:lang w:val="en-US"/>
        </w:rPr>
        <w:t xml:space="preserve">hereafter), the choice made was to retain the current 2014 </w:t>
      </w:r>
      <w:r w:rsidR="00ED3D7B">
        <w:rPr>
          <w:rFonts w:ascii="Arial" w:hAnsi="Arial" w:cs="Arial"/>
          <w:lang w:val="en-US"/>
        </w:rPr>
        <w:t>benchmark</w:t>
      </w:r>
      <w:r w:rsidRPr="00747D39">
        <w:rPr>
          <w:rFonts w:ascii="Arial" w:hAnsi="Arial" w:cs="Arial"/>
          <w:lang w:val="en-US"/>
        </w:rPr>
        <w:t xml:space="preserve"> from 1995 to the present day, then to calculate the annual growth rates observed in </w:t>
      </w:r>
      <w:r w:rsidR="00ED3D7B" w:rsidRPr="00747D39">
        <w:rPr>
          <w:rFonts w:ascii="Arial" w:hAnsi="Arial" w:cs="Arial"/>
          <w:lang w:val="en-US"/>
        </w:rPr>
        <w:t xml:space="preserve">2000 </w:t>
      </w:r>
      <w:r w:rsidR="00ED3D7B">
        <w:rPr>
          <w:rFonts w:ascii="Arial" w:hAnsi="Arial" w:cs="Arial"/>
          <w:lang w:val="en-US"/>
        </w:rPr>
        <w:t>benchmark</w:t>
      </w:r>
      <w:r w:rsidRPr="00747D39">
        <w:rPr>
          <w:rFonts w:ascii="Arial" w:hAnsi="Arial" w:cs="Arial"/>
          <w:lang w:val="en-US"/>
        </w:rPr>
        <w:t xml:space="preserve"> over the period from 1977 to 1995 and to apply these growth rates backwards to the </w:t>
      </w:r>
      <w:r w:rsidR="00ED3D7B">
        <w:rPr>
          <w:rFonts w:ascii="Arial" w:hAnsi="Arial" w:cs="Arial"/>
          <w:lang w:val="en-US"/>
        </w:rPr>
        <w:t>stocks</w:t>
      </w:r>
      <w:r w:rsidR="00ED3D7B" w:rsidRPr="00747D39">
        <w:rPr>
          <w:rFonts w:ascii="Arial" w:hAnsi="Arial" w:cs="Arial"/>
          <w:lang w:val="en-US"/>
        </w:rPr>
        <w:t xml:space="preserve"> </w:t>
      </w:r>
      <w:r w:rsidRPr="00747D39">
        <w:rPr>
          <w:rFonts w:ascii="Arial" w:hAnsi="Arial" w:cs="Arial"/>
          <w:lang w:val="en-US"/>
        </w:rPr>
        <w:t xml:space="preserve">data previously obtained in order to go back in time in the new </w:t>
      </w:r>
      <w:r w:rsidR="00ED3D7B">
        <w:rPr>
          <w:rFonts w:ascii="Arial" w:hAnsi="Arial" w:cs="Arial"/>
          <w:lang w:val="en-US"/>
        </w:rPr>
        <w:t>benchmark</w:t>
      </w:r>
      <w:r w:rsidRPr="00747D39">
        <w:rPr>
          <w:rFonts w:ascii="Arial" w:hAnsi="Arial" w:cs="Arial"/>
          <w:lang w:val="en-US"/>
        </w:rPr>
        <w:t>.</w:t>
      </w:r>
    </w:p>
    <w:p w14:paraId="7695A987" w14:textId="1EC98C08" w:rsidR="0080460B" w:rsidRPr="00747D39" w:rsidRDefault="00AC496F" w:rsidP="0080460B">
      <w:pPr>
        <w:jc w:val="both"/>
        <w:rPr>
          <w:rFonts w:ascii="Arial" w:hAnsi="Arial" w:cs="Arial"/>
          <w:lang w:val="en-US"/>
        </w:rPr>
      </w:pPr>
      <m:oMathPara>
        <m:oMath>
          <m:sSub>
            <m:sSubPr>
              <m:ctrlPr>
                <w:rPr>
                  <w:rFonts w:ascii="Cambria Math" w:hAnsi="Cambria Math" w:cs="Arial"/>
                  <w:i/>
                  <w:sz w:val="22"/>
                </w:rPr>
              </m:ctrlPr>
            </m:sSubPr>
            <m:e>
              <m:r>
                <w:rPr>
                  <w:rFonts w:ascii="Cambria Math" w:hAnsi="Cambria Math" w:cs="Arial"/>
                  <w:sz w:val="22"/>
                </w:rPr>
                <m:t>S</m:t>
              </m:r>
            </m:e>
            <m:sub>
              <m:r>
                <w:rPr>
                  <w:rFonts w:ascii="Cambria Math" w:hAnsi="Cambria Math" w:cs="Arial"/>
                  <w:sz w:val="22"/>
                </w:rPr>
                <m:t>N</m:t>
              </m:r>
              <m:r>
                <w:rPr>
                  <w:rFonts w:ascii="Cambria Math" w:hAnsi="Cambria Math" w:cs="Arial"/>
                  <w:sz w:val="22"/>
                  <w:lang w:val="en-US"/>
                </w:rPr>
                <m:t xml:space="preserve">-1, </m:t>
              </m:r>
              <m:r>
                <w:rPr>
                  <w:rFonts w:ascii="Cambria Math" w:hAnsi="Cambria Math" w:cs="Arial"/>
                  <w:sz w:val="22"/>
                </w:rPr>
                <m:t>benchmark</m:t>
              </m:r>
              <m:r>
                <w:rPr>
                  <w:rFonts w:ascii="Cambria Math" w:hAnsi="Cambria Math" w:cs="Arial"/>
                  <w:sz w:val="22"/>
                  <w:lang w:val="en-US"/>
                </w:rPr>
                <m:t xml:space="preserve"> </m:t>
              </m:r>
              <m:r>
                <w:rPr>
                  <w:rFonts w:ascii="Cambria Math" w:hAnsi="Cambria Math" w:cs="Arial"/>
                  <w:sz w:val="24"/>
                  <w:lang w:val="en-US"/>
                </w:rPr>
                <m:t>2014</m:t>
              </m:r>
            </m:sub>
          </m:sSub>
          <m:r>
            <w:rPr>
              <w:rFonts w:ascii="Cambria Math" w:hAnsi="Cambria Math" w:cs="Arial"/>
              <w:sz w:val="22"/>
              <w:lang w:val="en-US"/>
            </w:rPr>
            <m:t>=</m:t>
          </m:r>
          <m:sSub>
            <m:sSubPr>
              <m:ctrlPr>
                <w:rPr>
                  <w:rFonts w:ascii="Cambria Math" w:hAnsi="Cambria Math" w:cs="Arial"/>
                  <w:i/>
                  <w:sz w:val="22"/>
                </w:rPr>
              </m:ctrlPr>
            </m:sSubPr>
            <m:e>
              <m:r>
                <w:rPr>
                  <w:rFonts w:ascii="Cambria Math" w:hAnsi="Cambria Math" w:cs="Arial"/>
                  <w:sz w:val="22"/>
                </w:rPr>
                <m:t>S</m:t>
              </m:r>
            </m:e>
            <m:sub>
              <m:r>
                <w:rPr>
                  <w:rFonts w:ascii="Cambria Math" w:hAnsi="Cambria Math" w:cs="Arial"/>
                  <w:sz w:val="22"/>
                </w:rPr>
                <m:t>N</m:t>
              </m:r>
              <m:r>
                <w:rPr>
                  <w:rFonts w:ascii="Cambria Math" w:hAnsi="Cambria Math" w:cs="Arial"/>
                  <w:sz w:val="22"/>
                  <w:lang w:val="en-US"/>
                </w:rPr>
                <m:t xml:space="preserve">, </m:t>
              </m:r>
              <m:r>
                <w:rPr>
                  <w:rFonts w:ascii="Cambria Math" w:hAnsi="Cambria Math" w:cs="Arial"/>
                  <w:sz w:val="22"/>
                </w:rPr>
                <m:t>benchmark</m:t>
              </m:r>
              <m:r>
                <w:rPr>
                  <w:rFonts w:ascii="Cambria Math" w:hAnsi="Cambria Math" w:cs="Arial"/>
                  <w:sz w:val="22"/>
                  <w:lang w:val="en-US"/>
                </w:rPr>
                <m:t>2014</m:t>
              </m:r>
            </m:sub>
          </m:sSub>
          <m:r>
            <w:rPr>
              <w:rFonts w:ascii="Cambria Math" w:hAnsi="Cambria Math" w:cs="Arial"/>
              <w:sz w:val="22"/>
              <w:lang w:val="en-US"/>
            </w:rPr>
            <m:t>*</m:t>
          </m:r>
          <m:f>
            <m:fPr>
              <m:ctrlPr>
                <w:rPr>
                  <w:rFonts w:ascii="Cambria Math" w:hAnsi="Cambria Math" w:cs="Arial"/>
                  <w:i/>
                  <w:sz w:val="22"/>
                </w:rPr>
              </m:ctrlPr>
            </m:fPr>
            <m:num>
              <m:sSub>
                <m:sSubPr>
                  <m:ctrlPr>
                    <w:rPr>
                      <w:rFonts w:ascii="Cambria Math" w:hAnsi="Cambria Math" w:cs="Arial"/>
                      <w:i/>
                      <w:sz w:val="22"/>
                    </w:rPr>
                  </m:ctrlPr>
                </m:sSubPr>
                <m:e>
                  <m:r>
                    <w:rPr>
                      <w:rFonts w:ascii="Cambria Math" w:hAnsi="Cambria Math" w:cs="Arial"/>
                      <w:sz w:val="22"/>
                    </w:rPr>
                    <m:t>S</m:t>
                  </m:r>
                </m:e>
                <m:sub>
                  <m:r>
                    <w:rPr>
                      <w:rFonts w:ascii="Cambria Math" w:hAnsi="Cambria Math" w:cs="Arial"/>
                      <w:sz w:val="22"/>
                    </w:rPr>
                    <m:t>N</m:t>
                  </m:r>
                  <m:r>
                    <w:rPr>
                      <w:rFonts w:ascii="Cambria Math" w:hAnsi="Cambria Math" w:cs="Arial"/>
                      <w:sz w:val="22"/>
                      <w:lang w:val="en-US"/>
                    </w:rPr>
                    <m:t xml:space="preserve">-1, </m:t>
                  </m:r>
                  <m:r>
                    <w:rPr>
                      <w:rFonts w:ascii="Cambria Math" w:hAnsi="Cambria Math" w:cs="Arial"/>
                      <w:sz w:val="22"/>
                    </w:rPr>
                    <m:t>benchmark</m:t>
                  </m:r>
                  <m:r>
                    <w:rPr>
                      <w:rFonts w:ascii="Cambria Math" w:hAnsi="Cambria Math" w:cs="Arial"/>
                      <w:sz w:val="22"/>
                      <w:lang w:val="en-US"/>
                    </w:rPr>
                    <m:t>2000</m:t>
                  </m:r>
                </m:sub>
              </m:sSub>
            </m:num>
            <m:den>
              <m:sSub>
                <m:sSubPr>
                  <m:ctrlPr>
                    <w:rPr>
                      <w:rFonts w:ascii="Cambria Math" w:hAnsi="Cambria Math" w:cs="Arial"/>
                      <w:i/>
                      <w:sz w:val="22"/>
                    </w:rPr>
                  </m:ctrlPr>
                </m:sSubPr>
                <m:e>
                  <m:r>
                    <w:rPr>
                      <w:rFonts w:ascii="Cambria Math" w:hAnsi="Cambria Math" w:cs="Arial"/>
                      <w:sz w:val="22"/>
                    </w:rPr>
                    <m:t>S</m:t>
                  </m:r>
                </m:e>
                <m:sub>
                  <m:r>
                    <w:rPr>
                      <w:rFonts w:ascii="Cambria Math" w:hAnsi="Cambria Math" w:cs="Arial"/>
                      <w:sz w:val="22"/>
                    </w:rPr>
                    <m:t>N</m:t>
                  </m:r>
                  <m:r>
                    <w:rPr>
                      <w:rFonts w:ascii="Cambria Math" w:hAnsi="Cambria Math" w:cs="Arial"/>
                      <w:sz w:val="22"/>
                      <w:lang w:val="en-US"/>
                    </w:rPr>
                    <m:t xml:space="preserve">, </m:t>
                  </m:r>
                  <m:r>
                    <w:rPr>
                      <w:rFonts w:ascii="Cambria Math" w:hAnsi="Cambria Math" w:cs="Arial"/>
                      <w:sz w:val="22"/>
                    </w:rPr>
                    <m:t>benchmark</m:t>
                  </m:r>
                  <m:r>
                    <w:rPr>
                      <w:rFonts w:ascii="Cambria Math" w:hAnsi="Cambria Math" w:cs="Arial"/>
                      <w:sz w:val="22"/>
                      <w:lang w:val="en-US"/>
                    </w:rPr>
                    <m:t>2000</m:t>
                  </m:r>
                </m:sub>
              </m:sSub>
            </m:den>
          </m:f>
        </m:oMath>
      </m:oMathPara>
    </w:p>
    <w:p w14:paraId="66958558" w14:textId="6F791225" w:rsidR="00747D39" w:rsidRPr="00747D39" w:rsidRDefault="00747D39" w:rsidP="00747D39">
      <w:pPr>
        <w:jc w:val="both"/>
        <w:rPr>
          <w:rFonts w:ascii="Arial" w:hAnsi="Arial" w:cs="Arial"/>
          <w:lang w:val="en-US"/>
        </w:rPr>
      </w:pPr>
      <w:r w:rsidRPr="00747D39">
        <w:rPr>
          <w:rFonts w:ascii="Arial" w:hAnsi="Arial" w:cs="Arial"/>
          <w:lang w:val="en-US"/>
        </w:rPr>
        <w:t xml:space="preserve">This makes it possible to align the two </w:t>
      </w:r>
      <w:r w:rsidR="00ED3D7B">
        <w:rPr>
          <w:rFonts w:ascii="Arial" w:hAnsi="Arial" w:cs="Arial"/>
          <w:lang w:val="en-US"/>
        </w:rPr>
        <w:t>benchmark</w:t>
      </w:r>
      <w:r w:rsidRPr="00747D39">
        <w:rPr>
          <w:rFonts w:ascii="Arial" w:hAnsi="Arial" w:cs="Arial"/>
          <w:lang w:val="en-US"/>
        </w:rPr>
        <w:t xml:space="preserve">s perfectly for the 1995 transition year and to maintain the dynamics as observed in </w:t>
      </w:r>
      <w:r w:rsidR="00ED3D7B">
        <w:rPr>
          <w:rFonts w:ascii="Arial" w:hAnsi="Arial" w:cs="Arial"/>
          <w:lang w:val="en-US"/>
        </w:rPr>
        <w:t>benchmark</w:t>
      </w:r>
      <w:r w:rsidRPr="00747D39">
        <w:rPr>
          <w:rFonts w:ascii="Arial" w:hAnsi="Arial" w:cs="Arial"/>
          <w:lang w:val="en-US"/>
        </w:rPr>
        <w:t xml:space="preserve"> 2000. </w:t>
      </w:r>
    </w:p>
    <w:p w14:paraId="112970FD" w14:textId="73C267DE" w:rsidR="00747D39" w:rsidRPr="00747D39" w:rsidRDefault="00747D39" w:rsidP="00747D39">
      <w:pPr>
        <w:jc w:val="both"/>
        <w:rPr>
          <w:rFonts w:ascii="Arial" w:hAnsi="Arial" w:cs="Arial"/>
          <w:lang w:val="en-US"/>
        </w:rPr>
      </w:pPr>
      <w:r w:rsidRPr="00747D39">
        <w:rPr>
          <w:rFonts w:ascii="Arial" w:hAnsi="Arial" w:cs="Arial"/>
          <w:lang w:val="en-US"/>
        </w:rPr>
        <w:t xml:space="preserve">When the series in </w:t>
      </w:r>
      <w:r w:rsidR="00ED3D7B">
        <w:rPr>
          <w:rFonts w:ascii="Arial" w:hAnsi="Arial" w:cs="Arial"/>
          <w:lang w:val="en-US"/>
        </w:rPr>
        <w:t>benchmark</w:t>
      </w:r>
      <w:r w:rsidRPr="00747D39">
        <w:rPr>
          <w:rFonts w:ascii="Arial" w:hAnsi="Arial" w:cs="Arial"/>
          <w:lang w:val="en-US"/>
        </w:rPr>
        <w:t xml:space="preserve"> 2000 and </w:t>
      </w:r>
      <w:r w:rsidR="00ED3D7B">
        <w:rPr>
          <w:rFonts w:ascii="Arial" w:hAnsi="Arial" w:cs="Arial"/>
          <w:lang w:val="en-US"/>
        </w:rPr>
        <w:t>benchmark</w:t>
      </w:r>
      <w:r w:rsidRPr="00747D39">
        <w:rPr>
          <w:rFonts w:ascii="Arial" w:hAnsi="Arial" w:cs="Arial"/>
          <w:lang w:val="en-US"/>
        </w:rPr>
        <w:t xml:space="preserve"> 2014 are close, the approach raises few questions and seems robust. However, there are cases where the series in the 2 </w:t>
      </w:r>
      <w:r w:rsidR="00ED3D7B">
        <w:rPr>
          <w:rFonts w:ascii="Arial" w:hAnsi="Arial" w:cs="Arial"/>
          <w:lang w:val="en-US"/>
        </w:rPr>
        <w:t>benchmark</w:t>
      </w:r>
      <w:r w:rsidRPr="00747D39">
        <w:rPr>
          <w:rFonts w:ascii="Arial" w:hAnsi="Arial" w:cs="Arial"/>
          <w:lang w:val="en-US"/>
        </w:rPr>
        <w:t xml:space="preserve">s are quite far apart, despite the work described in part 2 to associate and reconcile the series as closely as possible. These differences are most often due to improvements in the methodologies and sources used since the 2000 </w:t>
      </w:r>
      <w:r w:rsidR="00ED3D7B">
        <w:rPr>
          <w:rFonts w:ascii="Arial" w:hAnsi="Arial" w:cs="Arial"/>
          <w:lang w:val="en-US"/>
        </w:rPr>
        <w:t>benchmark</w:t>
      </w:r>
      <w:r w:rsidR="00ED3D7B" w:rsidRPr="00747D39">
        <w:rPr>
          <w:rFonts w:ascii="Arial" w:hAnsi="Arial" w:cs="Arial"/>
          <w:lang w:val="en-US"/>
        </w:rPr>
        <w:t xml:space="preserve"> </w:t>
      </w:r>
      <w:r w:rsidRPr="00747D39">
        <w:rPr>
          <w:rFonts w:ascii="Arial" w:hAnsi="Arial" w:cs="Arial"/>
          <w:lang w:val="en-US"/>
        </w:rPr>
        <w:t>(for example, a new source of data is available, or an old source provides finer levels of detail from a certain date onwards, making it possible to produce more accurate national accounts statistics). In these cases, where the series are further apart, the methodology is probably more fragile, but it is also difficult to improve, both because of the inability to trace the past causes of the discrepancies in each case and because of the absence of alternative data that would allow potentially appropriate corrections to be made.</w:t>
      </w:r>
    </w:p>
    <w:p w14:paraId="7DE06296" w14:textId="0417A524" w:rsidR="0080460B" w:rsidRPr="00747D39" w:rsidRDefault="00747D39" w:rsidP="00747D39">
      <w:pPr>
        <w:jc w:val="both"/>
        <w:rPr>
          <w:rFonts w:ascii="Arial" w:hAnsi="Arial" w:cs="Arial"/>
          <w:lang w:val="en-US"/>
        </w:rPr>
      </w:pPr>
      <w:r w:rsidRPr="00747D39">
        <w:rPr>
          <w:rFonts w:ascii="Arial" w:hAnsi="Arial" w:cs="Arial"/>
          <w:lang w:val="en-US"/>
        </w:rPr>
        <w:t xml:space="preserve">The following two graphs give examples of backcasting in a case where the series between the 2 </w:t>
      </w:r>
      <w:r w:rsidR="00ED3D7B">
        <w:rPr>
          <w:rFonts w:ascii="Arial" w:hAnsi="Arial" w:cs="Arial"/>
          <w:lang w:val="en-US"/>
        </w:rPr>
        <w:t>benchmarks</w:t>
      </w:r>
      <w:r w:rsidR="00ED3D7B" w:rsidRPr="00747D39">
        <w:rPr>
          <w:rFonts w:ascii="Arial" w:hAnsi="Arial" w:cs="Arial"/>
          <w:lang w:val="en-US"/>
        </w:rPr>
        <w:t xml:space="preserve"> </w:t>
      </w:r>
      <w:r w:rsidRPr="00747D39">
        <w:rPr>
          <w:rFonts w:ascii="Arial" w:hAnsi="Arial" w:cs="Arial"/>
          <w:lang w:val="en-US"/>
        </w:rPr>
        <w:t>are similar, and then in a case where the series differ more significantly.</w:t>
      </w:r>
    </w:p>
    <w:p w14:paraId="24331C0A" w14:textId="77777777" w:rsidR="0080460B" w:rsidRPr="00747D39" w:rsidRDefault="0080460B" w:rsidP="0080460B">
      <w:pPr>
        <w:jc w:val="both"/>
        <w:rPr>
          <w:rFonts w:ascii="Arial" w:hAnsi="Arial" w:cs="Arial"/>
          <w:lang w:val="en-US"/>
        </w:rPr>
      </w:pPr>
    </w:p>
    <w:p w14:paraId="57C775BC" w14:textId="1A27025D" w:rsidR="0080460B" w:rsidRPr="0080460B" w:rsidRDefault="00F148A2" w:rsidP="0080460B">
      <w:pPr>
        <w:jc w:val="both"/>
        <w:rPr>
          <w:rFonts w:ascii="Arial" w:hAnsi="Arial" w:cs="Arial"/>
        </w:rPr>
      </w:pPr>
      <w:r w:rsidRPr="00F148A2">
        <w:rPr>
          <w:rFonts w:ascii="Arial" w:hAnsi="Arial" w:cs="Arial"/>
          <w:noProof/>
        </w:rPr>
        <w:drawing>
          <wp:inline distT="0" distB="0" distL="0" distR="0" wp14:anchorId="61AEEDF1" wp14:editId="71660D38">
            <wp:extent cx="5904230" cy="3403600"/>
            <wp:effectExtent l="0" t="0" r="127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04230" cy="3403600"/>
                    </a:xfrm>
                    <a:prstGeom prst="rect">
                      <a:avLst/>
                    </a:prstGeom>
                  </pic:spPr>
                </pic:pic>
              </a:graphicData>
            </a:graphic>
          </wp:inline>
        </w:drawing>
      </w:r>
    </w:p>
    <w:p w14:paraId="19FC9FCA" w14:textId="424A1954" w:rsidR="0080460B" w:rsidRDefault="00747D39" w:rsidP="0080460B">
      <w:pPr>
        <w:jc w:val="both"/>
        <w:rPr>
          <w:rFonts w:ascii="Arial" w:hAnsi="Arial" w:cs="Arial"/>
          <w:i/>
          <w:iCs/>
          <w:lang w:val="en-US"/>
        </w:rPr>
      </w:pPr>
      <w:r w:rsidRPr="00747D39">
        <w:rPr>
          <w:rFonts w:ascii="Arial" w:hAnsi="Arial" w:cs="Arial"/>
          <w:i/>
          <w:iCs/>
          <w:lang w:val="en-US"/>
        </w:rPr>
        <w:t xml:space="preserve">Graph 1: Example of a series with similar levels in </w:t>
      </w:r>
      <w:r w:rsidR="00ED3D7B">
        <w:rPr>
          <w:rFonts w:ascii="Arial" w:hAnsi="Arial" w:cs="Arial"/>
          <w:i/>
          <w:iCs/>
          <w:lang w:val="en-US"/>
        </w:rPr>
        <w:t>benchmark</w:t>
      </w:r>
      <w:r w:rsidRPr="00747D39">
        <w:rPr>
          <w:rFonts w:ascii="Arial" w:hAnsi="Arial" w:cs="Arial"/>
          <w:i/>
          <w:iCs/>
          <w:lang w:val="en-US"/>
        </w:rPr>
        <w:t xml:space="preserve"> 2000 and </w:t>
      </w:r>
      <w:r w:rsidR="00ED3D7B">
        <w:rPr>
          <w:rFonts w:ascii="Arial" w:hAnsi="Arial" w:cs="Arial"/>
          <w:i/>
          <w:iCs/>
          <w:lang w:val="en-US"/>
        </w:rPr>
        <w:t>benchmark</w:t>
      </w:r>
      <w:r w:rsidRPr="00747D39">
        <w:rPr>
          <w:rFonts w:ascii="Arial" w:hAnsi="Arial" w:cs="Arial"/>
          <w:i/>
          <w:iCs/>
          <w:lang w:val="en-US"/>
        </w:rPr>
        <w:t xml:space="preserve"> 2014</w:t>
      </w:r>
    </w:p>
    <w:p w14:paraId="0B8AD0D8" w14:textId="77777777" w:rsidR="00517BA3" w:rsidRPr="00747D39" w:rsidRDefault="00517BA3" w:rsidP="0080460B">
      <w:pPr>
        <w:jc w:val="both"/>
        <w:rPr>
          <w:rFonts w:ascii="Arial" w:hAnsi="Arial" w:cs="Arial"/>
          <w:i/>
          <w:iCs/>
          <w:lang w:val="en-US"/>
        </w:rPr>
      </w:pPr>
    </w:p>
    <w:p w14:paraId="677A9461" w14:textId="2FBA8655" w:rsidR="0080460B" w:rsidRPr="0080460B" w:rsidRDefault="00BA58AB" w:rsidP="0080460B">
      <w:pPr>
        <w:jc w:val="both"/>
        <w:rPr>
          <w:rFonts w:ascii="Arial" w:hAnsi="Arial" w:cs="Arial"/>
        </w:rPr>
      </w:pPr>
      <w:r w:rsidRPr="00BA58AB">
        <w:rPr>
          <w:rFonts w:ascii="Arial" w:hAnsi="Arial" w:cs="Arial"/>
          <w:noProof/>
        </w:rPr>
        <w:lastRenderedPageBreak/>
        <w:drawing>
          <wp:inline distT="0" distB="0" distL="0" distR="0" wp14:anchorId="1F6779B2" wp14:editId="0500CE3B">
            <wp:extent cx="5904230" cy="3159125"/>
            <wp:effectExtent l="0" t="0" r="127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04230" cy="3159125"/>
                    </a:xfrm>
                    <a:prstGeom prst="rect">
                      <a:avLst/>
                    </a:prstGeom>
                  </pic:spPr>
                </pic:pic>
              </a:graphicData>
            </a:graphic>
          </wp:inline>
        </w:drawing>
      </w:r>
    </w:p>
    <w:p w14:paraId="649B49FE" w14:textId="23EE2AA3" w:rsidR="0080460B" w:rsidRPr="00747D39" w:rsidRDefault="00747D39" w:rsidP="0080460B">
      <w:pPr>
        <w:jc w:val="both"/>
        <w:rPr>
          <w:rFonts w:ascii="Arial" w:hAnsi="Arial" w:cs="Arial"/>
          <w:i/>
          <w:iCs/>
          <w:lang w:val="en-US"/>
        </w:rPr>
      </w:pPr>
      <w:r w:rsidRPr="00747D39">
        <w:rPr>
          <w:rFonts w:ascii="Arial" w:hAnsi="Arial" w:cs="Arial"/>
          <w:i/>
          <w:iCs/>
          <w:lang w:val="en-US"/>
        </w:rPr>
        <w:t xml:space="preserve">Graph 2: Example of a series whose levels are far apart in </w:t>
      </w:r>
      <w:r w:rsidR="00ED3D7B">
        <w:rPr>
          <w:rFonts w:ascii="Arial" w:hAnsi="Arial" w:cs="Arial"/>
          <w:i/>
          <w:iCs/>
          <w:lang w:val="en-US"/>
        </w:rPr>
        <w:t>benchmark</w:t>
      </w:r>
      <w:r w:rsidRPr="00747D39">
        <w:rPr>
          <w:rFonts w:ascii="Arial" w:hAnsi="Arial" w:cs="Arial"/>
          <w:i/>
          <w:iCs/>
          <w:lang w:val="en-US"/>
        </w:rPr>
        <w:t xml:space="preserve"> 2000 and </w:t>
      </w:r>
      <w:r w:rsidR="00ED3D7B">
        <w:rPr>
          <w:rFonts w:ascii="Arial" w:hAnsi="Arial" w:cs="Arial"/>
          <w:i/>
          <w:iCs/>
          <w:lang w:val="en-US"/>
        </w:rPr>
        <w:t>benchmark</w:t>
      </w:r>
      <w:r w:rsidRPr="00747D39">
        <w:rPr>
          <w:rFonts w:ascii="Arial" w:hAnsi="Arial" w:cs="Arial"/>
          <w:i/>
          <w:iCs/>
          <w:lang w:val="en-US"/>
        </w:rPr>
        <w:t xml:space="preserve"> 2014</w:t>
      </w:r>
    </w:p>
    <w:p w14:paraId="34727FAC" w14:textId="77777777" w:rsidR="0080460B" w:rsidRPr="00747D39" w:rsidRDefault="0080460B" w:rsidP="0080460B">
      <w:pPr>
        <w:jc w:val="both"/>
        <w:rPr>
          <w:rFonts w:ascii="Arial" w:hAnsi="Arial" w:cs="Arial"/>
          <w:lang w:val="en-US"/>
        </w:rPr>
      </w:pPr>
    </w:p>
    <w:p w14:paraId="2798C0A1" w14:textId="77777777" w:rsidR="0080460B" w:rsidRPr="00747D39" w:rsidRDefault="0080460B" w:rsidP="0080460B">
      <w:pPr>
        <w:jc w:val="both"/>
        <w:rPr>
          <w:rFonts w:ascii="Arial" w:hAnsi="Arial" w:cs="Arial"/>
          <w:lang w:val="en-US"/>
        </w:rPr>
      </w:pPr>
    </w:p>
    <w:p w14:paraId="2A229D7B" w14:textId="5F758328" w:rsidR="00747D39" w:rsidRPr="00747D39" w:rsidRDefault="00747D39" w:rsidP="00747D39">
      <w:pPr>
        <w:jc w:val="both"/>
        <w:rPr>
          <w:rFonts w:ascii="Arial" w:hAnsi="Arial" w:cs="Arial"/>
          <w:lang w:val="en-US"/>
        </w:rPr>
      </w:pPr>
      <w:r w:rsidRPr="00747D39">
        <w:rPr>
          <w:rFonts w:ascii="Arial" w:hAnsi="Arial" w:cs="Arial"/>
          <w:lang w:val="en-US"/>
        </w:rPr>
        <w:t xml:space="preserve">Once this growth rate methodology has been adopted, we need to decide how to apply it at instrument level. A natural first approach is to apply this method at the finest level, instrument by instrument, and to derive the series of total assets and total liabilities for each instrument. However, such an approach leads to spontaneous divergences between total assets and total liabilities, even though this accounting equality is well respected in the series used in 2000 and 2014 </w:t>
      </w:r>
      <w:r w:rsidR="00ED3D7B">
        <w:rPr>
          <w:rFonts w:ascii="Arial" w:hAnsi="Arial" w:cs="Arial"/>
          <w:lang w:val="en-US"/>
        </w:rPr>
        <w:t xml:space="preserve">benchmarks </w:t>
      </w:r>
      <w:r w:rsidRPr="00747D39">
        <w:rPr>
          <w:rFonts w:ascii="Arial" w:hAnsi="Arial" w:cs="Arial"/>
          <w:lang w:val="en-US"/>
        </w:rPr>
        <w:t>('horizontal balancing' in the vocabulary of national accounting). This is due in particular to cross-effects between the breakdown into instruments and the application of growth rates.</w:t>
      </w:r>
    </w:p>
    <w:p w14:paraId="0D004BFB" w14:textId="77777777" w:rsidR="0080460B" w:rsidRPr="00747D39" w:rsidRDefault="00747D39" w:rsidP="00747D39">
      <w:pPr>
        <w:jc w:val="both"/>
        <w:rPr>
          <w:rFonts w:ascii="Arial" w:hAnsi="Arial" w:cs="Arial"/>
          <w:lang w:val="en-US"/>
        </w:rPr>
      </w:pPr>
      <w:r w:rsidRPr="00747D39">
        <w:rPr>
          <w:rFonts w:ascii="Arial" w:hAnsi="Arial" w:cs="Arial"/>
          <w:lang w:val="en-US"/>
        </w:rPr>
        <w:t>The following simplified example with only 2 sectors illustrates this divergence, with total assets of 9 differing from total liabilities of 8.86.</w:t>
      </w:r>
    </w:p>
    <w:p w14:paraId="5F6F9CEC" w14:textId="3A357345" w:rsidR="0080460B" w:rsidRPr="0080460B" w:rsidRDefault="00BA58AB" w:rsidP="0080460B">
      <w:pPr>
        <w:jc w:val="both"/>
        <w:rPr>
          <w:rFonts w:ascii="Arial" w:hAnsi="Arial" w:cs="Arial"/>
        </w:rPr>
      </w:pPr>
      <w:r w:rsidRPr="00BA58AB">
        <w:rPr>
          <w:rFonts w:ascii="Arial" w:hAnsi="Arial" w:cs="Arial"/>
          <w:noProof/>
        </w:rPr>
        <w:drawing>
          <wp:inline distT="0" distB="0" distL="0" distR="0" wp14:anchorId="2C90B34F" wp14:editId="463B9898">
            <wp:extent cx="5858693" cy="2905530"/>
            <wp:effectExtent l="0" t="0" r="889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58693" cy="2905530"/>
                    </a:xfrm>
                    <a:prstGeom prst="rect">
                      <a:avLst/>
                    </a:prstGeom>
                  </pic:spPr>
                </pic:pic>
              </a:graphicData>
            </a:graphic>
          </wp:inline>
        </w:drawing>
      </w:r>
    </w:p>
    <w:p w14:paraId="57E3E12D" w14:textId="77777777" w:rsidR="0080460B" w:rsidRDefault="00747D39" w:rsidP="0080460B">
      <w:pPr>
        <w:jc w:val="both"/>
        <w:rPr>
          <w:rFonts w:ascii="Arial" w:hAnsi="Arial" w:cs="Arial"/>
          <w:i/>
          <w:iCs/>
          <w:lang w:val="en-US"/>
        </w:rPr>
      </w:pPr>
      <w:r w:rsidRPr="00747D39">
        <w:rPr>
          <w:rFonts w:ascii="Arial" w:hAnsi="Arial" w:cs="Arial"/>
          <w:i/>
          <w:iCs/>
          <w:lang w:val="en-US"/>
        </w:rPr>
        <w:t>Figure 1: Illustration of the divergence between active and passive totals using a granular backcasting approach</w:t>
      </w:r>
    </w:p>
    <w:p w14:paraId="5C425436" w14:textId="77777777" w:rsidR="00747D39" w:rsidRPr="00747D39" w:rsidRDefault="00747D39" w:rsidP="0080460B">
      <w:pPr>
        <w:jc w:val="both"/>
        <w:rPr>
          <w:rFonts w:ascii="Arial" w:hAnsi="Arial" w:cs="Arial"/>
          <w:lang w:val="en-US"/>
        </w:rPr>
      </w:pPr>
    </w:p>
    <w:p w14:paraId="77A585CA" w14:textId="77777777" w:rsidR="00747D39" w:rsidRPr="00747D39" w:rsidRDefault="00747D39" w:rsidP="00747D39">
      <w:pPr>
        <w:jc w:val="both"/>
        <w:rPr>
          <w:rFonts w:ascii="Arial" w:hAnsi="Arial" w:cs="Arial"/>
          <w:lang w:val="en-US"/>
        </w:rPr>
      </w:pPr>
      <w:r w:rsidRPr="00747D39">
        <w:rPr>
          <w:rFonts w:ascii="Arial" w:hAnsi="Arial" w:cs="Arial"/>
          <w:lang w:val="en-US"/>
        </w:rPr>
        <w:t xml:space="preserve">For each financial instrument, we have therefore decided to calculate both the backward projection at the level of each sector and at the level of total assets and total liabilities (for all sectors), which will serve as our anchor. </w:t>
      </w:r>
    </w:p>
    <w:p w14:paraId="240A7EFC" w14:textId="77777777" w:rsidR="0080460B" w:rsidRPr="00747D39" w:rsidRDefault="00747D39" w:rsidP="00747D39">
      <w:pPr>
        <w:jc w:val="both"/>
        <w:rPr>
          <w:rFonts w:ascii="Arial" w:hAnsi="Arial" w:cs="Arial"/>
          <w:lang w:val="en-US"/>
        </w:rPr>
      </w:pPr>
      <w:r w:rsidRPr="00747D39">
        <w:rPr>
          <w:rFonts w:ascii="Arial" w:hAnsi="Arial" w:cs="Arial"/>
          <w:lang w:val="en-US"/>
        </w:rPr>
        <w:t>At sector level, two cases are distinguished:</w:t>
      </w:r>
    </w:p>
    <w:p w14:paraId="41B652E7" w14:textId="0879093D" w:rsidR="0080460B" w:rsidRPr="00747D39" w:rsidRDefault="00747D39" w:rsidP="00747D39">
      <w:pPr>
        <w:numPr>
          <w:ilvl w:val="0"/>
          <w:numId w:val="35"/>
        </w:numPr>
        <w:jc w:val="both"/>
        <w:rPr>
          <w:rFonts w:ascii="Arial" w:hAnsi="Arial" w:cs="Arial"/>
          <w:lang w:val="en-US"/>
        </w:rPr>
      </w:pPr>
      <w:r w:rsidRPr="00747D39">
        <w:rPr>
          <w:rFonts w:ascii="Arial" w:hAnsi="Arial" w:cs="Arial"/>
          <w:lang w:val="en-US"/>
        </w:rPr>
        <w:lastRenderedPageBreak/>
        <w:t xml:space="preserve">If the new backcast series is identical to the  2000 </w:t>
      </w:r>
      <w:r w:rsidR="00ED3D7B">
        <w:rPr>
          <w:rFonts w:ascii="Arial" w:hAnsi="Arial" w:cs="Arial"/>
          <w:lang w:val="en-US"/>
        </w:rPr>
        <w:t xml:space="preserve">benchmark </w:t>
      </w:r>
      <w:r w:rsidRPr="00747D39">
        <w:rPr>
          <w:rFonts w:ascii="Arial" w:hAnsi="Arial" w:cs="Arial"/>
          <w:lang w:val="en-US"/>
        </w:rPr>
        <w:t xml:space="preserve">series or very close to it, we decide to keep it as it is. In practice, we find that backcasting has little or no effect on </w:t>
      </w:r>
      <w:r w:rsidR="009103D4">
        <w:rPr>
          <w:rFonts w:ascii="Arial" w:hAnsi="Arial" w:cs="Arial"/>
          <w:lang w:val="en-US"/>
        </w:rPr>
        <w:t>some</w:t>
      </w:r>
      <w:r w:rsidRPr="00747D39">
        <w:rPr>
          <w:rFonts w:ascii="Arial" w:hAnsi="Arial" w:cs="Arial"/>
          <w:lang w:val="en-US"/>
        </w:rPr>
        <w:t xml:space="preserve"> sectors, and we prefer to keep these series as they are rather than have accounting balancing constraints add new changes or noise to them. In practice, for a sector i, an initial estimate is calculated using the formula described above</w:t>
      </w:r>
      <w:r w:rsidR="0080460B" w:rsidRPr="00747D39">
        <w:rPr>
          <w:rFonts w:ascii="Arial" w:hAnsi="Arial" w:cs="Arial"/>
          <w:lang w:val="en-US"/>
        </w:rPr>
        <w:t xml:space="preserve"> </w:t>
      </w:r>
      <m:oMath>
        <m:sSup>
          <m:sSupPr>
            <m:ctrlPr>
              <w:rPr>
                <w:rFonts w:ascii="Cambria Math" w:hAnsi="Cambria Math" w:cs="Arial"/>
                <w:i/>
                <w:sz w:val="22"/>
              </w:rPr>
            </m:ctrlPr>
          </m:sSupPr>
          <m:e>
            <m:acc>
              <m:accPr>
                <m:ctrlPr>
                  <w:rPr>
                    <w:rFonts w:ascii="Cambria Math" w:hAnsi="Cambria Math" w:cs="Arial"/>
                    <w:i/>
                    <w:sz w:val="22"/>
                  </w:rPr>
                </m:ctrlPr>
              </m:accPr>
              <m:e>
                <m:r>
                  <w:rPr>
                    <w:rFonts w:ascii="Cambria Math" w:hAnsi="Cambria Math" w:cs="Arial"/>
                    <w:sz w:val="22"/>
                  </w:rPr>
                  <m:t>O</m:t>
                </m:r>
              </m:e>
            </m:acc>
          </m:e>
          <m:sup>
            <m:r>
              <w:rPr>
                <w:rFonts w:ascii="Cambria Math" w:hAnsi="Cambria Math" w:cs="Arial"/>
                <w:sz w:val="22"/>
              </w:rPr>
              <m:t>i</m:t>
            </m:r>
          </m:sup>
        </m:sSup>
      </m:oMath>
    </w:p>
    <w:p w14:paraId="0A973B18" w14:textId="7753B090" w:rsidR="0080460B" w:rsidRPr="0080460B" w:rsidRDefault="00AC496F" w:rsidP="0080460B">
      <w:pPr>
        <w:jc w:val="both"/>
        <w:rPr>
          <w:rFonts w:ascii="Arial" w:hAnsi="Arial" w:cs="Arial"/>
        </w:rPr>
      </w:pPr>
      <m:oMathPara>
        <m:oMath>
          <m:sSubSup>
            <m:sSubSupPr>
              <m:ctrlPr>
                <w:rPr>
                  <w:rFonts w:ascii="Cambria Math" w:hAnsi="Cambria Math" w:cs="Arial"/>
                  <w:i/>
                  <w:sz w:val="22"/>
                </w:rPr>
              </m:ctrlPr>
            </m:sSubSupPr>
            <m:e>
              <m:acc>
                <m:accPr>
                  <m:ctrlPr>
                    <w:rPr>
                      <w:rFonts w:ascii="Cambria Math" w:hAnsi="Cambria Math" w:cs="Arial"/>
                      <w:i/>
                      <w:sz w:val="22"/>
                    </w:rPr>
                  </m:ctrlPr>
                </m:accPr>
                <m:e>
                  <m:r>
                    <w:rPr>
                      <w:rFonts w:ascii="Cambria Math" w:hAnsi="Cambria Math" w:cs="Arial"/>
                      <w:sz w:val="22"/>
                    </w:rPr>
                    <m:t>S</m:t>
                  </m:r>
                </m:e>
              </m:acc>
            </m:e>
            <m:sub>
              <m:r>
                <w:rPr>
                  <w:rFonts w:ascii="Cambria Math" w:hAnsi="Cambria Math" w:cs="Arial"/>
                  <w:sz w:val="22"/>
                </w:rPr>
                <m:t>N-1, benchmark2014</m:t>
              </m:r>
            </m:sub>
            <m:sup>
              <m:r>
                <w:rPr>
                  <w:rFonts w:ascii="Cambria Math" w:hAnsi="Cambria Math" w:cs="Arial"/>
                  <w:sz w:val="22"/>
                </w:rPr>
                <m:t>i</m:t>
              </m:r>
            </m:sup>
          </m:sSubSup>
          <m:r>
            <w:rPr>
              <w:rFonts w:ascii="Cambria Math" w:hAnsi="Cambria Math" w:cs="Arial"/>
              <w:sz w:val="22"/>
            </w:rPr>
            <m:t>=</m:t>
          </m:r>
          <m:sSubSup>
            <m:sSubSupPr>
              <m:ctrlPr>
                <w:rPr>
                  <w:rFonts w:ascii="Cambria Math" w:hAnsi="Cambria Math" w:cs="Arial"/>
                  <w:i/>
                  <w:sz w:val="22"/>
                </w:rPr>
              </m:ctrlPr>
            </m:sSubSupPr>
            <m:e>
              <m:r>
                <w:rPr>
                  <w:rFonts w:ascii="Cambria Math" w:hAnsi="Cambria Math" w:cs="Arial"/>
                  <w:sz w:val="22"/>
                </w:rPr>
                <m:t>S</m:t>
              </m:r>
            </m:e>
            <m:sub>
              <m:r>
                <w:rPr>
                  <w:rFonts w:ascii="Cambria Math" w:hAnsi="Cambria Math" w:cs="Arial"/>
                  <w:sz w:val="22"/>
                </w:rPr>
                <m:t>N, benchmark2014</m:t>
              </m:r>
            </m:sub>
            <m:sup>
              <m:r>
                <w:rPr>
                  <w:rFonts w:ascii="Cambria Math" w:hAnsi="Cambria Math" w:cs="Arial"/>
                  <w:sz w:val="22"/>
                </w:rPr>
                <m:t>i</m:t>
              </m:r>
            </m:sup>
          </m:sSubSup>
          <m:r>
            <w:rPr>
              <w:rFonts w:ascii="Cambria Math" w:hAnsi="Cambria Math" w:cs="Arial"/>
              <w:sz w:val="22"/>
            </w:rPr>
            <m:t>*</m:t>
          </m:r>
          <m:f>
            <m:fPr>
              <m:ctrlPr>
                <w:rPr>
                  <w:rFonts w:ascii="Cambria Math" w:hAnsi="Cambria Math" w:cs="Arial"/>
                  <w:i/>
                  <w:sz w:val="22"/>
                </w:rPr>
              </m:ctrlPr>
            </m:fPr>
            <m:num>
              <m:sSubSup>
                <m:sSubSupPr>
                  <m:ctrlPr>
                    <w:rPr>
                      <w:rFonts w:ascii="Cambria Math" w:hAnsi="Cambria Math" w:cs="Arial"/>
                      <w:i/>
                      <w:sz w:val="22"/>
                    </w:rPr>
                  </m:ctrlPr>
                </m:sSubSupPr>
                <m:e>
                  <m:r>
                    <w:rPr>
                      <w:rFonts w:ascii="Cambria Math" w:hAnsi="Cambria Math" w:cs="Arial"/>
                      <w:sz w:val="22"/>
                    </w:rPr>
                    <m:t>S</m:t>
                  </m:r>
                </m:e>
                <m:sub>
                  <m:r>
                    <w:rPr>
                      <w:rFonts w:ascii="Cambria Math" w:hAnsi="Cambria Math" w:cs="Arial"/>
                      <w:sz w:val="22"/>
                    </w:rPr>
                    <m:t>N-1, benchmark2000</m:t>
                  </m:r>
                </m:sub>
                <m:sup>
                  <m:r>
                    <w:rPr>
                      <w:rFonts w:ascii="Cambria Math" w:hAnsi="Cambria Math" w:cs="Arial"/>
                      <w:sz w:val="22"/>
                    </w:rPr>
                    <m:t>i</m:t>
                  </m:r>
                </m:sup>
              </m:sSubSup>
            </m:num>
            <m:den>
              <m:sSubSup>
                <m:sSubSupPr>
                  <m:ctrlPr>
                    <w:rPr>
                      <w:rFonts w:ascii="Cambria Math" w:hAnsi="Cambria Math" w:cs="Arial"/>
                      <w:i/>
                      <w:sz w:val="22"/>
                    </w:rPr>
                  </m:ctrlPr>
                </m:sSubSupPr>
                <m:e>
                  <m:r>
                    <w:rPr>
                      <w:rFonts w:ascii="Cambria Math" w:hAnsi="Cambria Math" w:cs="Arial"/>
                      <w:sz w:val="22"/>
                    </w:rPr>
                    <m:t>S</m:t>
                  </m:r>
                </m:e>
                <m:sub>
                  <m:r>
                    <w:rPr>
                      <w:rFonts w:ascii="Cambria Math" w:hAnsi="Cambria Math" w:cs="Arial"/>
                      <w:sz w:val="22"/>
                    </w:rPr>
                    <m:t>N, benchmark2000</m:t>
                  </m:r>
                </m:sub>
                <m:sup>
                  <m:r>
                    <w:rPr>
                      <w:rFonts w:ascii="Cambria Math" w:hAnsi="Cambria Math" w:cs="Arial"/>
                      <w:sz w:val="22"/>
                    </w:rPr>
                    <m:t>i</m:t>
                  </m:r>
                </m:sup>
              </m:sSubSup>
            </m:den>
          </m:f>
        </m:oMath>
      </m:oMathPara>
    </w:p>
    <w:p w14:paraId="66C2ACA8" w14:textId="7CBC4535" w:rsidR="0080460B" w:rsidRPr="00B03334" w:rsidRDefault="00B03334" w:rsidP="0080460B">
      <w:pPr>
        <w:jc w:val="both"/>
        <w:rPr>
          <w:rFonts w:ascii="Arial" w:hAnsi="Arial" w:cs="Arial"/>
          <w:lang w:val="en-US"/>
        </w:rPr>
      </w:pPr>
      <w:r w:rsidRPr="00B03334">
        <w:rPr>
          <w:rFonts w:ascii="Arial" w:hAnsi="Arial" w:cs="Arial"/>
          <w:lang w:val="en-US"/>
        </w:rPr>
        <w:t xml:space="preserve">And we look to see if its deviation relative to the </w:t>
      </w:r>
      <w:r w:rsidR="00740C15">
        <w:rPr>
          <w:rFonts w:ascii="Arial" w:hAnsi="Arial" w:cs="Arial"/>
          <w:lang w:val="en-US"/>
        </w:rPr>
        <w:t>stock for</w:t>
      </w:r>
      <w:r w:rsidRPr="00B03334">
        <w:rPr>
          <w:rFonts w:ascii="Arial" w:hAnsi="Arial" w:cs="Arial"/>
          <w:lang w:val="en-US"/>
        </w:rPr>
        <w:t xml:space="preserve"> 2000 </w:t>
      </w:r>
      <w:r w:rsidR="00ED3D7B">
        <w:rPr>
          <w:rFonts w:ascii="Arial" w:hAnsi="Arial" w:cs="Arial"/>
          <w:lang w:val="en-US"/>
        </w:rPr>
        <w:t xml:space="preserve">benchmark </w:t>
      </w:r>
      <w:r w:rsidRPr="00B03334">
        <w:rPr>
          <w:rFonts w:ascii="Arial" w:hAnsi="Arial" w:cs="Arial"/>
          <w:lang w:val="en-US"/>
        </w:rPr>
        <w:t xml:space="preserve">is above or below a threshold </w:t>
      </w:r>
      <w:r w:rsidRPr="00B03334">
        <w:rPr>
          <w:rFonts w:ascii="Arial" w:hAnsi="Arial" w:cs="Arial"/>
        </w:rPr>
        <w:t>Δ</w:t>
      </w:r>
      <w:r w:rsidRPr="00B03334">
        <w:rPr>
          <w:rFonts w:ascii="Arial" w:hAnsi="Arial" w:cs="Arial"/>
          <w:lang w:val="en-US"/>
        </w:rPr>
        <w:t xml:space="preserve"> in absolute value. If this is the case, we take as the final value</w:t>
      </w:r>
      <m:oMath>
        <m:sSup>
          <m:sSupPr>
            <m:ctrlPr>
              <w:rPr>
                <w:rFonts w:ascii="Cambria Math" w:hAnsi="Cambria Math" w:cs="Arial"/>
                <w:i/>
              </w:rPr>
            </m:ctrlPr>
          </m:sSupPr>
          <m:e>
            <m:r>
              <w:rPr>
                <w:rFonts w:ascii="Cambria Math" w:hAnsi="Cambria Math" w:cs="Arial"/>
                <w:lang w:val="en-US"/>
              </w:rPr>
              <m:t xml:space="preserve"> </m:t>
            </m:r>
            <m:r>
              <w:rPr>
                <w:rFonts w:ascii="Cambria Math" w:hAnsi="Cambria Math" w:cs="Arial"/>
              </w:rPr>
              <m:t>S</m:t>
            </m:r>
          </m:e>
          <m:sup>
            <m:r>
              <w:rPr>
                <w:rFonts w:ascii="Cambria Math" w:hAnsi="Cambria Math" w:cs="Arial"/>
              </w:rPr>
              <m:t>i</m:t>
            </m:r>
          </m:sup>
        </m:sSup>
      </m:oMath>
      <w:r w:rsidR="0080460B" w:rsidRPr="00B03334">
        <w:rPr>
          <w:rFonts w:ascii="Arial" w:hAnsi="Arial" w:cs="Arial"/>
          <w:lang w:val="en-US"/>
        </w:rPr>
        <w:t xml:space="preserve"> </w:t>
      </w:r>
      <w:r>
        <w:rPr>
          <w:rFonts w:ascii="Arial" w:hAnsi="Arial" w:cs="Arial"/>
          <w:lang w:val="en-US"/>
        </w:rPr>
        <w:t xml:space="preserve">the estimate </w:t>
      </w:r>
      <m:oMath>
        <m:sSup>
          <m:sSupPr>
            <m:ctrlPr>
              <w:rPr>
                <w:rFonts w:ascii="Cambria Math" w:hAnsi="Cambria Math" w:cs="Arial"/>
                <w:i/>
              </w:rPr>
            </m:ctrlPr>
          </m:sSupPr>
          <m:e>
            <m:acc>
              <m:accPr>
                <m:ctrlPr>
                  <w:rPr>
                    <w:rFonts w:ascii="Cambria Math" w:hAnsi="Cambria Math" w:cs="Arial"/>
                    <w:i/>
                  </w:rPr>
                </m:ctrlPr>
              </m:accPr>
              <m:e>
                <m:r>
                  <w:rPr>
                    <w:rFonts w:ascii="Cambria Math" w:hAnsi="Cambria Math" w:cs="Arial"/>
                  </w:rPr>
                  <m:t>S</m:t>
                </m:r>
              </m:e>
            </m:acc>
          </m:e>
          <m:sup>
            <m:r>
              <w:rPr>
                <w:rFonts w:ascii="Cambria Math" w:hAnsi="Cambria Math" w:cs="Arial"/>
              </w:rPr>
              <m:t>i</m:t>
            </m:r>
          </m:sup>
        </m:sSup>
      </m:oMath>
      <w:r w:rsidR="0080460B" w:rsidRPr="00B03334">
        <w:rPr>
          <w:rFonts w:ascii="Arial" w:hAnsi="Arial" w:cs="Arial"/>
          <w:lang w:val="en-US"/>
        </w:rPr>
        <w:t xml:space="preserve"> </w:t>
      </w:r>
      <w:r w:rsidRPr="00B03334">
        <w:rPr>
          <w:rFonts w:ascii="Arial" w:hAnsi="Arial" w:cs="Arial"/>
          <w:lang w:val="en-US"/>
        </w:rPr>
        <w:t>carried out</w:t>
      </w:r>
      <w:r w:rsidR="0080460B" w:rsidRPr="00B03334">
        <w:rPr>
          <w:rFonts w:ascii="Arial" w:hAnsi="Arial" w:cs="Arial"/>
          <w:lang w:val="en-US"/>
        </w:rPr>
        <w:t xml:space="preserve">: </w:t>
      </w:r>
    </w:p>
    <w:p w14:paraId="556697ED" w14:textId="7BD2A652" w:rsidR="0080460B" w:rsidRPr="001D0E62" w:rsidRDefault="0080460B" w:rsidP="0080460B">
      <w:pPr>
        <w:jc w:val="both"/>
        <w:rPr>
          <w:rFonts w:ascii="Arial" w:hAnsi="Arial" w:cs="Arial"/>
          <w:lang w:val="en-US"/>
        </w:rPr>
      </w:pPr>
      <m:oMathPara>
        <m:oMath>
          <m:r>
            <m:rPr>
              <m:nor/>
            </m:rPr>
            <w:rPr>
              <w:rFonts w:ascii="Cambria Math" w:hAnsi="Arial" w:cs="Arial"/>
              <w:sz w:val="22"/>
              <w:lang w:val="en-US"/>
            </w:rPr>
            <m:t>If</m:t>
          </m:r>
          <m:r>
            <m:rPr>
              <m:nor/>
            </m:rPr>
            <w:rPr>
              <w:rFonts w:ascii="Arial" w:hAnsi="Arial" w:cs="Arial"/>
              <w:sz w:val="22"/>
              <w:lang w:val="en-US"/>
            </w:rPr>
            <m:t xml:space="preserve"> </m:t>
          </m:r>
          <m:d>
            <m:dPr>
              <m:begChr m:val="|"/>
              <m:endChr m:val="|"/>
              <m:ctrlPr>
                <w:rPr>
                  <w:rFonts w:ascii="Cambria Math" w:hAnsi="Cambria Math" w:cs="Arial"/>
                  <w:i/>
                  <w:sz w:val="22"/>
                </w:rPr>
              </m:ctrlPr>
            </m:dPr>
            <m:e>
              <m:f>
                <m:fPr>
                  <m:ctrlPr>
                    <w:rPr>
                      <w:rFonts w:ascii="Cambria Math" w:hAnsi="Cambria Math" w:cs="Arial"/>
                      <w:i/>
                      <w:sz w:val="22"/>
                    </w:rPr>
                  </m:ctrlPr>
                </m:fPr>
                <m:num>
                  <m:sSubSup>
                    <m:sSubSupPr>
                      <m:ctrlPr>
                        <w:rPr>
                          <w:rFonts w:ascii="Cambria Math" w:hAnsi="Cambria Math" w:cs="Arial"/>
                          <w:i/>
                          <w:sz w:val="22"/>
                        </w:rPr>
                      </m:ctrlPr>
                    </m:sSubSupPr>
                    <m:e>
                      <m:acc>
                        <m:accPr>
                          <m:ctrlPr>
                            <w:rPr>
                              <w:rFonts w:ascii="Cambria Math" w:hAnsi="Cambria Math" w:cs="Arial"/>
                              <w:i/>
                              <w:sz w:val="22"/>
                            </w:rPr>
                          </m:ctrlPr>
                        </m:accPr>
                        <m:e>
                          <m:r>
                            <w:rPr>
                              <w:rFonts w:ascii="Cambria Math" w:hAnsi="Cambria Math" w:cs="Arial"/>
                              <w:sz w:val="22"/>
                            </w:rPr>
                            <m:t>S</m:t>
                          </m:r>
                        </m:e>
                      </m:acc>
                    </m:e>
                    <m:sub>
                      <m:r>
                        <w:rPr>
                          <w:rFonts w:ascii="Cambria Math" w:hAnsi="Cambria Math" w:cs="Arial"/>
                          <w:sz w:val="22"/>
                        </w:rPr>
                        <m:t>N</m:t>
                      </m:r>
                      <m:r>
                        <w:rPr>
                          <w:rFonts w:ascii="Cambria Math" w:hAnsi="Cambria Math" w:cs="Arial"/>
                          <w:sz w:val="22"/>
                          <w:lang w:val="en-US"/>
                        </w:rPr>
                        <m:t xml:space="preserve">-1, </m:t>
                      </m:r>
                      <m:r>
                        <w:rPr>
                          <w:rFonts w:ascii="Cambria Math" w:hAnsi="Cambria Math" w:cs="Arial"/>
                          <w:sz w:val="22"/>
                        </w:rPr>
                        <m:t>benc</m:t>
                      </m:r>
                      <m:r>
                        <w:rPr>
                          <w:rFonts w:ascii="Cambria Math" w:hAnsi="Cambria Math" w:cs="Arial"/>
                          <w:sz w:val="22"/>
                          <w:lang w:val="en-US"/>
                        </w:rPr>
                        <m:t>h</m:t>
                      </m:r>
                      <m:r>
                        <w:rPr>
                          <w:rFonts w:ascii="Cambria Math" w:hAnsi="Cambria Math" w:cs="Arial"/>
                          <w:sz w:val="22"/>
                        </w:rPr>
                        <m:t>mark</m:t>
                      </m:r>
                      <m:r>
                        <w:rPr>
                          <w:rFonts w:ascii="Cambria Math" w:hAnsi="Cambria Math" w:cs="Arial"/>
                          <w:sz w:val="22"/>
                          <w:lang w:val="en-US"/>
                        </w:rPr>
                        <m:t>2014</m:t>
                      </m:r>
                    </m:sub>
                    <m:sup>
                      <m:r>
                        <w:rPr>
                          <w:rFonts w:ascii="Cambria Math" w:hAnsi="Cambria Math" w:cs="Arial"/>
                          <w:sz w:val="22"/>
                        </w:rPr>
                        <m:t>i</m:t>
                      </m:r>
                    </m:sup>
                  </m:sSubSup>
                  <m:r>
                    <w:rPr>
                      <w:rFonts w:ascii="Cambria Math" w:hAnsi="Cambria Math" w:cs="Arial"/>
                      <w:sz w:val="22"/>
                      <w:lang w:val="en-US"/>
                    </w:rPr>
                    <m:t>-</m:t>
                  </m:r>
                  <m:sSubSup>
                    <m:sSubSupPr>
                      <m:ctrlPr>
                        <w:rPr>
                          <w:rFonts w:ascii="Cambria Math" w:hAnsi="Cambria Math" w:cs="Arial"/>
                          <w:i/>
                          <w:sz w:val="22"/>
                        </w:rPr>
                      </m:ctrlPr>
                    </m:sSubSupPr>
                    <m:e>
                      <m:r>
                        <w:rPr>
                          <w:rFonts w:ascii="Cambria Math" w:hAnsi="Cambria Math" w:cs="Arial"/>
                          <w:sz w:val="22"/>
                        </w:rPr>
                        <m:t>S</m:t>
                      </m:r>
                    </m:e>
                    <m:sub>
                      <m:r>
                        <w:rPr>
                          <w:rFonts w:ascii="Cambria Math" w:hAnsi="Cambria Math" w:cs="Arial"/>
                          <w:sz w:val="22"/>
                        </w:rPr>
                        <m:t>N</m:t>
                      </m:r>
                      <m:r>
                        <w:rPr>
                          <w:rFonts w:ascii="Cambria Math" w:hAnsi="Cambria Math" w:cs="Arial"/>
                          <w:sz w:val="22"/>
                          <w:lang w:val="en-US"/>
                        </w:rPr>
                        <m:t xml:space="preserve">-1, </m:t>
                      </m:r>
                      <m:r>
                        <w:rPr>
                          <w:rFonts w:ascii="Cambria Math" w:hAnsi="Cambria Math" w:cs="Arial"/>
                          <w:sz w:val="22"/>
                        </w:rPr>
                        <m:t>benc</m:t>
                      </m:r>
                      <m:r>
                        <w:rPr>
                          <w:rFonts w:ascii="Cambria Math" w:hAnsi="Cambria Math" w:cs="Arial"/>
                          <w:sz w:val="22"/>
                          <w:lang w:val="en-US"/>
                        </w:rPr>
                        <m:t>h</m:t>
                      </m:r>
                      <m:r>
                        <w:rPr>
                          <w:rFonts w:ascii="Cambria Math" w:hAnsi="Cambria Math" w:cs="Arial"/>
                          <w:sz w:val="22"/>
                        </w:rPr>
                        <m:t>mark</m:t>
                      </m:r>
                      <m:r>
                        <w:rPr>
                          <w:rFonts w:ascii="Cambria Math" w:hAnsi="Cambria Math" w:cs="Arial"/>
                          <w:sz w:val="22"/>
                          <w:lang w:val="en-US"/>
                        </w:rPr>
                        <m:t>2000</m:t>
                      </m:r>
                    </m:sub>
                    <m:sup>
                      <m:r>
                        <w:rPr>
                          <w:rFonts w:ascii="Cambria Math" w:hAnsi="Cambria Math" w:cs="Arial"/>
                          <w:sz w:val="22"/>
                        </w:rPr>
                        <m:t>i</m:t>
                      </m:r>
                    </m:sup>
                  </m:sSubSup>
                </m:num>
                <m:den>
                  <m:sSubSup>
                    <m:sSubSupPr>
                      <m:ctrlPr>
                        <w:rPr>
                          <w:rFonts w:ascii="Cambria Math" w:hAnsi="Cambria Math" w:cs="Arial"/>
                          <w:i/>
                          <w:sz w:val="22"/>
                        </w:rPr>
                      </m:ctrlPr>
                    </m:sSubSupPr>
                    <m:e>
                      <m:r>
                        <w:rPr>
                          <w:rFonts w:ascii="Cambria Math" w:hAnsi="Cambria Math" w:cs="Arial"/>
                          <w:sz w:val="22"/>
                        </w:rPr>
                        <m:t>S</m:t>
                      </m:r>
                    </m:e>
                    <m:sub>
                      <m:r>
                        <w:rPr>
                          <w:rFonts w:ascii="Cambria Math" w:hAnsi="Cambria Math" w:cs="Arial"/>
                          <w:sz w:val="22"/>
                        </w:rPr>
                        <m:t>N</m:t>
                      </m:r>
                      <m:r>
                        <w:rPr>
                          <w:rFonts w:ascii="Cambria Math" w:hAnsi="Cambria Math" w:cs="Arial"/>
                          <w:sz w:val="22"/>
                          <w:lang w:val="en-US"/>
                        </w:rPr>
                        <m:t xml:space="preserve">-1, </m:t>
                      </m:r>
                      <m:r>
                        <w:rPr>
                          <w:rFonts w:ascii="Cambria Math" w:hAnsi="Cambria Math" w:cs="Arial"/>
                          <w:sz w:val="22"/>
                        </w:rPr>
                        <m:t>benc</m:t>
                      </m:r>
                      <m:r>
                        <w:rPr>
                          <w:rFonts w:ascii="Cambria Math" w:hAnsi="Cambria Math" w:cs="Arial"/>
                          <w:sz w:val="22"/>
                          <w:lang w:val="en-US"/>
                        </w:rPr>
                        <m:t>h</m:t>
                      </m:r>
                      <m:r>
                        <w:rPr>
                          <w:rFonts w:ascii="Cambria Math" w:hAnsi="Cambria Math" w:cs="Arial"/>
                          <w:sz w:val="22"/>
                        </w:rPr>
                        <m:t>mark</m:t>
                      </m:r>
                      <m:r>
                        <w:rPr>
                          <w:rFonts w:ascii="Cambria Math" w:hAnsi="Cambria Math" w:cs="Arial"/>
                          <w:sz w:val="22"/>
                          <w:lang w:val="en-US"/>
                        </w:rPr>
                        <m:t>2000</m:t>
                      </m:r>
                    </m:sub>
                    <m:sup>
                      <m:r>
                        <w:rPr>
                          <w:rFonts w:ascii="Cambria Math" w:hAnsi="Cambria Math" w:cs="Arial"/>
                          <w:sz w:val="22"/>
                        </w:rPr>
                        <m:t>i</m:t>
                      </m:r>
                    </m:sup>
                  </m:sSubSup>
                </m:den>
              </m:f>
            </m:e>
          </m:d>
          <m:r>
            <w:rPr>
              <w:rFonts w:ascii="Cambria Math" w:hAnsi="Cambria Math" w:cs="Arial"/>
              <w:sz w:val="22"/>
              <w:lang w:val="en-US"/>
            </w:rPr>
            <m:t>&lt;</m:t>
          </m:r>
          <m:r>
            <m:rPr>
              <m:sty m:val="p"/>
            </m:rPr>
            <w:rPr>
              <w:rFonts w:ascii="Cambria Math" w:hAnsi="Cambria Math" w:cs="Arial"/>
              <w:sz w:val="22"/>
            </w:rPr>
            <m:t>Δ</m:t>
          </m:r>
          <m:r>
            <m:rPr>
              <m:nor/>
            </m:rPr>
            <w:rPr>
              <w:rFonts w:ascii="Arial" w:hAnsi="Arial" w:cs="Arial"/>
              <w:sz w:val="22"/>
              <w:lang w:val="en-US"/>
            </w:rPr>
            <m:t xml:space="preserve">, alors </m:t>
          </m:r>
          <m:sSubSup>
            <m:sSubSupPr>
              <m:ctrlPr>
                <w:rPr>
                  <w:rFonts w:ascii="Cambria Math" w:hAnsi="Cambria Math" w:cs="Arial"/>
                  <w:i/>
                  <w:sz w:val="22"/>
                </w:rPr>
              </m:ctrlPr>
            </m:sSubSupPr>
            <m:e>
              <m:r>
                <w:rPr>
                  <w:rFonts w:ascii="Cambria Math" w:hAnsi="Cambria Math" w:cs="Arial"/>
                  <w:sz w:val="22"/>
                </w:rPr>
                <m:t>S</m:t>
              </m:r>
            </m:e>
            <m:sub>
              <m:r>
                <w:rPr>
                  <w:rFonts w:ascii="Cambria Math" w:hAnsi="Cambria Math" w:cs="Arial"/>
                  <w:sz w:val="22"/>
                </w:rPr>
                <m:t>N</m:t>
              </m:r>
              <m:r>
                <w:rPr>
                  <w:rFonts w:ascii="Cambria Math" w:hAnsi="Cambria Math" w:cs="Arial"/>
                  <w:sz w:val="22"/>
                  <w:lang w:val="en-US"/>
                </w:rPr>
                <m:t xml:space="preserve">-1, </m:t>
              </m:r>
              <m:r>
                <w:rPr>
                  <w:rFonts w:ascii="Cambria Math" w:hAnsi="Cambria Math" w:cs="Arial"/>
                  <w:sz w:val="22"/>
                </w:rPr>
                <m:t>benc</m:t>
              </m:r>
              <m:r>
                <w:rPr>
                  <w:rFonts w:ascii="Cambria Math" w:hAnsi="Cambria Math" w:cs="Arial"/>
                  <w:sz w:val="22"/>
                  <w:lang w:val="en-US"/>
                </w:rPr>
                <m:t>h</m:t>
              </m:r>
              <m:r>
                <w:rPr>
                  <w:rFonts w:ascii="Cambria Math" w:hAnsi="Cambria Math" w:cs="Arial"/>
                  <w:sz w:val="22"/>
                </w:rPr>
                <m:t>mark</m:t>
              </m:r>
              <m:r>
                <w:rPr>
                  <w:rFonts w:ascii="Cambria Math" w:hAnsi="Cambria Math" w:cs="Arial"/>
                  <w:sz w:val="22"/>
                  <w:lang w:val="en-US"/>
                </w:rPr>
                <m:t>2014</m:t>
              </m:r>
            </m:sub>
            <m:sup>
              <m:r>
                <w:rPr>
                  <w:rFonts w:ascii="Cambria Math" w:hAnsi="Cambria Math" w:cs="Arial"/>
                  <w:sz w:val="22"/>
                </w:rPr>
                <m:t>i</m:t>
              </m:r>
            </m:sup>
          </m:sSubSup>
          <m:r>
            <w:rPr>
              <w:rFonts w:ascii="Cambria Math" w:hAnsi="Cambria Math" w:cs="Arial"/>
              <w:sz w:val="22"/>
              <w:lang w:val="en-US"/>
            </w:rPr>
            <m:t>=</m:t>
          </m:r>
          <m:sSubSup>
            <m:sSubSupPr>
              <m:ctrlPr>
                <w:rPr>
                  <w:rFonts w:ascii="Cambria Math" w:hAnsi="Cambria Math" w:cs="Arial"/>
                  <w:i/>
                  <w:sz w:val="22"/>
                </w:rPr>
              </m:ctrlPr>
            </m:sSubSupPr>
            <m:e>
              <m:acc>
                <m:accPr>
                  <m:ctrlPr>
                    <w:rPr>
                      <w:rFonts w:ascii="Cambria Math" w:hAnsi="Cambria Math" w:cs="Arial"/>
                      <w:i/>
                      <w:sz w:val="22"/>
                    </w:rPr>
                  </m:ctrlPr>
                </m:accPr>
                <m:e>
                  <m:r>
                    <w:rPr>
                      <w:rFonts w:ascii="Cambria Math" w:hAnsi="Cambria Math" w:cs="Arial"/>
                      <w:sz w:val="22"/>
                    </w:rPr>
                    <m:t>S</m:t>
                  </m:r>
                </m:e>
              </m:acc>
            </m:e>
            <m:sub>
              <m:r>
                <w:rPr>
                  <w:rFonts w:ascii="Cambria Math" w:hAnsi="Cambria Math" w:cs="Arial"/>
                  <w:sz w:val="22"/>
                </w:rPr>
                <m:t>N</m:t>
              </m:r>
              <m:r>
                <w:rPr>
                  <w:rFonts w:ascii="Cambria Math" w:hAnsi="Cambria Math" w:cs="Arial"/>
                  <w:sz w:val="22"/>
                  <w:lang w:val="en-US"/>
                </w:rPr>
                <m:t xml:space="preserve">-1, </m:t>
              </m:r>
              <m:r>
                <w:rPr>
                  <w:rFonts w:ascii="Cambria Math" w:hAnsi="Cambria Math" w:cs="Arial"/>
                  <w:sz w:val="22"/>
                </w:rPr>
                <m:t>benc</m:t>
              </m:r>
              <m:r>
                <w:rPr>
                  <w:rFonts w:ascii="Cambria Math" w:hAnsi="Cambria Math" w:cs="Arial"/>
                  <w:sz w:val="22"/>
                  <w:lang w:val="en-US"/>
                </w:rPr>
                <m:t>h</m:t>
              </m:r>
              <m:r>
                <w:rPr>
                  <w:rFonts w:ascii="Cambria Math" w:hAnsi="Cambria Math" w:cs="Arial"/>
                  <w:sz w:val="22"/>
                </w:rPr>
                <m:t>mark</m:t>
              </m:r>
              <m:r>
                <w:rPr>
                  <w:rFonts w:ascii="Cambria Math" w:hAnsi="Cambria Math" w:cs="Arial"/>
                  <w:sz w:val="22"/>
                  <w:lang w:val="en-US"/>
                </w:rPr>
                <m:t>2014</m:t>
              </m:r>
            </m:sub>
            <m:sup>
              <m:r>
                <w:rPr>
                  <w:rFonts w:ascii="Cambria Math" w:hAnsi="Cambria Math" w:cs="Arial"/>
                  <w:sz w:val="22"/>
                </w:rPr>
                <m:t>i</m:t>
              </m:r>
            </m:sup>
          </m:sSubSup>
        </m:oMath>
      </m:oMathPara>
    </w:p>
    <w:p w14:paraId="5BDF3257" w14:textId="77777777" w:rsidR="0080460B" w:rsidRPr="00B03334" w:rsidRDefault="00B03334" w:rsidP="0080460B">
      <w:pPr>
        <w:jc w:val="both"/>
        <w:rPr>
          <w:rFonts w:ascii="Arial" w:hAnsi="Arial" w:cs="Arial"/>
          <w:lang w:val="en-US"/>
        </w:rPr>
      </w:pPr>
      <w:r w:rsidRPr="00B03334">
        <w:rPr>
          <w:rFonts w:ascii="Arial" w:hAnsi="Arial" w:cs="Arial"/>
          <w:lang w:val="en-US"/>
        </w:rPr>
        <w:t>These series will subsequently be referred to as "fixed".</w:t>
      </w:r>
    </w:p>
    <w:p w14:paraId="1C9B2C3E" w14:textId="77777777" w:rsidR="0080460B" w:rsidRPr="00B03334" w:rsidRDefault="0080460B" w:rsidP="0080460B">
      <w:pPr>
        <w:jc w:val="both"/>
        <w:rPr>
          <w:rFonts w:ascii="Arial" w:hAnsi="Arial" w:cs="Arial"/>
          <w:lang w:val="en-US"/>
        </w:rPr>
      </w:pPr>
    </w:p>
    <w:p w14:paraId="07FD0AF0" w14:textId="5B438183" w:rsidR="0080460B" w:rsidRPr="00B03334" w:rsidRDefault="00B03334" w:rsidP="00B03334">
      <w:pPr>
        <w:numPr>
          <w:ilvl w:val="0"/>
          <w:numId w:val="35"/>
        </w:numPr>
        <w:jc w:val="both"/>
        <w:rPr>
          <w:rFonts w:ascii="Arial" w:hAnsi="Arial" w:cs="Arial"/>
          <w:lang w:val="en-US"/>
        </w:rPr>
      </w:pPr>
      <w:r w:rsidRPr="00B03334">
        <w:rPr>
          <w:rFonts w:ascii="Arial" w:hAnsi="Arial" w:cs="Arial"/>
          <w:lang w:val="en-US"/>
        </w:rPr>
        <w:t>On the other hand, if the series is further from the initial value in  2000</w:t>
      </w:r>
      <w:r w:rsidR="00806E41">
        <w:rPr>
          <w:rFonts w:ascii="Arial" w:hAnsi="Arial" w:cs="Arial"/>
          <w:lang w:val="en-US"/>
        </w:rPr>
        <w:t xml:space="preserve"> benchmark</w:t>
      </w:r>
      <w:r w:rsidRPr="00B03334">
        <w:rPr>
          <w:rFonts w:ascii="Arial" w:hAnsi="Arial" w:cs="Arial"/>
          <w:lang w:val="en-US"/>
        </w:rPr>
        <w:t xml:space="preserve"> (or, put differently, if the relative deviation is greater than the </w:t>
      </w:r>
      <w:r w:rsidRPr="00B03334">
        <w:rPr>
          <w:rFonts w:ascii="Arial" w:hAnsi="Arial" w:cs="Arial"/>
        </w:rPr>
        <w:t>Δ</w:t>
      </w:r>
      <w:r w:rsidRPr="00B03334">
        <w:rPr>
          <w:rFonts w:ascii="Arial" w:hAnsi="Arial" w:cs="Arial"/>
          <w:lang w:val="en-US"/>
        </w:rPr>
        <w:t xml:space="preserve"> threshold we have just presented), then we will allow ourselves to modify it in order to ensure consistency between the total assets or liabilities and the sum of the i</w:t>
      </w:r>
      <w:r>
        <w:rPr>
          <w:rFonts w:ascii="Arial" w:hAnsi="Arial" w:cs="Arial"/>
          <w:lang w:val="en-US"/>
        </w:rPr>
        <w:t>nstruments making up this total</w:t>
      </w:r>
      <w:r w:rsidR="0080460B" w:rsidRPr="00B03334">
        <w:rPr>
          <w:rFonts w:ascii="Arial" w:hAnsi="Arial" w:cs="Arial"/>
          <w:lang w:val="en-US"/>
        </w:rPr>
        <w:t xml:space="preserve">. </w:t>
      </w:r>
    </w:p>
    <w:p w14:paraId="11994673" w14:textId="3351CC8F" w:rsidR="0080460B" w:rsidRPr="00B03334" w:rsidRDefault="00B03334" w:rsidP="0080460B">
      <w:pPr>
        <w:jc w:val="both"/>
        <w:rPr>
          <w:rFonts w:ascii="Arial" w:hAnsi="Arial" w:cs="Arial"/>
          <w:lang w:val="en-US"/>
        </w:rPr>
      </w:pPr>
      <w:r w:rsidRPr="00B03334">
        <w:rPr>
          <w:rFonts w:ascii="Arial" w:hAnsi="Arial" w:cs="Arial"/>
          <w:lang w:val="en-US"/>
        </w:rPr>
        <w:t>To do this, we will compare the difference between the total and the sum of the component sectors already f</w:t>
      </w:r>
      <w:r>
        <w:rPr>
          <w:rFonts w:ascii="Arial" w:hAnsi="Arial" w:cs="Arial"/>
          <w:lang w:val="en-US"/>
        </w:rPr>
        <w:t>ixed</w:t>
      </w:r>
      <w:r w:rsidR="0080460B" w:rsidRPr="00B03334">
        <w:rPr>
          <w:rFonts w:ascii="Arial" w:hAnsi="Arial" w:cs="Arial"/>
          <w:lang w:val="en-US"/>
        </w:rPr>
        <w:t xml:space="preserve"> </w:t>
      </w:r>
      <m:oMath>
        <m:sSubSup>
          <m:sSubSupPr>
            <m:ctrlPr>
              <w:rPr>
                <w:rFonts w:ascii="Cambria Math" w:hAnsi="Cambria Math" w:cs="Arial"/>
                <w:i/>
                <w:sz w:val="22"/>
              </w:rPr>
            </m:ctrlPr>
          </m:sSubSupPr>
          <m:e>
            <m:r>
              <w:rPr>
                <w:rFonts w:ascii="Cambria Math" w:hAnsi="Cambria Math" w:cs="Arial"/>
                <w:sz w:val="22"/>
              </w:rPr>
              <m:t>S</m:t>
            </m:r>
          </m:e>
          <m:sub>
            <m:r>
              <w:rPr>
                <w:rFonts w:ascii="Cambria Math" w:hAnsi="Cambria Math" w:cs="Arial"/>
                <w:sz w:val="22"/>
              </w:rPr>
              <m:t>N</m:t>
            </m:r>
            <m:r>
              <w:rPr>
                <w:rFonts w:ascii="Cambria Math" w:hAnsi="Cambria Math" w:cs="Arial"/>
                <w:sz w:val="22"/>
                <w:lang w:val="en-US"/>
              </w:rPr>
              <m:t>-1</m:t>
            </m:r>
          </m:sub>
          <m:sup>
            <m:r>
              <w:rPr>
                <w:rFonts w:ascii="Cambria Math" w:hAnsi="Cambria Math" w:cs="Arial"/>
                <w:sz w:val="22"/>
              </w:rPr>
              <m:t>total</m:t>
            </m:r>
          </m:sup>
        </m:sSubSup>
        <m:r>
          <w:rPr>
            <w:rFonts w:ascii="Cambria Math" w:hAnsi="Cambria Math" w:cs="Arial"/>
            <w:sz w:val="22"/>
            <w:lang w:val="en-US"/>
          </w:rPr>
          <m:t>-</m:t>
        </m:r>
        <m:nary>
          <m:naryPr>
            <m:chr m:val="∑"/>
            <m:limLoc m:val="undOvr"/>
            <m:supHide m:val="1"/>
            <m:ctrlPr>
              <w:rPr>
                <w:rFonts w:ascii="Cambria Math" w:hAnsi="Cambria Math" w:cs="Arial"/>
                <w:i/>
                <w:sz w:val="22"/>
              </w:rPr>
            </m:ctrlPr>
          </m:naryPr>
          <m:sub>
            <m:r>
              <w:rPr>
                <w:rFonts w:ascii="Cambria Math" w:hAnsi="Cambria Math" w:cs="Arial"/>
                <w:sz w:val="22"/>
              </w:rPr>
              <m:t>i</m:t>
            </m:r>
            <m:r>
              <w:rPr>
                <w:rFonts w:ascii="Cambria Math" w:hAnsi="Cambria Math" w:cs="Arial"/>
                <w:sz w:val="22"/>
                <w:lang w:val="en-US"/>
              </w:rPr>
              <m:t xml:space="preserve"> </m:t>
            </m:r>
            <m:r>
              <w:rPr>
                <w:rFonts w:ascii="Cambria Math" w:hAnsi="Cambria Math" w:cs="Arial"/>
                <w:sz w:val="22"/>
              </w:rPr>
              <m:t>fixed</m:t>
            </m:r>
          </m:sub>
          <m:sup/>
          <m:e>
            <m:sSubSup>
              <m:sSubSupPr>
                <m:ctrlPr>
                  <w:rPr>
                    <w:rFonts w:ascii="Cambria Math" w:hAnsi="Cambria Math" w:cs="Arial"/>
                    <w:i/>
                    <w:sz w:val="22"/>
                  </w:rPr>
                </m:ctrlPr>
              </m:sSubSupPr>
              <m:e>
                <m:acc>
                  <m:accPr>
                    <m:ctrlPr>
                      <w:rPr>
                        <w:rFonts w:ascii="Cambria Math" w:hAnsi="Cambria Math" w:cs="Arial"/>
                        <w:i/>
                        <w:sz w:val="22"/>
                      </w:rPr>
                    </m:ctrlPr>
                  </m:accPr>
                  <m:e>
                    <m:r>
                      <w:rPr>
                        <w:rFonts w:ascii="Cambria Math" w:hAnsi="Cambria Math" w:cs="Arial"/>
                        <w:sz w:val="22"/>
                      </w:rPr>
                      <m:t>S</m:t>
                    </m:r>
                  </m:e>
                </m:acc>
              </m:e>
              <m:sub>
                <m:r>
                  <w:rPr>
                    <w:rFonts w:ascii="Cambria Math" w:hAnsi="Cambria Math" w:cs="Arial"/>
                    <w:sz w:val="22"/>
                  </w:rPr>
                  <m:t>N</m:t>
                </m:r>
                <m:r>
                  <w:rPr>
                    <w:rFonts w:ascii="Cambria Math" w:hAnsi="Cambria Math" w:cs="Arial"/>
                    <w:sz w:val="22"/>
                    <w:lang w:val="en-US"/>
                  </w:rPr>
                  <m:t xml:space="preserve">-1, </m:t>
                </m:r>
                <m:r>
                  <w:rPr>
                    <w:rFonts w:ascii="Cambria Math" w:hAnsi="Cambria Math" w:cs="Arial"/>
                    <w:sz w:val="22"/>
                  </w:rPr>
                  <m:t>benc</m:t>
                </m:r>
                <m:r>
                  <w:rPr>
                    <w:rFonts w:ascii="Cambria Math" w:hAnsi="Cambria Math" w:cs="Arial"/>
                    <w:sz w:val="22"/>
                    <w:lang w:val="en-US"/>
                  </w:rPr>
                  <m:t>h</m:t>
                </m:r>
                <m:r>
                  <w:rPr>
                    <w:rFonts w:ascii="Cambria Math" w:hAnsi="Cambria Math" w:cs="Arial"/>
                    <w:sz w:val="22"/>
                  </w:rPr>
                  <m:t>mark</m:t>
                </m:r>
                <m:r>
                  <w:rPr>
                    <w:rFonts w:ascii="Cambria Math" w:hAnsi="Cambria Math" w:cs="Arial"/>
                    <w:sz w:val="22"/>
                    <w:lang w:val="en-US"/>
                  </w:rPr>
                  <m:t>2014</m:t>
                </m:r>
              </m:sub>
              <m:sup>
                <m:r>
                  <w:rPr>
                    <w:rFonts w:ascii="Cambria Math" w:hAnsi="Cambria Math" w:cs="Arial"/>
                    <w:sz w:val="22"/>
                  </w:rPr>
                  <m:t>i</m:t>
                </m:r>
              </m:sup>
            </m:sSubSup>
          </m:e>
        </m:nary>
      </m:oMath>
      <w:r w:rsidR="0080460B" w:rsidRPr="00B03334">
        <w:rPr>
          <w:rFonts w:ascii="Arial" w:hAnsi="Arial" w:cs="Arial"/>
          <w:lang w:val="en-US"/>
        </w:rPr>
        <w:t xml:space="preserve"> </w:t>
      </w:r>
      <w:r w:rsidRPr="00B03334">
        <w:rPr>
          <w:rFonts w:ascii="Arial" w:hAnsi="Arial" w:cs="Arial"/>
          <w:lang w:val="en-US"/>
        </w:rPr>
        <w:t>with the spontaneous sum of non-fixed sectors</w:t>
      </w:r>
      <m:oMath>
        <m:r>
          <w:rPr>
            <w:rFonts w:ascii="Cambria Math" w:hAnsi="Cambria Math" w:cs="Arial"/>
            <w:lang w:val="en-US"/>
          </w:rPr>
          <m:t xml:space="preserve"> </m:t>
        </m:r>
        <m:nary>
          <m:naryPr>
            <m:chr m:val="∑"/>
            <m:limLoc m:val="undOvr"/>
            <m:supHide m:val="1"/>
            <m:ctrlPr>
              <w:rPr>
                <w:rFonts w:ascii="Cambria Math" w:hAnsi="Cambria Math" w:cs="Arial"/>
                <w:i/>
              </w:rPr>
            </m:ctrlPr>
          </m:naryPr>
          <m:sub>
            <m:r>
              <w:rPr>
                <w:rFonts w:ascii="Cambria Math" w:hAnsi="Cambria Math" w:cs="Arial"/>
              </w:rPr>
              <m:t>j</m:t>
            </m:r>
            <m:r>
              <w:rPr>
                <w:rFonts w:ascii="Cambria Math" w:hAnsi="Cambria Math" w:cs="Arial"/>
                <w:lang w:val="en-US"/>
              </w:rPr>
              <m:t xml:space="preserve"> </m:t>
            </m:r>
            <m:r>
              <w:rPr>
                <w:rFonts w:ascii="Cambria Math" w:hAnsi="Cambria Math" w:cs="Arial"/>
              </w:rPr>
              <m:t>non</m:t>
            </m:r>
            <m:r>
              <w:rPr>
                <w:rFonts w:ascii="Cambria Math" w:hAnsi="Cambria Math" w:cs="Arial"/>
                <w:lang w:val="en-US"/>
              </w:rPr>
              <m:t>-</m:t>
            </m:r>
            <m:r>
              <w:rPr>
                <w:rFonts w:ascii="Cambria Math" w:hAnsi="Cambria Math" w:cs="Arial"/>
              </w:rPr>
              <m:t>fixed</m:t>
            </m:r>
          </m:sub>
          <m:sup/>
          <m:e>
            <m:sSubSup>
              <m:sSubSupPr>
                <m:ctrlPr>
                  <w:rPr>
                    <w:rFonts w:ascii="Cambria Math" w:hAnsi="Cambria Math" w:cs="Arial"/>
                    <w:i/>
                  </w:rPr>
                </m:ctrlPr>
              </m:sSubSupPr>
              <m:e>
                <m:acc>
                  <m:accPr>
                    <m:ctrlPr>
                      <w:rPr>
                        <w:rFonts w:ascii="Cambria Math" w:hAnsi="Cambria Math" w:cs="Arial"/>
                        <w:i/>
                      </w:rPr>
                    </m:ctrlPr>
                  </m:accPr>
                  <m:e>
                    <m:r>
                      <w:rPr>
                        <w:rFonts w:ascii="Cambria Math" w:hAnsi="Cambria Math" w:cs="Arial"/>
                      </w:rPr>
                      <m:t>S</m:t>
                    </m:r>
                  </m:e>
                </m:acc>
              </m:e>
              <m:sub>
                <m:r>
                  <w:rPr>
                    <w:rFonts w:ascii="Cambria Math" w:hAnsi="Cambria Math" w:cs="Arial"/>
                  </w:rPr>
                  <m:t>N</m:t>
                </m:r>
                <m:r>
                  <w:rPr>
                    <w:rFonts w:ascii="Cambria Math" w:hAnsi="Cambria Math" w:cs="Arial"/>
                    <w:lang w:val="en-US"/>
                  </w:rPr>
                  <m:t xml:space="preserve">-1, </m:t>
                </m:r>
                <m:r>
                  <w:rPr>
                    <w:rFonts w:ascii="Cambria Math" w:hAnsi="Cambria Math" w:cs="Arial"/>
                    <w:sz w:val="22"/>
                  </w:rPr>
                  <m:t>benc</m:t>
                </m:r>
                <m:r>
                  <w:rPr>
                    <w:rFonts w:ascii="Cambria Math" w:hAnsi="Cambria Math" w:cs="Arial"/>
                    <w:sz w:val="22"/>
                    <w:lang w:val="en-US"/>
                  </w:rPr>
                  <m:t>h</m:t>
                </m:r>
                <m:r>
                  <w:rPr>
                    <w:rFonts w:ascii="Cambria Math" w:hAnsi="Cambria Math" w:cs="Arial"/>
                    <w:sz w:val="22"/>
                  </w:rPr>
                  <m:t>mark</m:t>
                </m:r>
                <m:r>
                  <w:rPr>
                    <w:rFonts w:ascii="Cambria Math" w:hAnsi="Cambria Math" w:cs="Arial"/>
                    <w:lang w:val="en-US"/>
                  </w:rPr>
                  <m:t>2014</m:t>
                </m:r>
              </m:sub>
              <m:sup>
                <m:r>
                  <w:rPr>
                    <w:rFonts w:ascii="Cambria Math" w:hAnsi="Cambria Math" w:cs="Arial"/>
                  </w:rPr>
                  <m:t>j</m:t>
                </m:r>
              </m:sup>
            </m:sSubSup>
          </m:e>
        </m:nary>
      </m:oMath>
      <w:r w:rsidR="0080460B" w:rsidRPr="00B03334">
        <w:rPr>
          <w:rFonts w:ascii="Arial" w:hAnsi="Arial" w:cs="Arial"/>
          <w:lang w:val="en-US"/>
        </w:rPr>
        <w:t xml:space="preserve">. </w:t>
      </w:r>
      <w:r w:rsidRPr="00B03334">
        <w:rPr>
          <w:rFonts w:ascii="Arial" w:hAnsi="Arial" w:cs="Arial"/>
          <w:lang w:val="en-US"/>
        </w:rPr>
        <w:t>The ratio between these two values gives us a correction ratio to be applied to the non-fixed sectors to obtain the final</w:t>
      </w:r>
      <w:r>
        <w:rPr>
          <w:rFonts w:ascii="Arial" w:hAnsi="Arial" w:cs="Arial"/>
          <w:lang w:val="en-US"/>
        </w:rPr>
        <w:t xml:space="preserve"> value </w:t>
      </w:r>
      <m:oMath>
        <m:sSup>
          <m:sSupPr>
            <m:ctrlPr>
              <w:rPr>
                <w:rFonts w:ascii="Cambria Math" w:hAnsi="Cambria Math" w:cs="Arial"/>
                <w:i/>
              </w:rPr>
            </m:ctrlPr>
          </m:sSupPr>
          <m:e>
            <m:r>
              <w:rPr>
                <w:rFonts w:ascii="Cambria Math" w:hAnsi="Cambria Math" w:cs="Arial"/>
              </w:rPr>
              <m:t>S</m:t>
            </m:r>
          </m:e>
          <m:sup>
            <m:r>
              <w:rPr>
                <w:rFonts w:ascii="Cambria Math" w:hAnsi="Cambria Math" w:cs="Arial"/>
              </w:rPr>
              <m:t>j</m:t>
            </m:r>
          </m:sup>
        </m:sSup>
      </m:oMath>
      <w:r w:rsidRPr="00B03334">
        <w:rPr>
          <w:rFonts w:ascii="Arial" w:hAnsi="Arial" w:cs="Arial"/>
          <w:lang w:val="en-US"/>
        </w:rPr>
        <w:t>.</w:t>
      </w:r>
      <w:r w:rsidR="0080460B" w:rsidRPr="00B03334">
        <w:rPr>
          <w:rFonts w:ascii="Arial" w:hAnsi="Arial" w:cs="Arial"/>
          <w:lang w:val="en-US"/>
        </w:rPr>
        <w:t xml:space="preserve"> </w:t>
      </w:r>
    </w:p>
    <w:p w14:paraId="4030522A" w14:textId="62B385ED" w:rsidR="0080460B" w:rsidRPr="0080460B" w:rsidRDefault="00AC496F" w:rsidP="0080460B">
      <w:pPr>
        <w:jc w:val="both"/>
        <w:rPr>
          <w:rFonts w:ascii="Arial" w:hAnsi="Arial" w:cs="Arial"/>
        </w:rPr>
      </w:pPr>
      <m:oMathPara>
        <m:oMath>
          <m:sSubSup>
            <m:sSubSupPr>
              <m:ctrlPr>
                <w:rPr>
                  <w:rFonts w:ascii="Cambria Math" w:hAnsi="Cambria Math" w:cs="Arial"/>
                  <w:i/>
                  <w:sz w:val="22"/>
                </w:rPr>
              </m:ctrlPr>
            </m:sSubSupPr>
            <m:e>
              <m:r>
                <w:rPr>
                  <w:rFonts w:ascii="Cambria Math" w:hAnsi="Cambria Math" w:cs="Arial"/>
                  <w:sz w:val="22"/>
                </w:rPr>
                <m:t>S</m:t>
              </m:r>
            </m:e>
            <m:sub>
              <m:r>
                <w:rPr>
                  <w:rFonts w:ascii="Cambria Math" w:hAnsi="Cambria Math" w:cs="Arial"/>
                  <w:sz w:val="22"/>
                </w:rPr>
                <m:t>N-1, benc</m:t>
              </m:r>
              <m:r>
                <w:rPr>
                  <w:rFonts w:ascii="Cambria Math" w:hAnsi="Cambria Math" w:cs="Arial"/>
                  <w:sz w:val="22"/>
                  <w:lang w:val="en-US"/>
                </w:rPr>
                <m:t>h</m:t>
              </m:r>
              <m:r>
                <w:rPr>
                  <w:rFonts w:ascii="Cambria Math" w:hAnsi="Cambria Math" w:cs="Arial"/>
                  <w:sz w:val="22"/>
                </w:rPr>
                <m:t>mark2014</m:t>
              </m:r>
            </m:sub>
            <m:sup>
              <m:r>
                <w:rPr>
                  <w:rFonts w:ascii="Cambria Math" w:hAnsi="Cambria Math" w:cs="Arial"/>
                  <w:sz w:val="22"/>
                </w:rPr>
                <m:t>j</m:t>
              </m:r>
            </m:sup>
          </m:sSubSup>
          <m:r>
            <w:rPr>
              <w:rFonts w:ascii="Cambria Math" w:hAnsi="Cambria Math" w:cs="Arial"/>
              <w:sz w:val="22"/>
            </w:rPr>
            <m:t>=</m:t>
          </m:r>
          <m:sSubSup>
            <m:sSubSupPr>
              <m:ctrlPr>
                <w:rPr>
                  <w:rFonts w:ascii="Cambria Math" w:hAnsi="Cambria Math" w:cs="Arial"/>
                  <w:i/>
                  <w:sz w:val="22"/>
                </w:rPr>
              </m:ctrlPr>
            </m:sSubSupPr>
            <m:e>
              <m:acc>
                <m:accPr>
                  <m:ctrlPr>
                    <w:rPr>
                      <w:rFonts w:ascii="Cambria Math" w:hAnsi="Cambria Math" w:cs="Arial"/>
                      <w:i/>
                      <w:sz w:val="22"/>
                    </w:rPr>
                  </m:ctrlPr>
                </m:accPr>
                <m:e>
                  <m:r>
                    <w:rPr>
                      <w:rFonts w:ascii="Cambria Math" w:hAnsi="Cambria Math" w:cs="Arial"/>
                      <w:sz w:val="22"/>
                    </w:rPr>
                    <m:t>S</m:t>
                  </m:r>
                </m:e>
              </m:acc>
            </m:e>
            <m:sub>
              <m:r>
                <w:rPr>
                  <w:rFonts w:ascii="Cambria Math" w:hAnsi="Cambria Math" w:cs="Arial"/>
                  <w:sz w:val="22"/>
                </w:rPr>
                <m:t>N-1, benc</m:t>
              </m:r>
              <m:r>
                <w:rPr>
                  <w:rFonts w:ascii="Cambria Math" w:hAnsi="Cambria Math" w:cs="Arial"/>
                  <w:sz w:val="22"/>
                  <w:lang w:val="en-US"/>
                </w:rPr>
                <m:t>h</m:t>
              </m:r>
              <m:r>
                <w:rPr>
                  <w:rFonts w:ascii="Cambria Math" w:hAnsi="Cambria Math" w:cs="Arial"/>
                  <w:sz w:val="22"/>
                </w:rPr>
                <m:t>mark2014</m:t>
              </m:r>
            </m:sub>
            <m:sup>
              <m:r>
                <w:rPr>
                  <w:rFonts w:ascii="Cambria Math" w:hAnsi="Cambria Math" w:cs="Arial"/>
                  <w:sz w:val="22"/>
                </w:rPr>
                <m:t>j</m:t>
              </m:r>
            </m:sup>
          </m:sSubSup>
          <m:r>
            <w:rPr>
              <w:rFonts w:ascii="Cambria Math" w:hAnsi="Cambria Math" w:cs="Arial"/>
              <w:sz w:val="22"/>
            </w:rPr>
            <m:t xml:space="preserve">* </m:t>
          </m:r>
          <m:f>
            <m:fPr>
              <m:ctrlPr>
                <w:rPr>
                  <w:rFonts w:ascii="Cambria Math" w:hAnsi="Cambria Math" w:cs="Arial"/>
                  <w:i/>
                  <w:sz w:val="22"/>
                </w:rPr>
              </m:ctrlPr>
            </m:fPr>
            <m:num>
              <m:sSubSup>
                <m:sSubSupPr>
                  <m:ctrlPr>
                    <w:rPr>
                      <w:rFonts w:ascii="Cambria Math" w:hAnsi="Cambria Math" w:cs="Arial"/>
                      <w:i/>
                      <w:sz w:val="22"/>
                    </w:rPr>
                  </m:ctrlPr>
                </m:sSubSupPr>
                <m:e>
                  <m:r>
                    <w:rPr>
                      <w:rFonts w:ascii="Cambria Math" w:hAnsi="Cambria Math" w:cs="Arial"/>
                      <w:sz w:val="22"/>
                    </w:rPr>
                    <m:t>S</m:t>
                  </m:r>
                </m:e>
                <m:sub>
                  <m:r>
                    <w:rPr>
                      <w:rFonts w:ascii="Cambria Math" w:hAnsi="Cambria Math" w:cs="Arial"/>
                      <w:sz w:val="22"/>
                    </w:rPr>
                    <m:t>N-1,benc</m:t>
                  </m:r>
                  <m:r>
                    <w:rPr>
                      <w:rFonts w:ascii="Cambria Math" w:hAnsi="Cambria Math" w:cs="Arial"/>
                      <w:sz w:val="22"/>
                      <w:lang w:val="en-US"/>
                    </w:rPr>
                    <m:t>h</m:t>
                  </m:r>
                  <m:r>
                    <w:rPr>
                      <w:rFonts w:ascii="Cambria Math" w:hAnsi="Cambria Math" w:cs="Arial"/>
                      <w:sz w:val="22"/>
                    </w:rPr>
                    <m:t>mark2014</m:t>
                  </m:r>
                </m:sub>
                <m:sup>
                  <m:r>
                    <w:rPr>
                      <w:rFonts w:ascii="Cambria Math" w:hAnsi="Cambria Math" w:cs="Arial"/>
                      <w:sz w:val="22"/>
                    </w:rPr>
                    <m:t>total</m:t>
                  </m:r>
                </m:sup>
              </m:sSubSup>
              <m:r>
                <w:rPr>
                  <w:rFonts w:ascii="Cambria Math" w:hAnsi="Cambria Math" w:cs="Arial"/>
                  <w:sz w:val="22"/>
                </w:rPr>
                <m:t>-</m:t>
              </m:r>
              <m:nary>
                <m:naryPr>
                  <m:chr m:val="∑"/>
                  <m:limLoc m:val="undOvr"/>
                  <m:supHide m:val="1"/>
                  <m:ctrlPr>
                    <w:rPr>
                      <w:rFonts w:ascii="Cambria Math" w:hAnsi="Cambria Math" w:cs="Arial"/>
                      <w:i/>
                      <w:sz w:val="22"/>
                    </w:rPr>
                  </m:ctrlPr>
                </m:naryPr>
                <m:sub>
                  <m:r>
                    <w:rPr>
                      <w:rFonts w:ascii="Cambria Math" w:hAnsi="Cambria Math" w:cs="Arial"/>
                      <w:sz w:val="22"/>
                    </w:rPr>
                    <m:t>i fixed</m:t>
                  </m:r>
                </m:sub>
                <m:sup/>
                <m:e>
                  <m:sSubSup>
                    <m:sSubSupPr>
                      <m:ctrlPr>
                        <w:rPr>
                          <w:rFonts w:ascii="Cambria Math" w:hAnsi="Cambria Math" w:cs="Arial"/>
                          <w:i/>
                          <w:sz w:val="22"/>
                        </w:rPr>
                      </m:ctrlPr>
                    </m:sSubSupPr>
                    <m:e>
                      <m:acc>
                        <m:accPr>
                          <m:ctrlPr>
                            <w:rPr>
                              <w:rFonts w:ascii="Cambria Math" w:hAnsi="Cambria Math" w:cs="Arial"/>
                              <w:i/>
                              <w:sz w:val="22"/>
                            </w:rPr>
                          </m:ctrlPr>
                        </m:accPr>
                        <m:e>
                          <m:r>
                            <w:rPr>
                              <w:rFonts w:ascii="Cambria Math" w:hAnsi="Cambria Math" w:cs="Arial"/>
                              <w:sz w:val="22"/>
                            </w:rPr>
                            <m:t>S</m:t>
                          </m:r>
                        </m:e>
                      </m:acc>
                    </m:e>
                    <m:sub>
                      <m:r>
                        <w:rPr>
                          <w:rFonts w:ascii="Cambria Math" w:hAnsi="Cambria Math" w:cs="Arial"/>
                          <w:sz w:val="22"/>
                        </w:rPr>
                        <m:t>N-1, benc</m:t>
                      </m:r>
                      <m:r>
                        <w:rPr>
                          <w:rFonts w:ascii="Cambria Math" w:hAnsi="Cambria Math" w:cs="Arial"/>
                          <w:sz w:val="22"/>
                          <w:lang w:val="en-US"/>
                        </w:rPr>
                        <m:t>h</m:t>
                      </m:r>
                      <m:r>
                        <w:rPr>
                          <w:rFonts w:ascii="Cambria Math" w:hAnsi="Cambria Math" w:cs="Arial"/>
                          <w:sz w:val="22"/>
                        </w:rPr>
                        <m:t>mark2014</m:t>
                      </m:r>
                    </m:sub>
                    <m:sup>
                      <m:r>
                        <w:rPr>
                          <w:rFonts w:ascii="Cambria Math" w:hAnsi="Cambria Math" w:cs="Arial"/>
                          <w:sz w:val="22"/>
                        </w:rPr>
                        <m:t>i</m:t>
                      </m:r>
                    </m:sup>
                  </m:sSubSup>
                </m:e>
              </m:nary>
            </m:num>
            <m:den>
              <m:nary>
                <m:naryPr>
                  <m:chr m:val="∑"/>
                  <m:limLoc m:val="undOvr"/>
                  <m:supHide m:val="1"/>
                  <m:ctrlPr>
                    <w:rPr>
                      <w:rFonts w:ascii="Cambria Math" w:hAnsi="Cambria Math" w:cs="Arial"/>
                      <w:i/>
                      <w:sz w:val="22"/>
                    </w:rPr>
                  </m:ctrlPr>
                </m:naryPr>
                <m:sub>
                  <m:r>
                    <w:rPr>
                      <w:rFonts w:ascii="Cambria Math" w:hAnsi="Cambria Math" w:cs="Arial"/>
                      <w:sz w:val="22"/>
                    </w:rPr>
                    <m:t>k non-fixed</m:t>
                  </m:r>
                </m:sub>
                <m:sup/>
                <m:e>
                  <m:sSubSup>
                    <m:sSubSupPr>
                      <m:ctrlPr>
                        <w:rPr>
                          <w:rFonts w:ascii="Cambria Math" w:hAnsi="Cambria Math" w:cs="Arial"/>
                          <w:i/>
                          <w:sz w:val="22"/>
                        </w:rPr>
                      </m:ctrlPr>
                    </m:sSubSupPr>
                    <m:e>
                      <m:acc>
                        <m:accPr>
                          <m:ctrlPr>
                            <w:rPr>
                              <w:rFonts w:ascii="Cambria Math" w:hAnsi="Cambria Math" w:cs="Arial"/>
                              <w:i/>
                              <w:sz w:val="22"/>
                            </w:rPr>
                          </m:ctrlPr>
                        </m:accPr>
                        <m:e>
                          <m:r>
                            <w:rPr>
                              <w:rFonts w:ascii="Cambria Math" w:hAnsi="Cambria Math" w:cs="Arial"/>
                              <w:sz w:val="22"/>
                            </w:rPr>
                            <m:t>S</m:t>
                          </m:r>
                        </m:e>
                      </m:acc>
                    </m:e>
                    <m:sub>
                      <m:r>
                        <w:rPr>
                          <w:rFonts w:ascii="Cambria Math" w:hAnsi="Cambria Math" w:cs="Arial"/>
                          <w:sz w:val="22"/>
                        </w:rPr>
                        <m:t>N-1, benc</m:t>
                      </m:r>
                      <m:r>
                        <w:rPr>
                          <w:rFonts w:ascii="Cambria Math" w:hAnsi="Cambria Math" w:cs="Arial"/>
                          <w:sz w:val="22"/>
                          <w:lang w:val="en-US"/>
                        </w:rPr>
                        <m:t>h</m:t>
                      </m:r>
                      <m:r>
                        <w:rPr>
                          <w:rFonts w:ascii="Cambria Math" w:hAnsi="Cambria Math" w:cs="Arial"/>
                          <w:sz w:val="22"/>
                        </w:rPr>
                        <m:t>mark2014</m:t>
                      </m:r>
                    </m:sub>
                    <m:sup>
                      <m:r>
                        <w:rPr>
                          <w:rFonts w:ascii="Cambria Math" w:hAnsi="Cambria Math" w:cs="Arial"/>
                          <w:sz w:val="22"/>
                        </w:rPr>
                        <m:t>k</m:t>
                      </m:r>
                    </m:sup>
                  </m:sSubSup>
                </m:e>
              </m:nary>
            </m:den>
          </m:f>
        </m:oMath>
      </m:oMathPara>
    </w:p>
    <w:p w14:paraId="18CCEB6E" w14:textId="1C25B83B" w:rsidR="008F43E4" w:rsidRDefault="00B03334" w:rsidP="0080460B">
      <w:pPr>
        <w:jc w:val="both"/>
        <w:rPr>
          <w:noProof/>
          <w:lang w:val="en-US"/>
        </w:rPr>
      </w:pPr>
      <w:r w:rsidRPr="00B03334">
        <w:rPr>
          <w:rFonts w:ascii="Arial" w:hAnsi="Arial" w:cs="Arial"/>
          <w:lang w:val="en-US"/>
        </w:rPr>
        <w:t xml:space="preserve">In the end, a correction proportional to the </w:t>
      </w:r>
      <w:r w:rsidR="00740C15">
        <w:rPr>
          <w:rFonts w:ascii="Arial" w:hAnsi="Arial" w:cs="Arial"/>
          <w:lang w:val="en-US"/>
        </w:rPr>
        <w:t>stocks</w:t>
      </w:r>
      <w:r w:rsidRPr="00B03334">
        <w:rPr>
          <w:rFonts w:ascii="Arial" w:hAnsi="Arial" w:cs="Arial"/>
          <w:lang w:val="en-US"/>
        </w:rPr>
        <w:t xml:space="preserve"> is applied to all the non-fixed sectors. This ensures that the sum of the sectors is equal to the total calculated above. The example below extends the previous example by detailing the steps for </w:t>
      </w:r>
      <w:r w:rsidR="008F43E4" w:rsidRPr="00B03334">
        <w:rPr>
          <w:rFonts w:ascii="Arial" w:hAnsi="Arial" w:cs="Arial"/>
          <w:lang w:val="en-US"/>
        </w:rPr>
        <w:t>two</w:t>
      </w:r>
      <w:r w:rsidRPr="00B03334">
        <w:rPr>
          <w:rFonts w:ascii="Arial" w:hAnsi="Arial" w:cs="Arial"/>
          <w:lang w:val="en-US"/>
        </w:rPr>
        <w:t xml:space="preserve"> instruments:</w:t>
      </w:r>
      <w:r w:rsidR="00BC55A5" w:rsidRPr="00BC55A5">
        <w:rPr>
          <w:noProof/>
          <w:lang w:val="en-US"/>
        </w:rPr>
        <w:t xml:space="preserve"> </w:t>
      </w:r>
    </w:p>
    <w:p w14:paraId="08708A18" w14:textId="77777777" w:rsidR="008F43E4" w:rsidRDefault="008F43E4" w:rsidP="0080460B">
      <w:pPr>
        <w:jc w:val="both"/>
        <w:rPr>
          <w:noProof/>
          <w:lang w:val="en-US"/>
        </w:rPr>
      </w:pPr>
    </w:p>
    <w:p w14:paraId="606E77DC" w14:textId="6E196ED2" w:rsidR="0080460B" w:rsidRPr="00BC55A5" w:rsidRDefault="00BA58AB" w:rsidP="0080460B">
      <w:pPr>
        <w:jc w:val="both"/>
        <w:rPr>
          <w:rFonts w:ascii="Arial" w:hAnsi="Arial" w:cs="Arial"/>
          <w:lang w:val="en-US"/>
        </w:rPr>
      </w:pPr>
      <w:r w:rsidRPr="00BA58AB">
        <w:rPr>
          <w:rFonts w:ascii="Arial" w:hAnsi="Arial" w:cs="Arial"/>
          <w:noProof/>
        </w:rPr>
        <w:drawing>
          <wp:inline distT="0" distB="0" distL="0" distR="0" wp14:anchorId="0B9FD94D" wp14:editId="0E601958">
            <wp:extent cx="4906060" cy="2629267"/>
            <wp:effectExtent l="0" t="0" r="889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06060" cy="2629267"/>
                    </a:xfrm>
                    <a:prstGeom prst="rect">
                      <a:avLst/>
                    </a:prstGeom>
                  </pic:spPr>
                </pic:pic>
              </a:graphicData>
            </a:graphic>
          </wp:inline>
        </w:drawing>
      </w:r>
    </w:p>
    <w:p w14:paraId="08F91528" w14:textId="77777777" w:rsidR="0080460B" w:rsidRDefault="00BC55A5" w:rsidP="0080460B">
      <w:pPr>
        <w:jc w:val="both"/>
        <w:rPr>
          <w:rFonts w:ascii="Arial" w:hAnsi="Arial" w:cs="Arial"/>
          <w:i/>
          <w:iCs/>
          <w:lang w:val="en-US"/>
        </w:rPr>
      </w:pPr>
      <w:r w:rsidRPr="00BC55A5">
        <w:rPr>
          <w:rFonts w:ascii="Arial" w:hAnsi="Arial" w:cs="Arial"/>
          <w:i/>
          <w:iCs/>
          <w:lang w:val="en-US"/>
        </w:rPr>
        <w:t xml:space="preserve">Figure 2: Illustration of the adjustment when asset and liability totals are </w:t>
      </w:r>
      <w:r>
        <w:rPr>
          <w:rFonts w:ascii="Arial" w:hAnsi="Arial" w:cs="Arial"/>
          <w:i/>
          <w:iCs/>
          <w:lang w:val="en-US"/>
        </w:rPr>
        <w:t>fixed</w:t>
      </w:r>
      <w:r w:rsidRPr="00BC55A5">
        <w:rPr>
          <w:rFonts w:ascii="Arial" w:hAnsi="Arial" w:cs="Arial"/>
          <w:i/>
          <w:iCs/>
          <w:lang w:val="en-US"/>
        </w:rPr>
        <w:t xml:space="preserve"> and instruments with little or no change.</w:t>
      </w:r>
    </w:p>
    <w:p w14:paraId="56AD5807" w14:textId="77777777" w:rsidR="00BC55A5" w:rsidRPr="00BC55A5" w:rsidRDefault="00BC55A5" w:rsidP="0080460B">
      <w:pPr>
        <w:jc w:val="both"/>
        <w:rPr>
          <w:rFonts w:ascii="Arial" w:hAnsi="Arial" w:cs="Arial"/>
          <w:lang w:val="en-US"/>
        </w:rPr>
      </w:pPr>
    </w:p>
    <w:p w14:paraId="5316DCBC" w14:textId="77777777" w:rsidR="00CE3E76" w:rsidRPr="00BC55A5" w:rsidRDefault="00BC55A5" w:rsidP="00CE3E76">
      <w:pPr>
        <w:jc w:val="both"/>
        <w:rPr>
          <w:sz w:val="22"/>
          <w:szCs w:val="22"/>
          <w:lang w:val="en-US"/>
        </w:rPr>
      </w:pPr>
      <w:r w:rsidRPr="00BC55A5">
        <w:rPr>
          <w:rFonts w:ascii="Arial" w:hAnsi="Arial" w:cs="Arial"/>
          <w:lang w:val="en-US"/>
        </w:rPr>
        <w:t xml:space="preserve">In practice, we have empirically used a </w:t>
      </w:r>
      <w:r w:rsidRPr="00BC55A5">
        <w:rPr>
          <w:rFonts w:ascii="Arial" w:hAnsi="Arial" w:cs="Arial"/>
        </w:rPr>
        <w:t>Δ</w:t>
      </w:r>
      <w:r w:rsidRPr="00BC55A5">
        <w:rPr>
          <w:rFonts w:ascii="Arial" w:hAnsi="Arial" w:cs="Arial"/>
          <w:lang w:val="en-US"/>
        </w:rPr>
        <w:t xml:space="preserve"> threshold of 5% and the adjustment ratios vary widely, from 0.02% to 8%, with an average of 4.2%.</w:t>
      </w:r>
    </w:p>
    <w:p w14:paraId="2F1EEA1F" w14:textId="77777777" w:rsidR="0080460B" w:rsidRPr="00BC55A5" w:rsidRDefault="0080460B" w:rsidP="00CE3E76">
      <w:pPr>
        <w:jc w:val="both"/>
        <w:rPr>
          <w:sz w:val="22"/>
          <w:szCs w:val="22"/>
          <w:lang w:val="en-US"/>
        </w:rPr>
      </w:pPr>
    </w:p>
    <w:p w14:paraId="50086839" w14:textId="77777777" w:rsidR="0080460B" w:rsidRPr="00BC55A5" w:rsidRDefault="0080460B" w:rsidP="0080460B">
      <w:pPr>
        <w:keepNext/>
        <w:spacing w:before="240" w:after="120"/>
        <w:ind w:left="567" w:hanging="567"/>
        <w:outlineLvl w:val="3"/>
        <w:rPr>
          <w:rFonts w:ascii="Arial" w:hAnsi="Arial" w:cs="Arial"/>
          <w:color w:val="4F81BD" w:themeColor="accent1"/>
          <w:sz w:val="22"/>
          <w:szCs w:val="22"/>
          <w:lang w:val="en-US"/>
        </w:rPr>
      </w:pPr>
      <w:r w:rsidRPr="00BC55A5">
        <w:rPr>
          <w:rFonts w:ascii="Arial" w:hAnsi="Arial" w:cs="Arial"/>
          <w:color w:val="4F81BD" w:themeColor="accent1"/>
          <w:sz w:val="22"/>
          <w:szCs w:val="22"/>
          <w:lang w:val="en-US"/>
        </w:rPr>
        <w:t>3.2.</w:t>
      </w:r>
      <w:r w:rsidRPr="00BC55A5">
        <w:rPr>
          <w:rFonts w:ascii="Arial" w:hAnsi="Arial" w:cs="Arial"/>
          <w:color w:val="4F81BD" w:themeColor="accent1"/>
          <w:sz w:val="22"/>
          <w:szCs w:val="22"/>
          <w:lang w:val="en-US"/>
        </w:rPr>
        <w:tab/>
      </w:r>
      <w:r w:rsidR="00BC55A5" w:rsidRPr="00BC55A5">
        <w:rPr>
          <w:rFonts w:ascii="Arial" w:hAnsi="Arial" w:cs="Arial"/>
          <w:color w:val="4F81BD" w:themeColor="accent1"/>
          <w:sz w:val="22"/>
          <w:szCs w:val="22"/>
          <w:lang w:val="en-US"/>
        </w:rPr>
        <w:t>Backcasting of valuation effects</w:t>
      </w:r>
    </w:p>
    <w:p w14:paraId="6D933F0D" w14:textId="77777777" w:rsidR="0080460B" w:rsidRPr="00BC55A5" w:rsidRDefault="0080460B" w:rsidP="0080460B">
      <w:pPr>
        <w:keepNext/>
        <w:spacing w:before="240" w:after="120"/>
        <w:ind w:left="567" w:hanging="567"/>
        <w:outlineLvl w:val="3"/>
        <w:rPr>
          <w:rFonts w:ascii="Arial" w:hAnsi="Arial" w:cs="Arial"/>
          <w:color w:val="4F81BD" w:themeColor="accent1"/>
          <w:sz w:val="22"/>
          <w:szCs w:val="22"/>
          <w:lang w:val="en-US"/>
        </w:rPr>
      </w:pPr>
    </w:p>
    <w:p w14:paraId="44E6C896" w14:textId="1D64A9F3" w:rsidR="00BC55A5" w:rsidRDefault="00BC55A5" w:rsidP="0080460B">
      <w:pPr>
        <w:jc w:val="both"/>
        <w:rPr>
          <w:rFonts w:ascii="Arial" w:hAnsi="Arial" w:cs="Arial"/>
          <w:lang w:val="en-US"/>
        </w:rPr>
      </w:pPr>
      <w:r w:rsidRPr="00BC55A5">
        <w:rPr>
          <w:rFonts w:ascii="Arial" w:hAnsi="Arial" w:cs="Arial"/>
          <w:lang w:val="en-US"/>
        </w:rPr>
        <w:t>For valuation effects</w:t>
      </w:r>
      <w:r w:rsidR="00DB7EDE">
        <w:rPr>
          <w:rFonts w:ascii="Arial" w:hAnsi="Arial" w:cs="Arial"/>
          <w:lang w:val="en-US"/>
        </w:rPr>
        <w:t xml:space="preserve"> </w:t>
      </w:r>
      <w:r w:rsidR="00DB7EDE" w:rsidRPr="00747D39">
        <w:rPr>
          <w:rFonts w:ascii="Arial" w:hAnsi="Arial" w:cs="Arial"/>
          <w:lang w:val="en-US"/>
        </w:rPr>
        <w:t xml:space="preserve">(noted </w:t>
      </w:r>
      <w:r w:rsidR="00DB7EDE">
        <w:rPr>
          <w:rFonts w:ascii="Arial" w:hAnsi="Arial" w:cs="Arial"/>
          <w:lang w:val="en-US"/>
        </w:rPr>
        <w:t>R</w:t>
      </w:r>
      <w:r w:rsidR="00DB7EDE" w:rsidRPr="00747D39">
        <w:rPr>
          <w:rFonts w:ascii="Arial" w:hAnsi="Arial" w:cs="Arial"/>
          <w:lang w:val="en-US"/>
        </w:rPr>
        <w:t xml:space="preserve"> hereafter),</w:t>
      </w:r>
      <w:r w:rsidRPr="00BC55A5">
        <w:rPr>
          <w:rFonts w:ascii="Arial" w:hAnsi="Arial" w:cs="Arial"/>
          <w:lang w:val="en-US"/>
        </w:rPr>
        <w:t xml:space="preserve"> it was decided to retain the ratio between valuation flows and </w:t>
      </w:r>
      <w:r w:rsidR="00033658">
        <w:rPr>
          <w:rFonts w:ascii="Arial" w:hAnsi="Arial" w:cs="Arial"/>
          <w:lang w:val="en-US"/>
        </w:rPr>
        <w:t>stocks on the</w:t>
      </w:r>
      <w:r w:rsidRPr="00BC55A5">
        <w:rPr>
          <w:rFonts w:ascii="Arial" w:hAnsi="Arial" w:cs="Arial"/>
          <w:lang w:val="en-US"/>
        </w:rPr>
        <w:t xml:space="preserve"> 2000 </w:t>
      </w:r>
      <w:r w:rsidR="00A1406A">
        <w:rPr>
          <w:rFonts w:ascii="Arial" w:hAnsi="Arial" w:cs="Arial"/>
          <w:lang w:val="en-US"/>
        </w:rPr>
        <w:t>benchmark</w:t>
      </w:r>
      <w:r w:rsidRPr="00BC55A5">
        <w:rPr>
          <w:rFonts w:ascii="Arial" w:hAnsi="Arial" w:cs="Arial"/>
          <w:lang w:val="en-US"/>
        </w:rPr>
        <w:t xml:space="preserve"> and to apply it on </w:t>
      </w:r>
      <w:r w:rsidR="00033658">
        <w:rPr>
          <w:rFonts w:ascii="Arial" w:hAnsi="Arial" w:cs="Arial"/>
          <w:lang w:val="en-US"/>
        </w:rPr>
        <w:t>the</w:t>
      </w:r>
      <w:r w:rsidRPr="00BC55A5">
        <w:rPr>
          <w:rFonts w:ascii="Arial" w:hAnsi="Arial" w:cs="Arial"/>
          <w:lang w:val="en-US"/>
        </w:rPr>
        <w:t xml:space="preserve"> 2014 </w:t>
      </w:r>
      <w:r w:rsidR="00A1406A">
        <w:rPr>
          <w:rFonts w:ascii="Arial" w:hAnsi="Arial" w:cs="Arial"/>
          <w:lang w:val="en-US"/>
        </w:rPr>
        <w:t>benchmark</w:t>
      </w:r>
      <w:r w:rsidRPr="00BC55A5">
        <w:rPr>
          <w:rFonts w:ascii="Arial" w:hAnsi="Arial" w:cs="Arial"/>
          <w:lang w:val="en-US"/>
        </w:rPr>
        <w:t xml:space="preserve">. More precisely, we calculate the valuation flow between N-1 and N divided by the average </w:t>
      </w:r>
      <w:r w:rsidR="00033658">
        <w:rPr>
          <w:rFonts w:ascii="Arial" w:hAnsi="Arial" w:cs="Arial"/>
          <w:lang w:val="en-US"/>
        </w:rPr>
        <w:t>stocks</w:t>
      </w:r>
      <w:r w:rsidR="00033658" w:rsidRPr="00BC55A5">
        <w:rPr>
          <w:rFonts w:ascii="Arial" w:hAnsi="Arial" w:cs="Arial"/>
          <w:lang w:val="en-US"/>
        </w:rPr>
        <w:t xml:space="preserve"> </w:t>
      </w:r>
      <w:r w:rsidRPr="00BC55A5">
        <w:rPr>
          <w:rFonts w:ascii="Arial" w:hAnsi="Arial" w:cs="Arial"/>
          <w:lang w:val="en-US"/>
        </w:rPr>
        <w:t>in N and N-</w:t>
      </w:r>
      <w:r w:rsidR="00517BA3" w:rsidRPr="00BC55A5">
        <w:rPr>
          <w:rFonts w:ascii="Arial" w:hAnsi="Arial" w:cs="Arial"/>
          <w:lang w:val="en-US"/>
        </w:rPr>
        <w:t>1:</w:t>
      </w:r>
    </w:p>
    <w:p w14:paraId="64AA0DDD" w14:textId="4AFF948B" w:rsidR="0080460B" w:rsidRPr="00BC55A5" w:rsidRDefault="00AC496F" w:rsidP="0080460B">
      <w:pPr>
        <w:jc w:val="both"/>
        <w:rPr>
          <w:sz w:val="22"/>
          <w:szCs w:val="22"/>
          <w:lang w:val="en-US"/>
        </w:rPr>
      </w:pPr>
      <m:oMathPara>
        <m:oMath>
          <m:f>
            <m:fPr>
              <m:ctrlPr>
                <w:rPr>
                  <w:rFonts w:ascii="Cambria Math" w:hAnsi="Cambria Math"/>
                  <w:i/>
                  <w:sz w:val="24"/>
                  <w:szCs w:val="22"/>
                </w:rPr>
              </m:ctrlPr>
            </m:fPr>
            <m:num>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N</m:t>
                  </m:r>
                  <m:r>
                    <w:rPr>
                      <w:rFonts w:ascii="Cambria Math" w:hAnsi="Cambria Math"/>
                      <w:sz w:val="24"/>
                      <w:szCs w:val="22"/>
                      <w:lang w:val="en-US"/>
                    </w:rPr>
                    <m:t xml:space="preserve">, </m:t>
                  </m:r>
                  <m:r>
                    <w:rPr>
                      <w:rFonts w:ascii="Cambria Math" w:eastAsia="Calibri" w:hAnsi="Cambria Math"/>
                      <w:sz w:val="22"/>
                      <w:szCs w:val="22"/>
                      <w:lang w:eastAsia="en-US"/>
                    </w:rPr>
                    <m:t xml:space="preserve">benchmark </m:t>
                  </m:r>
                  <m:r>
                    <w:rPr>
                      <w:rFonts w:ascii="Cambria Math" w:hAnsi="Cambria Math"/>
                      <w:sz w:val="24"/>
                      <w:szCs w:val="22"/>
                      <w:lang w:val="en-US"/>
                    </w:rPr>
                    <m:t>2000</m:t>
                  </m:r>
                </m:sub>
              </m:sSub>
            </m:num>
            <m:den>
              <m:r>
                <w:rPr>
                  <w:rFonts w:ascii="Cambria Math" w:hAnsi="Cambria Math"/>
                  <w:sz w:val="24"/>
                  <w:szCs w:val="22"/>
                  <w:lang w:val="en-US"/>
                </w:rPr>
                <m:t>0,5*(</m:t>
              </m:r>
              <m:sSub>
                <m:sSubPr>
                  <m:ctrlPr>
                    <w:rPr>
                      <w:rFonts w:ascii="Cambria Math" w:hAnsi="Cambria Math"/>
                      <w:i/>
                      <w:sz w:val="24"/>
                      <w:szCs w:val="22"/>
                    </w:rPr>
                  </m:ctrlPr>
                </m:sSubPr>
                <m:e>
                  <m:r>
                    <w:rPr>
                      <w:rFonts w:ascii="Cambria Math" w:hAnsi="Cambria Math"/>
                      <w:sz w:val="24"/>
                      <w:szCs w:val="22"/>
                    </w:rPr>
                    <m:t>S</m:t>
                  </m:r>
                </m:e>
                <m:sub>
                  <m:r>
                    <w:rPr>
                      <w:rFonts w:ascii="Cambria Math" w:hAnsi="Cambria Math"/>
                      <w:sz w:val="24"/>
                      <w:szCs w:val="22"/>
                    </w:rPr>
                    <m:t>N</m:t>
                  </m:r>
                  <m:r>
                    <w:rPr>
                      <w:rFonts w:ascii="Cambria Math" w:hAnsi="Cambria Math"/>
                      <w:sz w:val="24"/>
                      <w:szCs w:val="22"/>
                      <w:lang w:val="en-US"/>
                    </w:rPr>
                    <m:t xml:space="preserve">-1, </m:t>
                  </m:r>
                  <m:r>
                    <w:rPr>
                      <w:rFonts w:ascii="Cambria Math" w:eastAsia="Calibri" w:hAnsi="Cambria Math"/>
                      <w:sz w:val="22"/>
                      <w:szCs w:val="22"/>
                      <w:lang w:eastAsia="en-US"/>
                    </w:rPr>
                    <m:t xml:space="preserve">benchmark </m:t>
                  </m:r>
                  <m:r>
                    <w:rPr>
                      <w:rFonts w:ascii="Cambria Math" w:hAnsi="Cambria Math"/>
                      <w:sz w:val="24"/>
                      <w:szCs w:val="22"/>
                      <w:lang w:val="en-US"/>
                    </w:rPr>
                    <m:t>2000</m:t>
                  </m:r>
                </m:sub>
              </m:sSub>
              <m:r>
                <w:rPr>
                  <w:rFonts w:ascii="Cambria Math" w:hAnsi="Cambria Math"/>
                  <w:sz w:val="24"/>
                  <w:szCs w:val="22"/>
                  <w:lang w:val="en-US"/>
                </w:rPr>
                <m:t>+</m:t>
              </m:r>
              <m:sSub>
                <m:sSubPr>
                  <m:ctrlPr>
                    <w:rPr>
                      <w:rFonts w:ascii="Cambria Math" w:hAnsi="Cambria Math"/>
                      <w:i/>
                      <w:sz w:val="24"/>
                      <w:szCs w:val="22"/>
                    </w:rPr>
                  </m:ctrlPr>
                </m:sSubPr>
                <m:e>
                  <m:r>
                    <w:rPr>
                      <w:rFonts w:ascii="Cambria Math" w:hAnsi="Cambria Math"/>
                      <w:sz w:val="24"/>
                      <w:szCs w:val="22"/>
                    </w:rPr>
                    <m:t>S</m:t>
                  </m:r>
                </m:e>
                <m:sub>
                  <m:r>
                    <w:rPr>
                      <w:rFonts w:ascii="Cambria Math" w:hAnsi="Cambria Math"/>
                      <w:sz w:val="24"/>
                      <w:szCs w:val="22"/>
                    </w:rPr>
                    <m:t>N</m:t>
                  </m:r>
                  <m:r>
                    <w:rPr>
                      <w:rFonts w:ascii="Cambria Math" w:hAnsi="Cambria Math"/>
                      <w:sz w:val="24"/>
                      <w:szCs w:val="22"/>
                      <w:lang w:val="en-US"/>
                    </w:rPr>
                    <m:t xml:space="preserve">, </m:t>
                  </m:r>
                  <m:r>
                    <w:rPr>
                      <w:rFonts w:ascii="Cambria Math" w:eastAsia="Calibri" w:hAnsi="Cambria Math"/>
                      <w:sz w:val="22"/>
                      <w:szCs w:val="22"/>
                      <w:lang w:eastAsia="en-US"/>
                    </w:rPr>
                    <m:t xml:space="preserve">benchmark </m:t>
                  </m:r>
                  <m:r>
                    <w:rPr>
                      <w:rFonts w:ascii="Cambria Math" w:hAnsi="Cambria Math"/>
                      <w:sz w:val="24"/>
                      <w:szCs w:val="22"/>
                      <w:lang w:val="en-US"/>
                    </w:rPr>
                    <m:t>2000</m:t>
                  </m:r>
                </m:sub>
              </m:sSub>
              <m:r>
                <w:rPr>
                  <w:rFonts w:ascii="Cambria Math" w:hAnsi="Cambria Math"/>
                  <w:sz w:val="24"/>
                  <w:szCs w:val="22"/>
                  <w:lang w:val="en-US"/>
                </w:rPr>
                <m:t>)</m:t>
              </m:r>
            </m:den>
          </m:f>
        </m:oMath>
      </m:oMathPara>
    </w:p>
    <w:p w14:paraId="6AE2BC49" w14:textId="767AAF01" w:rsidR="00DB7EDE" w:rsidRPr="001D0E62" w:rsidRDefault="00DB7EDE" w:rsidP="0080460B">
      <w:pPr>
        <w:jc w:val="both"/>
        <w:rPr>
          <w:rFonts w:ascii="Arial" w:hAnsi="Arial" w:cs="Arial"/>
          <w:lang w:val="en-US"/>
        </w:rPr>
      </w:pPr>
      <w:r w:rsidRPr="001D0E62">
        <w:rPr>
          <w:rFonts w:ascii="Arial" w:hAnsi="Arial" w:cs="Arial"/>
          <w:lang w:val="en-US"/>
        </w:rPr>
        <w:t xml:space="preserve">This ratio is then applied to the average of </w:t>
      </w:r>
      <w:r w:rsidR="00033658" w:rsidRPr="001D0E62">
        <w:rPr>
          <w:rFonts w:ascii="Arial" w:hAnsi="Arial" w:cs="Arial"/>
          <w:lang w:val="en-US"/>
        </w:rPr>
        <w:t xml:space="preserve">stocks </w:t>
      </w:r>
      <w:r w:rsidRPr="001D0E62">
        <w:rPr>
          <w:rFonts w:ascii="Arial" w:hAnsi="Arial" w:cs="Arial"/>
          <w:lang w:val="en-US"/>
        </w:rPr>
        <w:t xml:space="preserve">in N and N-1 on a 2014 </w:t>
      </w:r>
      <w:r w:rsidR="00A1406A" w:rsidRPr="001D0E62">
        <w:rPr>
          <w:rFonts w:ascii="Arial" w:hAnsi="Arial" w:cs="Arial"/>
          <w:lang w:val="en-US"/>
        </w:rPr>
        <w:t>benchmark</w:t>
      </w:r>
      <w:r w:rsidRPr="001D0E62">
        <w:rPr>
          <w:rFonts w:ascii="Arial" w:hAnsi="Arial" w:cs="Arial"/>
          <w:lang w:val="en-US"/>
        </w:rPr>
        <w:t>.</w:t>
      </w:r>
    </w:p>
    <w:p w14:paraId="175E3708" w14:textId="7E904AD7" w:rsidR="0080460B" w:rsidRPr="00DB7EDE" w:rsidRDefault="00AC496F" w:rsidP="0080460B">
      <w:pPr>
        <w:jc w:val="both"/>
        <w:rPr>
          <w:sz w:val="22"/>
          <w:szCs w:val="22"/>
          <w:lang w:val="en-US"/>
        </w:rPr>
      </w:pPr>
      <m:oMathPara>
        <m:oMath>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N</m:t>
              </m:r>
              <m:r>
                <w:rPr>
                  <w:rFonts w:ascii="Cambria Math" w:hAnsi="Cambria Math"/>
                  <w:sz w:val="24"/>
                  <w:szCs w:val="22"/>
                  <w:lang w:val="en-US"/>
                </w:rPr>
                <m:t xml:space="preserve">, </m:t>
              </m:r>
              <m:r>
                <w:rPr>
                  <w:rFonts w:ascii="Cambria Math" w:eastAsia="Calibri" w:hAnsi="Cambria Math"/>
                  <w:sz w:val="22"/>
                  <w:szCs w:val="22"/>
                  <w:lang w:eastAsia="en-US"/>
                </w:rPr>
                <m:t xml:space="preserve">benchmark </m:t>
              </m:r>
              <m:r>
                <w:rPr>
                  <w:rFonts w:ascii="Cambria Math" w:hAnsi="Cambria Math"/>
                  <w:sz w:val="24"/>
                  <w:szCs w:val="22"/>
                  <w:lang w:val="en-US"/>
                </w:rPr>
                <m:t>2014</m:t>
              </m:r>
            </m:sub>
          </m:sSub>
          <m:r>
            <w:rPr>
              <w:rFonts w:ascii="Cambria Math" w:hAnsi="Cambria Math"/>
              <w:sz w:val="24"/>
              <w:szCs w:val="22"/>
              <w:lang w:val="en-US"/>
            </w:rPr>
            <m:t>=</m:t>
          </m:r>
          <m:f>
            <m:fPr>
              <m:ctrlPr>
                <w:rPr>
                  <w:rFonts w:ascii="Cambria Math" w:hAnsi="Cambria Math"/>
                  <w:i/>
                  <w:sz w:val="24"/>
                  <w:szCs w:val="22"/>
                </w:rPr>
              </m:ctrlPr>
            </m:fPr>
            <m:num>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N</m:t>
                  </m:r>
                  <m:r>
                    <w:rPr>
                      <w:rFonts w:ascii="Cambria Math" w:hAnsi="Cambria Math"/>
                      <w:sz w:val="24"/>
                      <w:szCs w:val="22"/>
                      <w:lang w:val="en-US"/>
                    </w:rPr>
                    <m:t xml:space="preserve">, </m:t>
                  </m:r>
                  <m:r>
                    <w:rPr>
                      <w:rFonts w:ascii="Cambria Math" w:eastAsia="Calibri" w:hAnsi="Cambria Math"/>
                      <w:sz w:val="22"/>
                      <w:szCs w:val="22"/>
                      <w:lang w:eastAsia="en-US"/>
                    </w:rPr>
                    <m:t xml:space="preserve">benchmark </m:t>
                  </m:r>
                  <m:r>
                    <w:rPr>
                      <w:rFonts w:ascii="Cambria Math" w:hAnsi="Cambria Math"/>
                      <w:sz w:val="24"/>
                      <w:szCs w:val="22"/>
                      <w:lang w:val="en-US"/>
                    </w:rPr>
                    <m:t>2000</m:t>
                  </m:r>
                </m:sub>
              </m:sSub>
            </m:num>
            <m:den>
              <m:r>
                <w:rPr>
                  <w:rFonts w:ascii="Cambria Math" w:hAnsi="Cambria Math"/>
                  <w:sz w:val="24"/>
                  <w:szCs w:val="22"/>
                  <w:lang w:val="en-US"/>
                </w:rPr>
                <m:t>0,5*(</m:t>
              </m:r>
              <m:sSub>
                <m:sSubPr>
                  <m:ctrlPr>
                    <w:rPr>
                      <w:rFonts w:ascii="Cambria Math" w:hAnsi="Cambria Math"/>
                      <w:i/>
                      <w:sz w:val="24"/>
                      <w:szCs w:val="22"/>
                    </w:rPr>
                  </m:ctrlPr>
                </m:sSubPr>
                <m:e>
                  <m:r>
                    <w:rPr>
                      <w:rFonts w:ascii="Cambria Math" w:hAnsi="Cambria Math"/>
                      <w:sz w:val="24"/>
                      <w:szCs w:val="22"/>
                    </w:rPr>
                    <m:t>S</m:t>
                  </m:r>
                </m:e>
                <m:sub>
                  <m:r>
                    <w:rPr>
                      <w:rFonts w:ascii="Cambria Math" w:hAnsi="Cambria Math"/>
                      <w:sz w:val="24"/>
                      <w:szCs w:val="22"/>
                    </w:rPr>
                    <m:t>N</m:t>
                  </m:r>
                  <m:r>
                    <w:rPr>
                      <w:rFonts w:ascii="Cambria Math" w:hAnsi="Cambria Math"/>
                      <w:sz w:val="24"/>
                      <w:szCs w:val="22"/>
                      <w:lang w:val="en-US"/>
                    </w:rPr>
                    <m:t xml:space="preserve">-1, </m:t>
                  </m:r>
                  <m:r>
                    <w:rPr>
                      <w:rFonts w:ascii="Cambria Math" w:eastAsia="Calibri" w:hAnsi="Cambria Math"/>
                      <w:sz w:val="22"/>
                      <w:szCs w:val="22"/>
                      <w:lang w:eastAsia="en-US"/>
                    </w:rPr>
                    <m:t xml:space="preserve">benchmark </m:t>
                  </m:r>
                  <m:r>
                    <w:rPr>
                      <w:rFonts w:ascii="Cambria Math" w:hAnsi="Cambria Math"/>
                      <w:sz w:val="24"/>
                      <w:szCs w:val="22"/>
                      <w:lang w:val="en-US"/>
                    </w:rPr>
                    <m:t>2000</m:t>
                  </m:r>
                </m:sub>
              </m:sSub>
              <m:r>
                <w:rPr>
                  <w:rFonts w:ascii="Cambria Math" w:hAnsi="Cambria Math"/>
                  <w:sz w:val="24"/>
                  <w:szCs w:val="22"/>
                  <w:lang w:val="en-US"/>
                </w:rPr>
                <m:t>+</m:t>
              </m:r>
              <m:sSub>
                <m:sSubPr>
                  <m:ctrlPr>
                    <w:rPr>
                      <w:rFonts w:ascii="Cambria Math" w:hAnsi="Cambria Math"/>
                      <w:i/>
                      <w:sz w:val="24"/>
                      <w:szCs w:val="22"/>
                    </w:rPr>
                  </m:ctrlPr>
                </m:sSubPr>
                <m:e>
                  <m:r>
                    <w:rPr>
                      <w:rFonts w:ascii="Cambria Math" w:hAnsi="Cambria Math"/>
                      <w:sz w:val="24"/>
                      <w:szCs w:val="22"/>
                    </w:rPr>
                    <m:t>S</m:t>
                  </m:r>
                </m:e>
                <m:sub>
                  <m:r>
                    <w:rPr>
                      <w:rFonts w:ascii="Cambria Math" w:hAnsi="Cambria Math"/>
                      <w:sz w:val="24"/>
                      <w:szCs w:val="22"/>
                    </w:rPr>
                    <m:t>N</m:t>
                  </m:r>
                  <m:r>
                    <w:rPr>
                      <w:rFonts w:ascii="Cambria Math" w:hAnsi="Cambria Math"/>
                      <w:sz w:val="24"/>
                      <w:szCs w:val="22"/>
                      <w:lang w:val="en-US"/>
                    </w:rPr>
                    <m:t xml:space="preserve">, </m:t>
                  </m:r>
                  <m:r>
                    <w:rPr>
                      <w:rFonts w:ascii="Cambria Math" w:eastAsia="Calibri" w:hAnsi="Cambria Math"/>
                      <w:sz w:val="22"/>
                      <w:szCs w:val="22"/>
                      <w:lang w:eastAsia="en-US"/>
                    </w:rPr>
                    <m:t xml:space="preserve">benchmark </m:t>
                  </m:r>
                  <m:r>
                    <w:rPr>
                      <w:rFonts w:ascii="Cambria Math" w:hAnsi="Cambria Math"/>
                      <w:sz w:val="24"/>
                      <w:szCs w:val="22"/>
                      <w:lang w:val="en-US"/>
                    </w:rPr>
                    <m:t>2000</m:t>
                  </m:r>
                </m:sub>
              </m:sSub>
              <m:r>
                <w:rPr>
                  <w:rFonts w:ascii="Cambria Math" w:hAnsi="Cambria Math"/>
                  <w:sz w:val="24"/>
                  <w:szCs w:val="22"/>
                  <w:lang w:val="en-US"/>
                </w:rPr>
                <m:t>)</m:t>
              </m:r>
            </m:den>
          </m:f>
          <m:r>
            <w:rPr>
              <w:rFonts w:ascii="Cambria Math" w:hAnsi="Cambria Math"/>
              <w:sz w:val="24"/>
              <w:szCs w:val="22"/>
              <w:lang w:val="en-US"/>
            </w:rPr>
            <m:t>∙0,5*(</m:t>
          </m:r>
          <m:sSub>
            <m:sSubPr>
              <m:ctrlPr>
                <w:rPr>
                  <w:rFonts w:ascii="Cambria Math" w:hAnsi="Cambria Math"/>
                  <w:i/>
                  <w:sz w:val="24"/>
                  <w:szCs w:val="22"/>
                </w:rPr>
              </m:ctrlPr>
            </m:sSubPr>
            <m:e>
              <m:r>
                <w:rPr>
                  <w:rFonts w:ascii="Cambria Math" w:hAnsi="Cambria Math"/>
                  <w:sz w:val="24"/>
                  <w:szCs w:val="22"/>
                </w:rPr>
                <m:t>S</m:t>
              </m:r>
            </m:e>
            <m:sub>
              <m:r>
                <w:rPr>
                  <w:rFonts w:ascii="Cambria Math" w:hAnsi="Cambria Math"/>
                  <w:sz w:val="24"/>
                  <w:szCs w:val="22"/>
                </w:rPr>
                <m:t>N</m:t>
              </m:r>
              <m:r>
                <w:rPr>
                  <w:rFonts w:ascii="Cambria Math" w:hAnsi="Cambria Math"/>
                  <w:sz w:val="24"/>
                  <w:szCs w:val="22"/>
                  <w:lang w:val="en-US"/>
                </w:rPr>
                <m:t xml:space="preserve">-1, </m:t>
              </m:r>
              <m:r>
                <w:rPr>
                  <w:rFonts w:ascii="Cambria Math" w:eastAsia="Calibri" w:hAnsi="Cambria Math"/>
                  <w:sz w:val="22"/>
                  <w:szCs w:val="22"/>
                  <w:lang w:eastAsia="en-US"/>
                </w:rPr>
                <m:t xml:space="preserve">benchmark </m:t>
              </m:r>
              <m:r>
                <w:rPr>
                  <w:rFonts w:ascii="Cambria Math" w:hAnsi="Cambria Math"/>
                  <w:sz w:val="24"/>
                  <w:szCs w:val="22"/>
                  <w:lang w:val="en-US"/>
                </w:rPr>
                <m:t>2014</m:t>
              </m:r>
            </m:sub>
          </m:sSub>
          <m:r>
            <w:rPr>
              <w:rFonts w:ascii="Cambria Math" w:hAnsi="Cambria Math"/>
              <w:sz w:val="24"/>
              <w:szCs w:val="22"/>
              <w:lang w:val="en-US"/>
            </w:rPr>
            <m:t>+</m:t>
          </m:r>
          <m:sSub>
            <m:sSubPr>
              <m:ctrlPr>
                <w:rPr>
                  <w:rFonts w:ascii="Cambria Math" w:hAnsi="Cambria Math"/>
                  <w:i/>
                  <w:sz w:val="24"/>
                  <w:szCs w:val="22"/>
                </w:rPr>
              </m:ctrlPr>
            </m:sSubPr>
            <m:e>
              <m:r>
                <w:rPr>
                  <w:rFonts w:ascii="Cambria Math" w:hAnsi="Cambria Math"/>
                  <w:sz w:val="24"/>
                  <w:szCs w:val="22"/>
                </w:rPr>
                <m:t>S</m:t>
              </m:r>
            </m:e>
            <m:sub>
              <m:r>
                <w:rPr>
                  <w:rFonts w:ascii="Cambria Math" w:hAnsi="Cambria Math"/>
                  <w:sz w:val="24"/>
                  <w:szCs w:val="22"/>
                </w:rPr>
                <m:t>N</m:t>
              </m:r>
              <m:r>
                <w:rPr>
                  <w:rFonts w:ascii="Cambria Math" w:hAnsi="Cambria Math"/>
                  <w:sz w:val="24"/>
                  <w:szCs w:val="22"/>
                  <w:lang w:val="en-US"/>
                </w:rPr>
                <m:t xml:space="preserve">, </m:t>
              </m:r>
              <m:r>
                <w:rPr>
                  <w:rFonts w:ascii="Cambria Math" w:eastAsia="Calibri" w:hAnsi="Cambria Math"/>
                  <w:sz w:val="22"/>
                  <w:szCs w:val="22"/>
                  <w:lang w:eastAsia="en-US"/>
                </w:rPr>
                <m:t xml:space="preserve">benchmark </m:t>
              </m:r>
              <m:r>
                <w:rPr>
                  <w:rFonts w:ascii="Cambria Math" w:hAnsi="Cambria Math"/>
                  <w:sz w:val="24"/>
                  <w:szCs w:val="22"/>
                  <w:lang w:val="en-US"/>
                </w:rPr>
                <m:t>2014</m:t>
              </m:r>
            </m:sub>
          </m:sSub>
          <m:r>
            <w:rPr>
              <w:rFonts w:ascii="Cambria Math" w:hAnsi="Cambria Math"/>
              <w:sz w:val="24"/>
              <w:szCs w:val="22"/>
              <w:lang w:val="en-US"/>
            </w:rPr>
            <m:t>)</m:t>
          </m:r>
        </m:oMath>
      </m:oMathPara>
    </w:p>
    <w:p w14:paraId="1471E0C9" w14:textId="77777777" w:rsidR="0080460B" w:rsidRPr="00DB7EDE" w:rsidRDefault="0080460B" w:rsidP="0080460B">
      <w:pPr>
        <w:jc w:val="both"/>
        <w:rPr>
          <w:sz w:val="22"/>
          <w:szCs w:val="22"/>
          <w:lang w:val="en-US"/>
        </w:rPr>
      </w:pPr>
    </w:p>
    <w:p w14:paraId="6FC93F4E" w14:textId="4EC4A35F" w:rsidR="0080460B" w:rsidRPr="00DB7EDE" w:rsidRDefault="00DB7EDE" w:rsidP="0080460B">
      <w:pPr>
        <w:jc w:val="both"/>
        <w:rPr>
          <w:szCs w:val="22"/>
          <w:lang w:val="en-US"/>
        </w:rPr>
      </w:pPr>
      <w:r w:rsidRPr="00DB7EDE">
        <w:rPr>
          <w:rFonts w:ascii="Arial" w:hAnsi="Arial" w:cs="Arial"/>
          <w:szCs w:val="22"/>
          <w:lang w:val="en-US"/>
        </w:rPr>
        <w:t>A strictly equivalent way of representing this is to calculate an implicit valuation index in  2000</w:t>
      </w:r>
      <w:r w:rsidR="0080460B" w:rsidRPr="00DB7EDE">
        <w:rPr>
          <w:szCs w:val="22"/>
          <w:lang w:val="en-US"/>
        </w:rPr>
        <w:t xml:space="preserve"> </w:t>
      </w:r>
      <w:r w:rsidR="00033658" w:rsidRPr="00033658">
        <w:rPr>
          <w:rFonts w:ascii="Arial" w:hAnsi="Arial" w:cs="Arial"/>
          <w:szCs w:val="22"/>
          <w:lang w:val="en-US"/>
        </w:rPr>
        <w:t>benchmark</w:t>
      </w:r>
      <w:r w:rsidR="00033658">
        <w:rPr>
          <w:szCs w:val="22"/>
          <w:lang w:val="en-US"/>
        </w:rPr>
        <w:t xml:space="preserve"> </w:t>
      </w:r>
      <w:r w:rsidR="0080460B" w:rsidRPr="00DB7EDE">
        <w:rPr>
          <w:sz w:val="22"/>
          <w:szCs w:val="22"/>
          <w:lang w:val="en-US"/>
        </w:rPr>
        <w:t>(</w:t>
      </w:r>
      <m:oMath>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N</m:t>
            </m:r>
            <m:r>
              <w:rPr>
                <w:rFonts w:ascii="Cambria Math" w:hAnsi="Cambria Math"/>
                <w:sz w:val="22"/>
                <w:szCs w:val="22"/>
                <w:lang w:val="en-US"/>
              </w:rPr>
              <m:t xml:space="preserve">, </m:t>
            </m:r>
            <m:r>
              <w:rPr>
                <w:rFonts w:ascii="Cambria Math" w:hAnsi="Cambria Math"/>
                <w:sz w:val="22"/>
                <w:szCs w:val="22"/>
              </w:rPr>
              <m:t>base</m:t>
            </m:r>
            <m:r>
              <w:rPr>
                <w:rFonts w:ascii="Cambria Math" w:hAnsi="Cambria Math"/>
                <w:sz w:val="22"/>
                <w:szCs w:val="22"/>
                <w:lang w:val="en-US"/>
              </w:rPr>
              <m:t xml:space="preserve"> 2000</m:t>
            </m:r>
          </m:sub>
        </m:sSub>
      </m:oMath>
      <w:r w:rsidR="0080460B" w:rsidRPr="00DB7EDE">
        <w:rPr>
          <w:sz w:val="22"/>
          <w:szCs w:val="22"/>
          <w:lang w:val="en-US"/>
        </w:rPr>
        <w:t xml:space="preserve">) </w:t>
      </w:r>
      <w:r w:rsidRPr="00033658">
        <w:rPr>
          <w:rFonts w:ascii="Arial" w:hAnsi="Arial" w:cs="Arial"/>
          <w:szCs w:val="22"/>
          <w:lang w:val="en-US"/>
        </w:rPr>
        <w:t xml:space="preserve">and then apply it to the 2014 </w:t>
      </w:r>
      <w:r w:rsidR="00ED3D7B" w:rsidRPr="00033658">
        <w:rPr>
          <w:rFonts w:ascii="Arial" w:hAnsi="Arial" w:cs="Arial"/>
          <w:szCs w:val="22"/>
          <w:lang w:val="en-US"/>
        </w:rPr>
        <w:t>benchmark</w:t>
      </w:r>
      <w:r w:rsidRPr="00033658">
        <w:rPr>
          <w:rFonts w:ascii="Arial" w:hAnsi="Arial" w:cs="Arial"/>
          <w:szCs w:val="22"/>
          <w:lang w:val="en-US"/>
        </w:rPr>
        <w:t>.</w:t>
      </w:r>
    </w:p>
    <w:p w14:paraId="168E8DB2" w14:textId="3F581193" w:rsidR="0080460B" w:rsidRPr="0080460B" w:rsidRDefault="00AC496F" w:rsidP="0080460B">
      <w:pPr>
        <w:jc w:val="both"/>
        <w:rPr>
          <w:sz w:val="22"/>
          <w:szCs w:val="22"/>
        </w:rPr>
      </w:pPr>
      <m:oMathPara>
        <m:oMath>
          <m:sSub>
            <m:sSubPr>
              <m:ctrlPr>
                <w:rPr>
                  <w:rFonts w:ascii="Cambria Math" w:hAnsi="Cambria Math"/>
                  <w:i/>
                  <w:sz w:val="24"/>
                  <w:szCs w:val="22"/>
                </w:rPr>
              </m:ctrlPr>
            </m:sSubPr>
            <m:e>
              <m:r>
                <w:rPr>
                  <w:rFonts w:ascii="Cambria Math" w:hAnsi="Cambria Math"/>
                  <w:sz w:val="24"/>
                  <w:szCs w:val="22"/>
                </w:rPr>
                <m:t>I</m:t>
              </m:r>
            </m:e>
            <m:sub>
              <m:r>
                <w:rPr>
                  <w:rFonts w:ascii="Cambria Math" w:hAnsi="Cambria Math"/>
                  <w:sz w:val="24"/>
                  <w:szCs w:val="22"/>
                </w:rPr>
                <m:t>N, base 2000</m:t>
              </m:r>
            </m:sub>
          </m:sSub>
          <m:r>
            <w:rPr>
              <w:rFonts w:ascii="Cambria Math" w:hAnsi="Cambria Math"/>
              <w:sz w:val="24"/>
              <w:szCs w:val="22"/>
            </w:rPr>
            <m:t>=</m:t>
          </m:r>
          <m:f>
            <m:fPr>
              <m:type m:val="lin"/>
              <m:ctrlPr>
                <w:rPr>
                  <w:rFonts w:ascii="Cambria Math" w:hAnsi="Cambria Math"/>
                  <w:i/>
                  <w:sz w:val="24"/>
                  <w:szCs w:val="22"/>
                </w:rPr>
              </m:ctrlPr>
            </m:fPr>
            <m:num>
              <m:d>
                <m:dPr>
                  <m:begChr m:val="["/>
                  <m:endChr m:val="]"/>
                  <m:ctrlPr>
                    <w:rPr>
                      <w:rFonts w:ascii="Cambria Math" w:hAnsi="Cambria Math"/>
                      <w:i/>
                      <w:sz w:val="24"/>
                      <w:szCs w:val="22"/>
                    </w:rPr>
                  </m:ctrlPr>
                </m:dPr>
                <m:e>
                  <m:sSub>
                    <m:sSubPr>
                      <m:ctrlPr>
                        <w:rPr>
                          <w:rFonts w:ascii="Cambria Math" w:hAnsi="Cambria Math"/>
                          <w:i/>
                          <w:sz w:val="24"/>
                          <w:szCs w:val="22"/>
                        </w:rPr>
                      </m:ctrlPr>
                    </m:sSubPr>
                    <m:e>
                      <m:r>
                        <w:rPr>
                          <w:rFonts w:ascii="Cambria Math" w:hAnsi="Cambria Math"/>
                          <w:sz w:val="24"/>
                          <w:szCs w:val="22"/>
                        </w:rPr>
                        <m:t>S</m:t>
                      </m:r>
                    </m:e>
                    <m:sub>
                      <m:r>
                        <w:rPr>
                          <w:rFonts w:ascii="Cambria Math" w:hAnsi="Cambria Math"/>
                          <w:sz w:val="24"/>
                          <w:szCs w:val="22"/>
                        </w:rPr>
                        <m:t xml:space="preserve">N, </m:t>
                      </m:r>
                      <m:r>
                        <w:rPr>
                          <w:rFonts w:ascii="Cambria Math" w:eastAsia="Calibri" w:hAnsi="Cambria Math"/>
                          <w:sz w:val="22"/>
                          <w:szCs w:val="22"/>
                          <w:lang w:eastAsia="en-US"/>
                        </w:rPr>
                        <m:t xml:space="preserve">benchmark </m:t>
                      </m:r>
                      <m:r>
                        <w:rPr>
                          <w:rFonts w:ascii="Cambria Math" w:hAnsi="Cambria Math"/>
                          <w:sz w:val="24"/>
                          <w:szCs w:val="22"/>
                        </w:rPr>
                        <m:t>2000</m:t>
                      </m:r>
                    </m:sub>
                  </m:sSub>
                  <m:r>
                    <w:rPr>
                      <w:rFonts w:ascii="Cambria Math" w:hAnsi="Cambria Math"/>
                      <w:sz w:val="24"/>
                      <w:szCs w:val="22"/>
                    </w:rPr>
                    <m:t>-0,5∙</m:t>
                  </m:r>
                  <m:d>
                    <m:dPr>
                      <m:ctrlPr>
                        <w:rPr>
                          <w:rFonts w:ascii="Cambria Math" w:hAnsi="Cambria Math"/>
                          <w:i/>
                          <w:sz w:val="24"/>
                          <w:szCs w:val="22"/>
                        </w:rPr>
                      </m:ctrlPr>
                    </m:dPr>
                    <m:e>
                      <m:sSub>
                        <m:sSubPr>
                          <m:ctrlPr>
                            <w:rPr>
                              <w:rFonts w:ascii="Cambria Math" w:hAnsi="Cambria Math"/>
                              <w:i/>
                              <w:sz w:val="24"/>
                              <w:szCs w:val="22"/>
                            </w:rPr>
                          </m:ctrlPr>
                        </m:sSubPr>
                        <m:e>
                          <m:r>
                            <w:rPr>
                              <w:rFonts w:ascii="Cambria Math" w:hAnsi="Cambria Math"/>
                              <w:sz w:val="24"/>
                              <w:szCs w:val="22"/>
                            </w:rPr>
                            <m:t>F</m:t>
                          </m:r>
                        </m:e>
                        <m:sub>
                          <m:r>
                            <w:rPr>
                              <w:rFonts w:ascii="Cambria Math" w:hAnsi="Cambria Math"/>
                              <w:sz w:val="24"/>
                              <w:szCs w:val="22"/>
                            </w:rPr>
                            <m:t xml:space="preserve">N, </m:t>
                          </m:r>
                          <m:r>
                            <w:rPr>
                              <w:rFonts w:ascii="Cambria Math" w:eastAsia="Calibri" w:hAnsi="Cambria Math"/>
                              <w:sz w:val="22"/>
                              <w:szCs w:val="22"/>
                              <w:lang w:eastAsia="en-US"/>
                            </w:rPr>
                            <m:t xml:space="preserve">benchmark </m:t>
                          </m:r>
                          <m:r>
                            <w:rPr>
                              <w:rFonts w:ascii="Cambria Math" w:hAnsi="Cambria Math"/>
                              <w:sz w:val="24"/>
                              <w:szCs w:val="22"/>
                            </w:rPr>
                            <m:t>2000</m:t>
                          </m:r>
                        </m:sub>
                      </m:sSub>
                      <m:r>
                        <w:rPr>
                          <w:rFonts w:ascii="Cambria Math" w:hAnsi="Cambria Math"/>
                          <w:sz w:val="24"/>
                          <w:szCs w:val="22"/>
                        </w:rPr>
                        <m:t>+</m:t>
                      </m:r>
                      <m:sSub>
                        <m:sSubPr>
                          <m:ctrlPr>
                            <w:rPr>
                              <w:rFonts w:ascii="Cambria Math" w:hAnsi="Cambria Math"/>
                              <w:i/>
                              <w:sz w:val="24"/>
                              <w:szCs w:val="22"/>
                            </w:rPr>
                          </m:ctrlPr>
                        </m:sSubPr>
                        <m:e>
                          <m:r>
                            <w:rPr>
                              <w:rFonts w:ascii="Cambria Math" w:hAnsi="Cambria Math"/>
                              <w:sz w:val="24"/>
                              <w:szCs w:val="22"/>
                            </w:rPr>
                            <m:t>V</m:t>
                          </m:r>
                        </m:e>
                        <m:sub>
                          <m:r>
                            <w:rPr>
                              <w:rFonts w:ascii="Cambria Math" w:hAnsi="Cambria Math"/>
                              <w:sz w:val="24"/>
                              <w:szCs w:val="22"/>
                            </w:rPr>
                            <m:t xml:space="preserve">N, </m:t>
                          </m:r>
                          <m:r>
                            <w:rPr>
                              <w:rFonts w:ascii="Cambria Math" w:eastAsia="Calibri" w:hAnsi="Cambria Math"/>
                              <w:sz w:val="22"/>
                              <w:szCs w:val="22"/>
                              <w:lang w:eastAsia="en-US"/>
                            </w:rPr>
                            <m:t xml:space="preserve">benchmark </m:t>
                          </m:r>
                          <m:r>
                            <w:rPr>
                              <w:rFonts w:ascii="Cambria Math" w:hAnsi="Cambria Math"/>
                              <w:sz w:val="24"/>
                              <w:szCs w:val="22"/>
                            </w:rPr>
                            <m:t>2000</m:t>
                          </m:r>
                        </m:sub>
                      </m:sSub>
                    </m:e>
                  </m:d>
                </m:e>
              </m:d>
            </m:num>
            <m:den>
              <m:d>
                <m:dPr>
                  <m:begChr m:val="["/>
                  <m:endChr m:val="]"/>
                  <m:ctrlPr>
                    <w:rPr>
                      <w:rFonts w:ascii="Cambria Math" w:hAnsi="Cambria Math"/>
                      <w:i/>
                      <w:sz w:val="24"/>
                      <w:szCs w:val="22"/>
                    </w:rPr>
                  </m:ctrlPr>
                </m:dPr>
                <m:e>
                  <m:eqArr>
                    <m:eqArrPr>
                      <m:ctrlPr>
                        <w:rPr>
                          <w:rFonts w:ascii="Cambria Math" w:hAnsi="Cambria Math"/>
                          <w:i/>
                          <w:sz w:val="24"/>
                          <w:szCs w:val="22"/>
                        </w:rPr>
                      </m:ctrlPr>
                    </m:eqArrPr>
                    <m:e>
                      <m:sSub>
                        <m:sSubPr>
                          <m:ctrlPr>
                            <w:rPr>
                              <w:rFonts w:ascii="Cambria Math" w:hAnsi="Cambria Math"/>
                              <w:i/>
                              <w:sz w:val="24"/>
                              <w:szCs w:val="22"/>
                            </w:rPr>
                          </m:ctrlPr>
                        </m:sSubPr>
                        <m:e>
                          <m:r>
                            <w:rPr>
                              <w:rFonts w:ascii="Cambria Math" w:hAnsi="Cambria Math"/>
                              <w:sz w:val="24"/>
                              <w:szCs w:val="22"/>
                            </w:rPr>
                            <m:t>S</m:t>
                          </m:r>
                        </m:e>
                        <m:sub>
                          <m:r>
                            <w:rPr>
                              <w:rFonts w:ascii="Cambria Math" w:hAnsi="Cambria Math"/>
                              <w:sz w:val="24"/>
                              <w:szCs w:val="22"/>
                            </w:rPr>
                            <m:t xml:space="preserve">N-1, </m:t>
                          </m:r>
                          <m:r>
                            <w:rPr>
                              <w:rFonts w:ascii="Cambria Math" w:eastAsia="Calibri" w:hAnsi="Cambria Math"/>
                              <w:sz w:val="22"/>
                              <w:szCs w:val="22"/>
                              <w:lang w:eastAsia="en-US"/>
                            </w:rPr>
                            <m:t xml:space="preserve">benchmark </m:t>
                          </m:r>
                          <m:r>
                            <w:rPr>
                              <w:rFonts w:ascii="Cambria Math" w:hAnsi="Cambria Math"/>
                              <w:sz w:val="24"/>
                              <w:szCs w:val="22"/>
                            </w:rPr>
                            <m:t>2000</m:t>
                          </m:r>
                        </m:sub>
                      </m:sSub>
                      <m:r>
                        <w:rPr>
                          <w:rFonts w:ascii="Cambria Math" w:hAnsi="Cambria Math"/>
                          <w:sz w:val="24"/>
                          <w:szCs w:val="22"/>
                        </w:rPr>
                        <m:t>+0,5∙</m:t>
                      </m:r>
                    </m:e>
                    <m:e>
                      <m:d>
                        <m:dPr>
                          <m:ctrlPr>
                            <w:rPr>
                              <w:rFonts w:ascii="Cambria Math" w:hAnsi="Cambria Math"/>
                              <w:i/>
                              <w:sz w:val="24"/>
                              <w:szCs w:val="22"/>
                            </w:rPr>
                          </m:ctrlPr>
                        </m:dPr>
                        <m:e>
                          <m:sSub>
                            <m:sSubPr>
                              <m:ctrlPr>
                                <w:rPr>
                                  <w:rFonts w:ascii="Cambria Math" w:hAnsi="Cambria Math"/>
                                  <w:i/>
                                  <w:sz w:val="24"/>
                                  <w:szCs w:val="22"/>
                                </w:rPr>
                              </m:ctrlPr>
                            </m:sSubPr>
                            <m:e>
                              <m:r>
                                <w:rPr>
                                  <w:rFonts w:ascii="Cambria Math" w:hAnsi="Cambria Math"/>
                                  <w:sz w:val="24"/>
                                  <w:szCs w:val="22"/>
                                </w:rPr>
                                <m:t>F</m:t>
                              </m:r>
                            </m:e>
                            <m:sub>
                              <m:r>
                                <w:rPr>
                                  <w:rFonts w:ascii="Cambria Math" w:hAnsi="Cambria Math"/>
                                  <w:sz w:val="24"/>
                                  <w:szCs w:val="22"/>
                                </w:rPr>
                                <m:t xml:space="preserve">N, </m:t>
                              </m:r>
                              <m:r>
                                <w:rPr>
                                  <w:rFonts w:ascii="Cambria Math" w:eastAsia="Calibri" w:hAnsi="Cambria Math"/>
                                  <w:sz w:val="22"/>
                                  <w:szCs w:val="22"/>
                                  <w:lang w:eastAsia="en-US"/>
                                </w:rPr>
                                <m:t xml:space="preserve">benchmark </m:t>
                              </m:r>
                              <m:r>
                                <w:rPr>
                                  <w:rFonts w:ascii="Cambria Math" w:hAnsi="Cambria Math"/>
                                  <w:sz w:val="24"/>
                                  <w:szCs w:val="22"/>
                                </w:rPr>
                                <m:t>2000</m:t>
                              </m:r>
                            </m:sub>
                          </m:sSub>
                          <m:r>
                            <w:rPr>
                              <w:rFonts w:ascii="Cambria Math" w:hAnsi="Cambria Math"/>
                              <w:sz w:val="24"/>
                              <w:szCs w:val="22"/>
                            </w:rPr>
                            <m:t>+</m:t>
                          </m:r>
                          <m:sSub>
                            <m:sSubPr>
                              <m:ctrlPr>
                                <w:rPr>
                                  <w:rFonts w:ascii="Cambria Math" w:hAnsi="Cambria Math"/>
                                  <w:i/>
                                  <w:sz w:val="24"/>
                                  <w:szCs w:val="22"/>
                                </w:rPr>
                              </m:ctrlPr>
                            </m:sSubPr>
                            <m:e>
                              <m:r>
                                <w:rPr>
                                  <w:rFonts w:ascii="Cambria Math" w:hAnsi="Cambria Math"/>
                                  <w:sz w:val="24"/>
                                  <w:szCs w:val="22"/>
                                </w:rPr>
                                <m:t>V</m:t>
                              </m:r>
                            </m:e>
                            <m:sub>
                              <m:r>
                                <w:rPr>
                                  <w:rFonts w:ascii="Cambria Math" w:hAnsi="Cambria Math"/>
                                  <w:sz w:val="24"/>
                                  <w:szCs w:val="22"/>
                                </w:rPr>
                                <m:t xml:space="preserve">N, </m:t>
                              </m:r>
                              <m:r>
                                <w:rPr>
                                  <w:rFonts w:ascii="Cambria Math" w:eastAsia="Calibri" w:hAnsi="Cambria Math"/>
                                  <w:sz w:val="22"/>
                                  <w:szCs w:val="22"/>
                                  <w:lang w:eastAsia="en-US"/>
                                </w:rPr>
                                <m:t xml:space="preserve">benchmark </m:t>
                              </m:r>
                              <m:r>
                                <w:rPr>
                                  <w:rFonts w:ascii="Cambria Math" w:hAnsi="Cambria Math"/>
                                  <w:sz w:val="24"/>
                                  <w:szCs w:val="22"/>
                                </w:rPr>
                                <m:t>2000</m:t>
                              </m:r>
                            </m:sub>
                          </m:sSub>
                        </m:e>
                      </m:d>
                    </m:e>
                  </m:eqArr>
                </m:e>
              </m:d>
            </m:den>
          </m:f>
          <m:r>
            <w:rPr>
              <w:rFonts w:ascii="Cambria Math" w:hAnsi="Cambria Math"/>
              <w:sz w:val="24"/>
              <w:szCs w:val="22"/>
            </w:rPr>
            <m:t>)</m:t>
          </m:r>
        </m:oMath>
      </m:oMathPara>
    </w:p>
    <w:p w14:paraId="75DEB0F7" w14:textId="1EDDA081" w:rsidR="00DB7EDE" w:rsidRPr="00DB7EDE" w:rsidRDefault="00DB7EDE" w:rsidP="0080460B">
      <w:pPr>
        <w:jc w:val="both"/>
        <w:rPr>
          <w:rFonts w:ascii="Arial" w:hAnsi="Arial" w:cs="Arial"/>
          <w:szCs w:val="22"/>
          <w:lang w:val="en-US"/>
        </w:rPr>
      </w:pPr>
      <w:r w:rsidRPr="00DB7EDE">
        <w:rPr>
          <w:rFonts w:ascii="Arial" w:hAnsi="Arial" w:cs="Arial"/>
          <w:szCs w:val="22"/>
          <w:lang w:val="en-US"/>
        </w:rPr>
        <w:t xml:space="preserve">(In this formula, which is standard in the </w:t>
      </w:r>
      <w:r w:rsidR="00033658">
        <w:rPr>
          <w:rFonts w:ascii="Arial" w:hAnsi="Arial" w:cs="Arial"/>
          <w:szCs w:val="22"/>
          <w:lang w:val="en-US"/>
        </w:rPr>
        <w:t>compilation</w:t>
      </w:r>
      <w:r w:rsidR="00033658" w:rsidRPr="00DB7EDE">
        <w:rPr>
          <w:rFonts w:ascii="Arial" w:hAnsi="Arial" w:cs="Arial"/>
          <w:szCs w:val="22"/>
          <w:lang w:val="en-US"/>
        </w:rPr>
        <w:t xml:space="preserve"> </w:t>
      </w:r>
      <w:r w:rsidRPr="00DB7EDE">
        <w:rPr>
          <w:rFonts w:ascii="Arial" w:hAnsi="Arial" w:cs="Arial"/>
          <w:szCs w:val="22"/>
          <w:lang w:val="en-US"/>
        </w:rPr>
        <w:t xml:space="preserve">of financial accounts, we look at how the </w:t>
      </w:r>
      <w:r w:rsidR="00033658">
        <w:rPr>
          <w:rFonts w:ascii="Arial" w:hAnsi="Arial" w:cs="Arial"/>
          <w:szCs w:val="22"/>
          <w:lang w:val="en-US"/>
        </w:rPr>
        <w:t>stocks</w:t>
      </w:r>
      <w:r w:rsidRPr="00DB7EDE">
        <w:rPr>
          <w:rFonts w:ascii="Arial" w:hAnsi="Arial" w:cs="Arial"/>
          <w:szCs w:val="22"/>
          <w:lang w:val="en-US"/>
        </w:rPr>
        <w:t xml:space="preserve"> in N-1 is revalued, but we also try to apply intra-period revaluation effects to the transaction flows</w:t>
      </w:r>
      <w:r>
        <w:rPr>
          <w:rFonts w:ascii="Arial" w:hAnsi="Arial" w:cs="Arial"/>
          <w:szCs w:val="22"/>
          <w:lang w:val="en-US"/>
        </w:rPr>
        <w:t xml:space="preserve"> (F)</w:t>
      </w:r>
      <w:r w:rsidRPr="00DB7EDE">
        <w:rPr>
          <w:rFonts w:ascii="Arial" w:hAnsi="Arial" w:cs="Arial"/>
          <w:szCs w:val="22"/>
          <w:lang w:val="en-US"/>
        </w:rPr>
        <w:t xml:space="preserve"> and changes in </w:t>
      </w:r>
      <w:r w:rsidR="00517BA3" w:rsidRPr="00DB7EDE">
        <w:rPr>
          <w:rFonts w:ascii="Arial" w:hAnsi="Arial" w:cs="Arial"/>
          <w:szCs w:val="22"/>
          <w:lang w:val="en-US"/>
        </w:rPr>
        <w:t>volume</w:t>
      </w:r>
      <w:r w:rsidR="00517BA3">
        <w:rPr>
          <w:rFonts w:ascii="Arial" w:hAnsi="Arial" w:cs="Arial"/>
          <w:szCs w:val="22"/>
          <w:lang w:val="en-US"/>
        </w:rPr>
        <w:t xml:space="preserve"> </w:t>
      </w:r>
      <w:r w:rsidR="00517BA3" w:rsidRPr="00DB7EDE">
        <w:rPr>
          <w:rFonts w:ascii="Arial" w:hAnsi="Arial" w:cs="Arial"/>
          <w:szCs w:val="22"/>
          <w:lang w:val="en-US"/>
        </w:rPr>
        <w:t>that</w:t>
      </w:r>
      <w:r w:rsidRPr="00DB7EDE">
        <w:rPr>
          <w:rFonts w:ascii="Arial" w:hAnsi="Arial" w:cs="Arial"/>
          <w:szCs w:val="22"/>
          <w:lang w:val="en-US"/>
        </w:rPr>
        <w:t xml:space="preserve"> occurred between N-1 and N. If we assume that the flows and changes in volume </w:t>
      </w:r>
      <w:r w:rsidR="00033658">
        <w:rPr>
          <w:rFonts w:ascii="Arial" w:hAnsi="Arial" w:cs="Arial"/>
          <w:szCs w:val="22"/>
          <w:lang w:val="en-US"/>
        </w:rPr>
        <w:t xml:space="preserve">(V) </w:t>
      </w:r>
      <w:r w:rsidRPr="00DB7EDE">
        <w:rPr>
          <w:rFonts w:ascii="Arial" w:hAnsi="Arial" w:cs="Arial"/>
          <w:szCs w:val="22"/>
          <w:lang w:val="en-US"/>
        </w:rPr>
        <w:t>are spread</w:t>
      </w:r>
      <w:r>
        <w:rPr>
          <w:rFonts w:ascii="Arial" w:hAnsi="Arial" w:cs="Arial"/>
          <w:szCs w:val="22"/>
          <w:lang w:val="en-US"/>
        </w:rPr>
        <w:t xml:space="preserve"> </w:t>
      </w:r>
      <w:r w:rsidRPr="00DB7EDE">
        <w:rPr>
          <w:rFonts w:ascii="Arial" w:hAnsi="Arial" w:cs="Arial"/>
          <w:szCs w:val="22"/>
          <w:lang w:val="en-US"/>
        </w:rPr>
        <w:t xml:space="preserve">evenly over the period, we obtain the above formula). </w:t>
      </w:r>
    </w:p>
    <w:p w14:paraId="7B37E29F" w14:textId="01F4A1AD" w:rsidR="0080460B" w:rsidRPr="00DB7EDE" w:rsidRDefault="00DB7EDE" w:rsidP="0080460B">
      <w:pPr>
        <w:jc w:val="both"/>
        <w:rPr>
          <w:rFonts w:ascii="Arial" w:hAnsi="Arial" w:cs="Arial"/>
          <w:szCs w:val="22"/>
          <w:lang w:val="en-US"/>
        </w:rPr>
      </w:pPr>
      <w:r w:rsidRPr="00DB7EDE">
        <w:rPr>
          <w:rFonts w:ascii="Arial" w:hAnsi="Arial" w:cs="Arial"/>
          <w:szCs w:val="22"/>
          <w:lang w:val="en-US"/>
        </w:rPr>
        <w:t>In a few rare cases (494 cases out of 12</w:t>
      </w:r>
      <w:r>
        <w:rPr>
          <w:rFonts w:ascii="Arial" w:hAnsi="Arial" w:cs="Arial"/>
          <w:szCs w:val="22"/>
          <w:lang w:val="en-US"/>
        </w:rPr>
        <w:t xml:space="preserve"> </w:t>
      </w:r>
      <w:r w:rsidRPr="00DB7EDE">
        <w:rPr>
          <w:rFonts w:ascii="Arial" w:hAnsi="Arial" w:cs="Arial"/>
          <w:szCs w:val="22"/>
          <w:lang w:val="en-US"/>
        </w:rPr>
        <w:t xml:space="preserve">762, i.e. less than 4%), the calculation of the implicit valuation index on a 2000 </w:t>
      </w:r>
      <w:r w:rsidR="00A1406A">
        <w:rPr>
          <w:rFonts w:ascii="Arial" w:hAnsi="Arial" w:cs="Arial"/>
          <w:szCs w:val="22"/>
          <w:lang w:val="en-US"/>
        </w:rPr>
        <w:t>benchmark</w:t>
      </w:r>
      <w:r w:rsidRPr="00DB7EDE">
        <w:rPr>
          <w:rFonts w:ascii="Arial" w:hAnsi="Arial" w:cs="Arial"/>
          <w:szCs w:val="22"/>
          <w:lang w:val="en-US"/>
        </w:rPr>
        <w:t xml:space="preserve"> may produce values that appear too high or even outliers. In particular, this may occur in the case of very small </w:t>
      </w:r>
      <w:r w:rsidR="00033658">
        <w:rPr>
          <w:rFonts w:ascii="Arial" w:hAnsi="Arial" w:cs="Arial"/>
          <w:szCs w:val="22"/>
          <w:lang w:val="en-US"/>
        </w:rPr>
        <w:t>stocks</w:t>
      </w:r>
      <w:r w:rsidR="00033658" w:rsidRPr="00DB7EDE">
        <w:rPr>
          <w:rFonts w:ascii="Arial" w:hAnsi="Arial" w:cs="Arial"/>
          <w:szCs w:val="22"/>
          <w:lang w:val="en-US"/>
        </w:rPr>
        <w:t xml:space="preserve"> </w:t>
      </w:r>
      <w:r w:rsidRPr="00DB7EDE">
        <w:rPr>
          <w:rFonts w:ascii="Arial" w:hAnsi="Arial" w:cs="Arial"/>
          <w:szCs w:val="22"/>
          <w:lang w:val="en-US"/>
        </w:rPr>
        <w:t xml:space="preserve">and large transaction flows, revaluations and changes in volume in relation to these </w:t>
      </w:r>
      <w:r w:rsidR="00033658">
        <w:rPr>
          <w:rFonts w:ascii="Arial" w:hAnsi="Arial" w:cs="Arial"/>
          <w:szCs w:val="22"/>
          <w:lang w:val="en-US"/>
        </w:rPr>
        <w:t>stocks</w:t>
      </w:r>
      <w:r w:rsidR="00033658" w:rsidRPr="00DB7EDE">
        <w:rPr>
          <w:rFonts w:ascii="Arial" w:hAnsi="Arial" w:cs="Arial"/>
          <w:szCs w:val="22"/>
          <w:lang w:val="en-US"/>
        </w:rPr>
        <w:t xml:space="preserve"> </w:t>
      </w:r>
      <w:r w:rsidRPr="00DB7EDE">
        <w:rPr>
          <w:rFonts w:ascii="Arial" w:hAnsi="Arial" w:cs="Arial"/>
          <w:szCs w:val="22"/>
          <w:lang w:val="en-US"/>
        </w:rPr>
        <w:t xml:space="preserve">and </w:t>
      </w:r>
      <w:r w:rsidR="00033658">
        <w:rPr>
          <w:rFonts w:ascii="Arial" w:hAnsi="Arial" w:cs="Arial"/>
          <w:szCs w:val="22"/>
          <w:lang w:val="en-US"/>
        </w:rPr>
        <w:t>variation of these stocks</w:t>
      </w:r>
      <w:r w:rsidR="00033658" w:rsidRPr="00DB7EDE">
        <w:rPr>
          <w:rFonts w:ascii="Arial" w:hAnsi="Arial" w:cs="Arial"/>
          <w:szCs w:val="22"/>
          <w:lang w:val="en-US"/>
        </w:rPr>
        <w:t xml:space="preserve"> </w:t>
      </w:r>
      <w:r w:rsidRPr="00DB7EDE">
        <w:rPr>
          <w:rFonts w:ascii="Arial" w:hAnsi="Arial" w:cs="Arial"/>
          <w:szCs w:val="22"/>
          <w:lang w:val="en-US"/>
        </w:rPr>
        <w:t>(with potentially opposite-sign variations).</w:t>
      </w:r>
    </w:p>
    <w:p w14:paraId="29FDE75F" w14:textId="083F9FA3" w:rsidR="00DB7EDE" w:rsidRDefault="00DB7EDE" w:rsidP="0080460B">
      <w:pPr>
        <w:jc w:val="both"/>
        <w:rPr>
          <w:rFonts w:ascii="Arial" w:hAnsi="Arial" w:cs="Arial"/>
          <w:szCs w:val="22"/>
          <w:lang w:val="en-US"/>
        </w:rPr>
      </w:pPr>
      <w:r w:rsidRPr="00DB7EDE">
        <w:rPr>
          <w:rFonts w:ascii="Arial" w:hAnsi="Arial" w:cs="Arial"/>
          <w:szCs w:val="22"/>
          <w:lang w:val="en-US"/>
        </w:rPr>
        <w:t xml:space="preserve">We have therefore empirically chosen a threshold on these valuation indices beyond which the 2014 valuation is calculated using an alternative method, this time calculating the proportion between revaluation flows and changes in </w:t>
      </w:r>
      <w:r w:rsidR="00033658">
        <w:rPr>
          <w:rFonts w:ascii="Arial" w:hAnsi="Arial" w:cs="Arial"/>
          <w:szCs w:val="22"/>
          <w:lang w:val="en-US"/>
        </w:rPr>
        <w:t>stock</w:t>
      </w:r>
      <w:r w:rsidR="00033658" w:rsidRPr="00DB7EDE">
        <w:rPr>
          <w:rFonts w:ascii="Arial" w:hAnsi="Arial" w:cs="Arial"/>
          <w:szCs w:val="22"/>
          <w:lang w:val="en-US"/>
        </w:rPr>
        <w:t xml:space="preserve"> </w:t>
      </w:r>
      <w:r w:rsidRPr="00DB7EDE">
        <w:rPr>
          <w:rFonts w:ascii="Arial" w:hAnsi="Arial" w:cs="Arial"/>
          <w:szCs w:val="22"/>
          <w:lang w:val="en-US"/>
        </w:rPr>
        <w:t xml:space="preserve">on a 2000 </w:t>
      </w:r>
      <w:r w:rsidR="00A1406A">
        <w:rPr>
          <w:rFonts w:ascii="Arial" w:hAnsi="Arial" w:cs="Arial"/>
          <w:szCs w:val="22"/>
          <w:lang w:val="en-US"/>
        </w:rPr>
        <w:t>benchmark</w:t>
      </w:r>
      <w:r w:rsidRPr="00DB7EDE">
        <w:rPr>
          <w:rFonts w:ascii="Arial" w:hAnsi="Arial" w:cs="Arial"/>
          <w:szCs w:val="22"/>
          <w:lang w:val="en-US"/>
        </w:rPr>
        <w:t xml:space="preserve"> and applying it to the 2014 </w:t>
      </w:r>
      <w:r w:rsidR="00A1406A">
        <w:rPr>
          <w:rFonts w:ascii="Arial" w:hAnsi="Arial" w:cs="Arial"/>
          <w:szCs w:val="22"/>
          <w:lang w:val="en-US"/>
        </w:rPr>
        <w:t>benchmark</w:t>
      </w:r>
      <w:r w:rsidRPr="00DB7EDE">
        <w:rPr>
          <w:rFonts w:ascii="Arial" w:hAnsi="Arial" w:cs="Arial"/>
          <w:szCs w:val="22"/>
          <w:lang w:val="en-US"/>
        </w:rPr>
        <w:t>:</w:t>
      </w:r>
    </w:p>
    <w:p w14:paraId="0CA1F9DD" w14:textId="086EA1C9" w:rsidR="0080460B" w:rsidRPr="00DB7EDE" w:rsidRDefault="0080460B" w:rsidP="0080460B">
      <w:pPr>
        <w:jc w:val="both"/>
        <w:rPr>
          <w:sz w:val="22"/>
          <w:szCs w:val="22"/>
        </w:rPr>
      </w:pPr>
      <w:r w:rsidRPr="00DB7EDE">
        <w:rPr>
          <w:sz w:val="22"/>
          <w:szCs w:val="22"/>
        </w:rPr>
        <w:t xml:space="preserve">Si </w:t>
      </w:r>
      <m:oMath>
        <m:sSub>
          <m:sSubPr>
            <m:ctrlPr>
              <w:rPr>
                <w:rFonts w:ascii="Cambria Math" w:hAnsi="Cambria Math"/>
                <w:i/>
                <w:sz w:val="24"/>
                <w:szCs w:val="22"/>
              </w:rPr>
            </m:ctrlPr>
          </m:sSubPr>
          <m:e>
            <m:r>
              <w:rPr>
                <w:rFonts w:ascii="Cambria Math" w:hAnsi="Cambria Math"/>
                <w:sz w:val="24"/>
                <w:szCs w:val="22"/>
              </w:rPr>
              <m:t>I</m:t>
            </m:r>
          </m:e>
          <m:sub>
            <m:r>
              <w:rPr>
                <w:rFonts w:ascii="Cambria Math" w:hAnsi="Cambria Math"/>
                <w:sz w:val="24"/>
                <w:szCs w:val="22"/>
              </w:rPr>
              <m:t xml:space="preserve">N, </m:t>
            </m:r>
            <m:r>
              <w:rPr>
                <w:rFonts w:ascii="Cambria Math" w:eastAsia="Calibri" w:hAnsi="Cambria Math"/>
                <w:sz w:val="22"/>
                <w:szCs w:val="22"/>
                <w:lang w:eastAsia="en-US"/>
              </w:rPr>
              <m:t xml:space="preserve">benchmark </m:t>
            </m:r>
            <m:r>
              <w:rPr>
                <w:rFonts w:ascii="Cambria Math" w:hAnsi="Cambria Math"/>
                <w:sz w:val="24"/>
                <w:szCs w:val="22"/>
              </w:rPr>
              <m:t>2000</m:t>
            </m:r>
          </m:sub>
        </m:sSub>
        <m:r>
          <w:rPr>
            <w:rFonts w:ascii="Cambria Math" w:hAnsi="Cambria Math"/>
            <w:sz w:val="24"/>
            <w:szCs w:val="22"/>
          </w:rPr>
          <m:t>&lt;0.7</m:t>
        </m:r>
      </m:oMath>
      <w:r w:rsidRPr="00DB7EDE">
        <w:rPr>
          <w:sz w:val="22"/>
          <w:szCs w:val="22"/>
        </w:rPr>
        <w:t xml:space="preserve"> ou </w:t>
      </w:r>
      <m:oMath>
        <m:sSub>
          <m:sSubPr>
            <m:ctrlPr>
              <w:rPr>
                <w:rFonts w:ascii="Cambria Math" w:hAnsi="Cambria Math"/>
                <w:i/>
                <w:sz w:val="24"/>
                <w:szCs w:val="22"/>
              </w:rPr>
            </m:ctrlPr>
          </m:sSubPr>
          <m:e>
            <m:r>
              <w:rPr>
                <w:rFonts w:ascii="Cambria Math" w:hAnsi="Cambria Math"/>
                <w:sz w:val="24"/>
                <w:szCs w:val="22"/>
              </w:rPr>
              <m:t>I</m:t>
            </m:r>
          </m:e>
          <m:sub>
            <m:r>
              <w:rPr>
                <w:rFonts w:ascii="Cambria Math" w:hAnsi="Cambria Math"/>
                <w:sz w:val="24"/>
                <w:szCs w:val="22"/>
              </w:rPr>
              <m:t xml:space="preserve">N, </m:t>
            </m:r>
            <m:r>
              <w:rPr>
                <w:rFonts w:ascii="Cambria Math" w:eastAsia="Calibri" w:hAnsi="Cambria Math"/>
                <w:sz w:val="22"/>
                <w:szCs w:val="22"/>
                <w:lang w:eastAsia="en-US"/>
              </w:rPr>
              <m:t xml:space="preserve">benchmark </m:t>
            </m:r>
            <m:r>
              <w:rPr>
                <w:rFonts w:ascii="Cambria Math" w:hAnsi="Cambria Math"/>
                <w:sz w:val="24"/>
                <w:szCs w:val="22"/>
              </w:rPr>
              <m:t>2000</m:t>
            </m:r>
          </m:sub>
        </m:sSub>
        <m:r>
          <w:rPr>
            <w:rFonts w:ascii="Cambria Math" w:hAnsi="Cambria Math"/>
            <w:sz w:val="24"/>
            <w:szCs w:val="22"/>
          </w:rPr>
          <m:t>&gt;1.3</m:t>
        </m:r>
      </m:oMath>
      <w:r w:rsidRPr="00DB7EDE">
        <w:rPr>
          <w:sz w:val="22"/>
          <w:szCs w:val="22"/>
        </w:rPr>
        <w:t>, alors</w:t>
      </w:r>
    </w:p>
    <w:p w14:paraId="3CFB384D" w14:textId="76B8FBCF" w:rsidR="0080460B" w:rsidRPr="0080460B" w:rsidRDefault="00AC496F" w:rsidP="0080460B">
      <w:pPr>
        <w:jc w:val="both"/>
        <w:rPr>
          <w:sz w:val="22"/>
          <w:szCs w:val="22"/>
        </w:rPr>
      </w:pPr>
      <m:oMathPara>
        <m:oMath>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 xml:space="preserve">N, </m:t>
              </m:r>
              <m:r>
                <w:rPr>
                  <w:rFonts w:ascii="Cambria Math" w:eastAsia="Calibri" w:hAnsi="Cambria Math"/>
                  <w:sz w:val="22"/>
                  <w:szCs w:val="22"/>
                  <w:lang w:eastAsia="en-US"/>
                </w:rPr>
                <m:t xml:space="preserve">benchmark </m:t>
              </m:r>
              <m:r>
                <w:rPr>
                  <w:rFonts w:ascii="Cambria Math" w:hAnsi="Cambria Math"/>
                  <w:sz w:val="24"/>
                  <w:szCs w:val="22"/>
                </w:rPr>
                <m:t>2014</m:t>
              </m:r>
            </m:sub>
          </m:sSub>
          <m:r>
            <w:rPr>
              <w:rFonts w:ascii="Cambria Math" w:hAnsi="Cambria Math"/>
              <w:sz w:val="24"/>
              <w:szCs w:val="22"/>
            </w:rPr>
            <m:t>=</m:t>
          </m:r>
          <m:f>
            <m:fPr>
              <m:ctrlPr>
                <w:rPr>
                  <w:rFonts w:ascii="Cambria Math" w:hAnsi="Cambria Math"/>
                  <w:i/>
                  <w:sz w:val="24"/>
                  <w:szCs w:val="22"/>
                </w:rPr>
              </m:ctrlPr>
            </m:fPr>
            <m:num>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 xml:space="preserve">N, </m:t>
                  </m:r>
                  <m:r>
                    <w:rPr>
                      <w:rFonts w:ascii="Cambria Math" w:eastAsia="Calibri" w:hAnsi="Cambria Math"/>
                      <w:sz w:val="22"/>
                      <w:szCs w:val="22"/>
                      <w:lang w:eastAsia="en-US"/>
                    </w:rPr>
                    <m:t xml:space="preserve">benchmark </m:t>
                  </m:r>
                  <m:r>
                    <w:rPr>
                      <w:rFonts w:ascii="Cambria Math" w:hAnsi="Cambria Math"/>
                      <w:sz w:val="24"/>
                      <w:szCs w:val="22"/>
                    </w:rPr>
                    <m:t>2000</m:t>
                  </m:r>
                </m:sub>
              </m:sSub>
            </m:num>
            <m:den>
              <m:r>
                <w:rPr>
                  <w:rFonts w:ascii="Cambria Math" w:hAnsi="Cambria Math"/>
                  <w:sz w:val="24"/>
                  <w:szCs w:val="22"/>
                </w:rPr>
                <m:t>(</m:t>
              </m:r>
              <m:sSub>
                <m:sSubPr>
                  <m:ctrlPr>
                    <w:rPr>
                      <w:rFonts w:ascii="Cambria Math" w:hAnsi="Cambria Math"/>
                      <w:i/>
                      <w:sz w:val="24"/>
                      <w:szCs w:val="22"/>
                    </w:rPr>
                  </m:ctrlPr>
                </m:sSubPr>
                <m:e>
                  <m:r>
                    <w:rPr>
                      <w:rFonts w:ascii="Cambria Math" w:hAnsi="Cambria Math"/>
                      <w:sz w:val="24"/>
                      <w:szCs w:val="22"/>
                    </w:rPr>
                    <m:t>S</m:t>
                  </m:r>
                </m:e>
                <m:sub>
                  <m:r>
                    <w:rPr>
                      <w:rFonts w:ascii="Cambria Math" w:hAnsi="Cambria Math"/>
                      <w:sz w:val="24"/>
                      <w:szCs w:val="22"/>
                    </w:rPr>
                    <m:t xml:space="preserve">N, </m:t>
                  </m:r>
                  <m:r>
                    <w:rPr>
                      <w:rFonts w:ascii="Cambria Math" w:eastAsia="Calibri" w:hAnsi="Cambria Math"/>
                      <w:sz w:val="22"/>
                      <w:szCs w:val="22"/>
                      <w:lang w:eastAsia="en-US"/>
                    </w:rPr>
                    <m:t xml:space="preserve">benchmark </m:t>
                  </m:r>
                  <m:r>
                    <w:rPr>
                      <w:rFonts w:ascii="Cambria Math" w:hAnsi="Cambria Math"/>
                      <w:sz w:val="24"/>
                      <w:szCs w:val="22"/>
                    </w:rPr>
                    <m:t>2000</m:t>
                  </m:r>
                </m:sub>
              </m:sSub>
              <m:r>
                <w:rPr>
                  <w:rFonts w:ascii="Cambria Math" w:hAnsi="Cambria Math"/>
                  <w:sz w:val="24"/>
                  <w:szCs w:val="22"/>
                </w:rPr>
                <m:t>-</m:t>
              </m:r>
              <m:sSub>
                <m:sSubPr>
                  <m:ctrlPr>
                    <w:rPr>
                      <w:rFonts w:ascii="Cambria Math" w:hAnsi="Cambria Math"/>
                      <w:i/>
                      <w:sz w:val="24"/>
                      <w:szCs w:val="22"/>
                    </w:rPr>
                  </m:ctrlPr>
                </m:sSubPr>
                <m:e>
                  <m:r>
                    <w:rPr>
                      <w:rFonts w:ascii="Cambria Math" w:hAnsi="Cambria Math"/>
                      <w:sz w:val="24"/>
                      <w:szCs w:val="22"/>
                    </w:rPr>
                    <m:t>S</m:t>
                  </m:r>
                </m:e>
                <m:sub>
                  <m:r>
                    <w:rPr>
                      <w:rFonts w:ascii="Cambria Math" w:hAnsi="Cambria Math"/>
                      <w:sz w:val="24"/>
                      <w:szCs w:val="22"/>
                    </w:rPr>
                    <m:t xml:space="preserve">N-1, </m:t>
                  </m:r>
                  <m:r>
                    <w:rPr>
                      <w:rFonts w:ascii="Cambria Math" w:eastAsia="Calibri" w:hAnsi="Cambria Math"/>
                      <w:sz w:val="22"/>
                      <w:szCs w:val="22"/>
                      <w:lang w:eastAsia="en-US"/>
                    </w:rPr>
                    <m:t xml:space="preserve">benchmark </m:t>
                  </m:r>
                  <m:r>
                    <w:rPr>
                      <w:rFonts w:ascii="Cambria Math" w:hAnsi="Cambria Math"/>
                      <w:sz w:val="24"/>
                      <w:szCs w:val="22"/>
                    </w:rPr>
                    <m:t>2000</m:t>
                  </m:r>
                </m:sub>
              </m:sSub>
              <m:r>
                <w:rPr>
                  <w:rFonts w:ascii="Cambria Math" w:hAnsi="Cambria Math"/>
                  <w:sz w:val="24"/>
                  <w:szCs w:val="22"/>
                </w:rPr>
                <m:t>)</m:t>
              </m:r>
            </m:den>
          </m:f>
          <m:r>
            <w:rPr>
              <w:rFonts w:ascii="Cambria Math" w:hAnsi="Cambria Math"/>
              <w:sz w:val="24"/>
              <w:szCs w:val="22"/>
            </w:rPr>
            <m:t>∙(</m:t>
          </m:r>
          <m:sSub>
            <m:sSubPr>
              <m:ctrlPr>
                <w:rPr>
                  <w:rFonts w:ascii="Cambria Math" w:hAnsi="Cambria Math"/>
                  <w:i/>
                  <w:sz w:val="24"/>
                  <w:szCs w:val="22"/>
                </w:rPr>
              </m:ctrlPr>
            </m:sSubPr>
            <m:e>
              <m:r>
                <w:rPr>
                  <w:rFonts w:ascii="Cambria Math" w:hAnsi="Cambria Math"/>
                  <w:sz w:val="24"/>
                  <w:szCs w:val="22"/>
                </w:rPr>
                <m:t>S</m:t>
              </m:r>
            </m:e>
            <m:sub>
              <m:r>
                <w:rPr>
                  <w:rFonts w:ascii="Cambria Math" w:hAnsi="Cambria Math"/>
                  <w:sz w:val="24"/>
                  <w:szCs w:val="22"/>
                </w:rPr>
                <m:t xml:space="preserve">N, </m:t>
              </m:r>
              <m:r>
                <w:rPr>
                  <w:rFonts w:ascii="Cambria Math" w:eastAsia="Calibri" w:hAnsi="Cambria Math"/>
                  <w:sz w:val="22"/>
                  <w:szCs w:val="22"/>
                  <w:lang w:eastAsia="en-US"/>
                </w:rPr>
                <m:t xml:space="preserve">benchmark </m:t>
              </m:r>
              <m:r>
                <w:rPr>
                  <w:rFonts w:ascii="Cambria Math" w:hAnsi="Cambria Math"/>
                  <w:sz w:val="24"/>
                  <w:szCs w:val="22"/>
                </w:rPr>
                <m:t>2014</m:t>
              </m:r>
            </m:sub>
          </m:sSub>
          <m:r>
            <w:rPr>
              <w:rFonts w:ascii="Cambria Math" w:hAnsi="Cambria Math"/>
              <w:sz w:val="24"/>
              <w:szCs w:val="22"/>
            </w:rPr>
            <m:t>-</m:t>
          </m:r>
          <m:sSub>
            <m:sSubPr>
              <m:ctrlPr>
                <w:rPr>
                  <w:rFonts w:ascii="Cambria Math" w:hAnsi="Cambria Math"/>
                  <w:i/>
                  <w:sz w:val="24"/>
                  <w:szCs w:val="22"/>
                </w:rPr>
              </m:ctrlPr>
            </m:sSubPr>
            <m:e>
              <m:r>
                <w:rPr>
                  <w:rFonts w:ascii="Cambria Math" w:hAnsi="Cambria Math"/>
                  <w:sz w:val="24"/>
                  <w:szCs w:val="22"/>
                </w:rPr>
                <m:t>S</m:t>
              </m:r>
            </m:e>
            <m:sub>
              <m:r>
                <w:rPr>
                  <w:rFonts w:ascii="Cambria Math" w:hAnsi="Cambria Math"/>
                  <w:sz w:val="24"/>
                  <w:szCs w:val="22"/>
                </w:rPr>
                <m:t xml:space="preserve">N-1, </m:t>
              </m:r>
              <m:r>
                <w:rPr>
                  <w:rFonts w:ascii="Cambria Math" w:eastAsia="Calibri" w:hAnsi="Cambria Math"/>
                  <w:sz w:val="22"/>
                  <w:szCs w:val="22"/>
                  <w:lang w:eastAsia="en-US"/>
                </w:rPr>
                <m:t xml:space="preserve">benchmark </m:t>
              </m:r>
              <m:r>
                <w:rPr>
                  <w:rFonts w:ascii="Cambria Math" w:hAnsi="Cambria Math"/>
                  <w:sz w:val="24"/>
                  <w:szCs w:val="22"/>
                </w:rPr>
                <m:t>2014</m:t>
              </m:r>
            </m:sub>
          </m:sSub>
          <m:r>
            <w:rPr>
              <w:rFonts w:ascii="Cambria Math" w:hAnsi="Cambria Math"/>
              <w:sz w:val="24"/>
              <w:szCs w:val="22"/>
            </w:rPr>
            <m:t>)</m:t>
          </m:r>
        </m:oMath>
      </m:oMathPara>
    </w:p>
    <w:p w14:paraId="0CABB17A" w14:textId="77777777" w:rsidR="0080460B" w:rsidRPr="0080460B" w:rsidRDefault="0080460B" w:rsidP="0080460B">
      <w:pPr>
        <w:jc w:val="both"/>
        <w:rPr>
          <w:sz w:val="22"/>
          <w:szCs w:val="22"/>
        </w:rPr>
      </w:pPr>
    </w:p>
    <w:p w14:paraId="31C43E15" w14:textId="5B7A2097" w:rsidR="0080460B" w:rsidRPr="00DB7EDE" w:rsidRDefault="00DB7EDE" w:rsidP="0080460B">
      <w:pPr>
        <w:jc w:val="both"/>
        <w:rPr>
          <w:rFonts w:ascii="Arial" w:hAnsi="Arial" w:cs="Arial"/>
          <w:lang w:val="en-US"/>
        </w:rPr>
      </w:pPr>
      <w:r w:rsidRPr="00DB7EDE">
        <w:rPr>
          <w:rFonts w:ascii="Arial" w:hAnsi="Arial" w:cs="Arial"/>
          <w:lang w:val="en-US"/>
        </w:rPr>
        <w:t xml:space="preserve">Once these choices have been made, we can proceed in the same way for total assets and liabilities and for each sector, but we will come back to the same problem as before for </w:t>
      </w:r>
      <w:r w:rsidR="00033658">
        <w:rPr>
          <w:rFonts w:ascii="Arial" w:hAnsi="Arial" w:cs="Arial"/>
          <w:lang w:val="en-US"/>
        </w:rPr>
        <w:t>stocks</w:t>
      </w:r>
      <w:r w:rsidRPr="00DB7EDE">
        <w:rPr>
          <w:rFonts w:ascii="Arial" w:hAnsi="Arial" w:cs="Arial"/>
          <w:lang w:val="en-US"/>
        </w:rPr>
        <w:t xml:space="preserve">, i.e. having to respect equality between the revaluation of the total and the sum of the revaluations for each sector. We will proceed in the same way as for </w:t>
      </w:r>
      <w:r w:rsidR="00033658">
        <w:rPr>
          <w:rFonts w:ascii="Arial" w:hAnsi="Arial" w:cs="Arial"/>
          <w:lang w:val="en-US"/>
        </w:rPr>
        <w:t>stocks</w:t>
      </w:r>
      <w:r w:rsidRPr="00DB7EDE">
        <w:rPr>
          <w:rFonts w:ascii="Arial" w:hAnsi="Arial" w:cs="Arial"/>
          <w:lang w:val="en-US"/>
        </w:rPr>
        <w:t>, i.e.:</w:t>
      </w:r>
    </w:p>
    <w:p w14:paraId="508E7E46" w14:textId="28C22F21" w:rsidR="0080460B" w:rsidRPr="00DB7EDE" w:rsidRDefault="00DB7EDE" w:rsidP="00DB7EDE">
      <w:pPr>
        <w:numPr>
          <w:ilvl w:val="0"/>
          <w:numId w:val="36"/>
        </w:numPr>
        <w:jc w:val="both"/>
        <w:rPr>
          <w:rFonts w:ascii="Arial" w:hAnsi="Arial" w:cs="Arial"/>
          <w:lang w:val="en-US"/>
        </w:rPr>
      </w:pPr>
      <w:r w:rsidRPr="00DB7EDE">
        <w:rPr>
          <w:rFonts w:ascii="Arial" w:hAnsi="Arial" w:cs="Arial"/>
          <w:lang w:val="en-US"/>
        </w:rPr>
        <w:t xml:space="preserve">For a sector i for which we have not modified the </w:t>
      </w:r>
      <w:r w:rsidR="00740C15">
        <w:rPr>
          <w:rFonts w:ascii="Arial" w:hAnsi="Arial" w:cs="Arial"/>
          <w:lang w:val="en-US"/>
        </w:rPr>
        <w:t>stocks</w:t>
      </w:r>
      <w:r w:rsidRPr="00DB7EDE">
        <w:rPr>
          <w:rFonts w:ascii="Arial" w:hAnsi="Arial" w:cs="Arial"/>
          <w:lang w:val="en-US"/>
        </w:rPr>
        <w:t xml:space="preserve"> (the so-called 'frozen' series), we keep the revaluation </w:t>
      </w:r>
      <m:oMath>
        <m:sSubSup>
          <m:sSubSupPr>
            <m:ctrlPr>
              <w:rPr>
                <w:rFonts w:ascii="Cambria Math" w:hAnsi="Cambria Math" w:cs="Arial"/>
                <w:i/>
                <w:sz w:val="22"/>
              </w:rPr>
            </m:ctrlPr>
          </m:sSubSupPr>
          <m:e>
            <m:r>
              <w:rPr>
                <w:rFonts w:ascii="Cambria Math" w:hAnsi="Cambria Math" w:cs="Arial"/>
                <w:sz w:val="22"/>
              </w:rPr>
              <m:t>R</m:t>
            </m:r>
          </m:e>
          <m:sub>
            <m:r>
              <w:rPr>
                <w:rFonts w:ascii="Cambria Math" w:hAnsi="Cambria Math" w:cs="Arial"/>
                <w:sz w:val="22"/>
              </w:rPr>
              <m:t>N</m:t>
            </m:r>
            <m:r>
              <w:rPr>
                <w:rFonts w:ascii="Cambria Math" w:hAnsi="Cambria Math" w:cs="Arial"/>
                <w:sz w:val="22"/>
                <w:lang w:val="en-US"/>
              </w:rPr>
              <m:t xml:space="preserve">, </m:t>
            </m:r>
            <m:r>
              <w:rPr>
                <w:rFonts w:ascii="Cambria Math" w:eastAsia="Calibri" w:hAnsi="Cambria Math"/>
                <w:sz w:val="22"/>
                <w:szCs w:val="22"/>
                <w:lang w:eastAsia="en-US"/>
              </w:rPr>
              <m:t>benc</m:t>
            </m:r>
            <m:r>
              <w:rPr>
                <w:rFonts w:ascii="Cambria Math" w:eastAsia="Calibri" w:hAnsi="Cambria Math"/>
                <w:sz w:val="22"/>
                <w:szCs w:val="22"/>
                <w:lang w:val="en-US" w:eastAsia="en-US"/>
              </w:rPr>
              <m:t>h</m:t>
            </m:r>
            <m:r>
              <w:rPr>
                <w:rFonts w:ascii="Cambria Math" w:eastAsia="Calibri" w:hAnsi="Cambria Math"/>
                <w:sz w:val="22"/>
                <w:szCs w:val="22"/>
                <w:lang w:eastAsia="en-US"/>
              </w:rPr>
              <m:t>mark</m:t>
            </m:r>
            <m:r>
              <w:rPr>
                <w:rFonts w:ascii="Cambria Math" w:eastAsia="Calibri" w:hAnsi="Cambria Math"/>
                <w:sz w:val="22"/>
                <w:szCs w:val="22"/>
                <w:lang w:val="en-US" w:eastAsia="en-US"/>
              </w:rPr>
              <m:t xml:space="preserve"> </m:t>
            </m:r>
            <m:r>
              <w:rPr>
                <w:rFonts w:ascii="Cambria Math" w:hAnsi="Cambria Math" w:cs="Arial"/>
                <w:sz w:val="22"/>
                <w:lang w:val="en-US"/>
              </w:rPr>
              <m:t>2014</m:t>
            </m:r>
          </m:sub>
          <m:sup>
            <m:r>
              <w:rPr>
                <w:rFonts w:ascii="Cambria Math" w:hAnsi="Cambria Math" w:cs="Arial"/>
                <w:sz w:val="22"/>
              </w:rPr>
              <m:t>i</m:t>
            </m:r>
          </m:sup>
        </m:sSubSup>
      </m:oMath>
      <w:r w:rsidR="0080460B" w:rsidRPr="00DB7EDE">
        <w:rPr>
          <w:rFonts w:ascii="Arial" w:hAnsi="Arial" w:cs="Arial"/>
          <w:lang w:val="en-US"/>
        </w:rPr>
        <w:t xml:space="preserve"> </w:t>
      </w:r>
      <w:r w:rsidRPr="00DB7EDE">
        <w:rPr>
          <w:rFonts w:ascii="Arial" w:hAnsi="Arial" w:cs="Arial"/>
          <w:lang w:val="en-US"/>
        </w:rPr>
        <w:t xml:space="preserve">as we have calculated it. This makes it possible to have series that are free of balancing on both </w:t>
      </w:r>
      <w:r w:rsidR="00033658">
        <w:rPr>
          <w:rFonts w:ascii="Arial" w:hAnsi="Arial" w:cs="Arial"/>
          <w:lang w:val="en-US"/>
        </w:rPr>
        <w:t>stocks</w:t>
      </w:r>
      <w:r w:rsidRPr="00DB7EDE">
        <w:rPr>
          <w:rFonts w:ascii="Arial" w:hAnsi="Arial" w:cs="Arial"/>
          <w:lang w:val="en-US"/>
        </w:rPr>
        <w:t xml:space="preserve"> and revaluations, and therefore to retain the natural consistency of the 2000 </w:t>
      </w:r>
      <w:r w:rsidR="00ED3D7B">
        <w:rPr>
          <w:rFonts w:ascii="Arial" w:hAnsi="Arial" w:cs="Arial"/>
          <w:lang w:val="en-US"/>
        </w:rPr>
        <w:t>benchmark</w:t>
      </w:r>
      <w:r w:rsidRPr="00DB7EDE">
        <w:rPr>
          <w:rFonts w:ascii="Arial" w:hAnsi="Arial" w:cs="Arial"/>
          <w:lang w:val="en-US"/>
        </w:rPr>
        <w:t>.</w:t>
      </w:r>
    </w:p>
    <w:p w14:paraId="058F2AAF" w14:textId="017F58BF" w:rsidR="0080460B" w:rsidRPr="00DB7EDE" w:rsidRDefault="00DB7EDE" w:rsidP="00DB7EDE">
      <w:pPr>
        <w:numPr>
          <w:ilvl w:val="0"/>
          <w:numId w:val="36"/>
        </w:numPr>
        <w:jc w:val="both"/>
        <w:rPr>
          <w:rFonts w:ascii="Arial" w:hAnsi="Arial" w:cs="Arial"/>
          <w:lang w:val="en-US"/>
        </w:rPr>
      </w:pPr>
      <w:r w:rsidRPr="00DB7EDE">
        <w:rPr>
          <w:rFonts w:ascii="Arial" w:hAnsi="Arial" w:cs="Arial"/>
          <w:lang w:val="en-US"/>
        </w:rPr>
        <w:t xml:space="preserve">For the others, as before, we will make the necessary adjustments to achieve the desired equality, again adjusting in proportion to the revaluations (this time using absolute values to take account of the fact that revaluations can be negative, unlike </w:t>
      </w:r>
      <w:r w:rsidR="00033658">
        <w:rPr>
          <w:rFonts w:ascii="Arial" w:hAnsi="Arial" w:cs="Arial"/>
          <w:lang w:val="en-US"/>
        </w:rPr>
        <w:t>stocks</w:t>
      </w:r>
      <w:r w:rsidRPr="00DB7EDE">
        <w:rPr>
          <w:rFonts w:ascii="Arial" w:hAnsi="Arial" w:cs="Arial"/>
          <w:lang w:val="en-US"/>
        </w:rPr>
        <w:t>):</w:t>
      </w:r>
    </w:p>
    <w:p w14:paraId="60653A96" w14:textId="70416A84" w:rsidR="0080460B" w:rsidRPr="0080460B" w:rsidRDefault="00AC496F" w:rsidP="0080460B">
      <w:pPr>
        <w:jc w:val="both"/>
        <w:rPr>
          <w:sz w:val="22"/>
          <w:szCs w:val="22"/>
        </w:rPr>
      </w:pPr>
      <m:oMathPara>
        <m:oMath>
          <m:sSubSup>
            <m:sSubSupPr>
              <m:ctrlPr>
                <w:rPr>
                  <w:rFonts w:ascii="Cambria Math" w:hAnsi="Cambria Math"/>
                  <w:i/>
                  <w:sz w:val="24"/>
                  <w:szCs w:val="22"/>
                </w:rPr>
              </m:ctrlPr>
            </m:sSubSupPr>
            <m:e>
              <m:r>
                <w:rPr>
                  <w:rFonts w:ascii="Cambria Math" w:hAnsi="Cambria Math"/>
                  <w:sz w:val="24"/>
                  <w:szCs w:val="22"/>
                </w:rPr>
                <m:t>R</m:t>
              </m:r>
            </m:e>
            <m:sub>
              <m:r>
                <w:rPr>
                  <w:rFonts w:ascii="Cambria Math" w:hAnsi="Cambria Math"/>
                  <w:sz w:val="24"/>
                  <w:szCs w:val="22"/>
                </w:rPr>
                <m:t xml:space="preserve">N-1, </m:t>
              </m:r>
              <m:r>
                <w:rPr>
                  <w:rFonts w:ascii="Cambria Math" w:eastAsia="Calibri" w:hAnsi="Cambria Math"/>
                  <w:sz w:val="22"/>
                  <w:szCs w:val="22"/>
                  <w:lang w:eastAsia="en-US"/>
                </w:rPr>
                <m:t xml:space="preserve">benchmark </m:t>
              </m:r>
              <m:r>
                <w:rPr>
                  <w:rFonts w:ascii="Cambria Math" w:hAnsi="Cambria Math"/>
                  <w:sz w:val="24"/>
                  <w:szCs w:val="22"/>
                </w:rPr>
                <m:t>2014</m:t>
              </m:r>
            </m:sub>
            <m:sup>
              <m:r>
                <w:rPr>
                  <w:rFonts w:ascii="Cambria Math" w:hAnsi="Cambria Math"/>
                  <w:sz w:val="24"/>
                  <w:szCs w:val="22"/>
                </w:rPr>
                <m:t>j</m:t>
              </m:r>
            </m:sup>
          </m:sSubSup>
          <m:r>
            <w:rPr>
              <w:rFonts w:ascii="Cambria Math" w:hAnsi="Cambria Math"/>
              <w:sz w:val="24"/>
              <w:szCs w:val="22"/>
            </w:rPr>
            <m:t>=</m:t>
          </m:r>
          <m:sSubSup>
            <m:sSubSupPr>
              <m:ctrlPr>
                <w:rPr>
                  <w:rFonts w:ascii="Cambria Math" w:hAnsi="Cambria Math"/>
                  <w:i/>
                  <w:sz w:val="24"/>
                  <w:szCs w:val="22"/>
                </w:rPr>
              </m:ctrlPr>
            </m:sSubSupPr>
            <m:e>
              <m:acc>
                <m:accPr>
                  <m:ctrlPr>
                    <w:rPr>
                      <w:rFonts w:ascii="Cambria Math" w:hAnsi="Cambria Math"/>
                      <w:i/>
                      <w:sz w:val="24"/>
                      <w:szCs w:val="22"/>
                    </w:rPr>
                  </m:ctrlPr>
                </m:accPr>
                <m:e>
                  <m:r>
                    <w:rPr>
                      <w:rFonts w:ascii="Cambria Math" w:hAnsi="Cambria Math"/>
                      <w:sz w:val="24"/>
                      <w:szCs w:val="22"/>
                    </w:rPr>
                    <m:t>R</m:t>
                  </m:r>
                </m:e>
              </m:acc>
            </m:e>
            <m:sub>
              <m:r>
                <w:rPr>
                  <w:rFonts w:ascii="Cambria Math" w:hAnsi="Cambria Math"/>
                  <w:sz w:val="24"/>
                  <w:szCs w:val="22"/>
                </w:rPr>
                <m:t xml:space="preserve">N-1, </m:t>
              </m:r>
              <m:r>
                <w:rPr>
                  <w:rFonts w:ascii="Cambria Math" w:eastAsia="Calibri" w:hAnsi="Cambria Math"/>
                  <w:sz w:val="22"/>
                  <w:szCs w:val="22"/>
                  <w:lang w:eastAsia="en-US"/>
                </w:rPr>
                <m:t xml:space="preserve">benchmark </m:t>
              </m:r>
              <m:r>
                <w:rPr>
                  <w:rFonts w:ascii="Cambria Math" w:hAnsi="Cambria Math"/>
                  <w:sz w:val="24"/>
                  <w:szCs w:val="22"/>
                </w:rPr>
                <m:t>2014</m:t>
              </m:r>
            </m:sub>
            <m:sup>
              <m:r>
                <w:rPr>
                  <w:rFonts w:ascii="Cambria Math" w:hAnsi="Cambria Math"/>
                  <w:sz w:val="24"/>
                  <w:szCs w:val="22"/>
                </w:rPr>
                <m:t>j</m:t>
              </m:r>
            </m:sup>
          </m:sSubSup>
          <m:r>
            <w:rPr>
              <w:rFonts w:ascii="Cambria Math" w:hAnsi="Cambria Math"/>
              <w:sz w:val="24"/>
              <w:szCs w:val="22"/>
            </w:rPr>
            <m:t xml:space="preserve">+ </m:t>
          </m:r>
          <m:f>
            <m:fPr>
              <m:ctrlPr>
                <w:rPr>
                  <w:rFonts w:ascii="Cambria Math" w:hAnsi="Cambria Math"/>
                  <w:i/>
                  <w:sz w:val="24"/>
                  <w:szCs w:val="22"/>
                </w:rPr>
              </m:ctrlPr>
            </m:fPr>
            <m:num>
              <m:d>
                <m:dPr>
                  <m:begChr m:val="|"/>
                  <m:endChr m:val="|"/>
                  <m:ctrlPr>
                    <w:rPr>
                      <w:rFonts w:ascii="Cambria Math" w:hAnsi="Cambria Math"/>
                      <w:i/>
                      <w:sz w:val="24"/>
                      <w:szCs w:val="22"/>
                    </w:rPr>
                  </m:ctrlPr>
                </m:dPr>
                <m:e>
                  <m:sSubSup>
                    <m:sSubSupPr>
                      <m:ctrlPr>
                        <w:rPr>
                          <w:rFonts w:ascii="Cambria Math" w:hAnsi="Cambria Math"/>
                          <w:i/>
                          <w:sz w:val="24"/>
                          <w:szCs w:val="22"/>
                        </w:rPr>
                      </m:ctrlPr>
                    </m:sSubSupPr>
                    <m:e>
                      <m:acc>
                        <m:accPr>
                          <m:ctrlPr>
                            <w:rPr>
                              <w:rFonts w:ascii="Cambria Math" w:hAnsi="Cambria Math"/>
                              <w:i/>
                              <w:sz w:val="24"/>
                              <w:szCs w:val="22"/>
                            </w:rPr>
                          </m:ctrlPr>
                        </m:accPr>
                        <m:e>
                          <m:r>
                            <w:rPr>
                              <w:rFonts w:ascii="Cambria Math" w:hAnsi="Cambria Math"/>
                              <w:sz w:val="24"/>
                              <w:szCs w:val="22"/>
                            </w:rPr>
                            <m:t>R</m:t>
                          </m:r>
                        </m:e>
                      </m:acc>
                    </m:e>
                    <m:sub>
                      <m:r>
                        <w:rPr>
                          <w:rFonts w:ascii="Cambria Math" w:hAnsi="Cambria Math"/>
                          <w:sz w:val="24"/>
                          <w:szCs w:val="22"/>
                        </w:rPr>
                        <m:t xml:space="preserve">N-1, </m:t>
                      </m:r>
                      <m:r>
                        <w:rPr>
                          <w:rFonts w:ascii="Cambria Math" w:eastAsia="Calibri" w:hAnsi="Cambria Math"/>
                          <w:sz w:val="22"/>
                          <w:szCs w:val="22"/>
                          <w:lang w:eastAsia="en-US"/>
                        </w:rPr>
                        <m:t xml:space="preserve">benchmark </m:t>
                      </m:r>
                      <m:r>
                        <w:rPr>
                          <w:rFonts w:ascii="Cambria Math" w:hAnsi="Cambria Math"/>
                          <w:sz w:val="24"/>
                          <w:szCs w:val="22"/>
                        </w:rPr>
                        <m:t>2014</m:t>
                      </m:r>
                    </m:sub>
                    <m:sup>
                      <m:r>
                        <w:rPr>
                          <w:rFonts w:ascii="Cambria Math" w:hAnsi="Cambria Math"/>
                          <w:sz w:val="24"/>
                          <w:szCs w:val="22"/>
                        </w:rPr>
                        <m:t>j</m:t>
                      </m:r>
                    </m:sup>
                  </m:sSubSup>
                </m:e>
              </m:d>
            </m:num>
            <m:den>
              <m:nary>
                <m:naryPr>
                  <m:chr m:val="∑"/>
                  <m:limLoc m:val="undOvr"/>
                  <m:supHide m:val="1"/>
                  <m:ctrlPr>
                    <w:rPr>
                      <w:rFonts w:ascii="Cambria Math" w:hAnsi="Cambria Math"/>
                      <w:i/>
                      <w:sz w:val="24"/>
                      <w:szCs w:val="22"/>
                    </w:rPr>
                  </m:ctrlPr>
                </m:naryPr>
                <m:sub>
                  <m:r>
                    <w:rPr>
                      <w:rFonts w:ascii="Cambria Math" w:hAnsi="Cambria Math"/>
                      <w:sz w:val="24"/>
                      <w:szCs w:val="22"/>
                    </w:rPr>
                    <m:t>k non_fixed</m:t>
                  </m:r>
                </m:sub>
                <m:sup/>
                <m:e>
                  <m:d>
                    <m:dPr>
                      <m:begChr m:val="|"/>
                      <m:endChr m:val="|"/>
                      <m:ctrlPr>
                        <w:rPr>
                          <w:rFonts w:ascii="Cambria Math" w:hAnsi="Cambria Math"/>
                          <w:i/>
                          <w:sz w:val="24"/>
                          <w:szCs w:val="22"/>
                        </w:rPr>
                      </m:ctrlPr>
                    </m:dPr>
                    <m:e>
                      <m:sSubSup>
                        <m:sSubSupPr>
                          <m:ctrlPr>
                            <w:rPr>
                              <w:rFonts w:ascii="Cambria Math" w:hAnsi="Cambria Math"/>
                              <w:i/>
                              <w:sz w:val="24"/>
                              <w:szCs w:val="22"/>
                            </w:rPr>
                          </m:ctrlPr>
                        </m:sSubSupPr>
                        <m:e>
                          <m:acc>
                            <m:accPr>
                              <m:ctrlPr>
                                <w:rPr>
                                  <w:rFonts w:ascii="Cambria Math" w:hAnsi="Cambria Math"/>
                                  <w:i/>
                                  <w:sz w:val="24"/>
                                  <w:szCs w:val="22"/>
                                </w:rPr>
                              </m:ctrlPr>
                            </m:accPr>
                            <m:e>
                              <m:r>
                                <w:rPr>
                                  <w:rFonts w:ascii="Cambria Math" w:hAnsi="Cambria Math"/>
                                  <w:sz w:val="24"/>
                                  <w:szCs w:val="22"/>
                                </w:rPr>
                                <m:t>R</m:t>
                              </m:r>
                            </m:e>
                          </m:acc>
                        </m:e>
                        <m:sub>
                          <m:r>
                            <w:rPr>
                              <w:rFonts w:ascii="Cambria Math" w:hAnsi="Cambria Math"/>
                              <w:sz w:val="24"/>
                              <w:szCs w:val="22"/>
                            </w:rPr>
                            <m:t xml:space="preserve">N-1, </m:t>
                          </m:r>
                          <m:r>
                            <w:rPr>
                              <w:rFonts w:ascii="Cambria Math" w:eastAsia="Calibri" w:hAnsi="Cambria Math"/>
                              <w:sz w:val="22"/>
                              <w:szCs w:val="22"/>
                              <w:lang w:eastAsia="en-US"/>
                            </w:rPr>
                            <m:t xml:space="preserve">benchmark </m:t>
                          </m:r>
                          <m:r>
                            <w:rPr>
                              <w:rFonts w:ascii="Cambria Math" w:hAnsi="Cambria Math"/>
                              <w:sz w:val="24"/>
                              <w:szCs w:val="22"/>
                            </w:rPr>
                            <m:t>2014</m:t>
                          </m:r>
                        </m:sub>
                        <m:sup>
                          <m:r>
                            <w:rPr>
                              <w:rFonts w:ascii="Cambria Math" w:hAnsi="Cambria Math"/>
                              <w:sz w:val="24"/>
                              <w:szCs w:val="22"/>
                            </w:rPr>
                            <m:t>k</m:t>
                          </m:r>
                        </m:sup>
                      </m:sSubSup>
                    </m:e>
                  </m:d>
                </m:e>
              </m:nary>
            </m:den>
          </m:f>
          <m:d>
            <m:dPr>
              <m:ctrlPr>
                <w:rPr>
                  <w:rFonts w:ascii="Cambria Math" w:hAnsi="Cambria Math"/>
                  <w:i/>
                  <w:sz w:val="24"/>
                  <w:szCs w:val="22"/>
                </w:rPr>
              </m:ctrlPr>
            </m:dPr>
            <m:e>
              <m:sSubSup>
                <m:sSubSupPr>
                  <m:ctrlPr>
                    <w:rPr>
                      <w:rFonts w:ascii="Cambria Math" w:hAnsi="Cambria Math"/>
                      <w:i/>
                      <w:sz w:val="24"/>
                      <w:szCs w:val="22"/>
                    </w:rPr>
                  </m:ctrlPr>
                </m:sSubSupPr>
                <m:e>
                  <m:r>
                    <w:rPr>
                      <w:rFonts w:ascii="Cambria Math" w:hAnsi="Cambria Math"/>
                      <w:sz w:val="24"/>
                      <w:szCs w:val="22"/>
                    </w:rPr>
                    <m:t>R</m:t>
                  </m:r>
                </m:e>
                <m:sub>
                  <m:r>
                    <w:rPr>
                      <w:rFonts w:ascii="Cambria Math" w:hAnsi="Cambria Math"/>
                      <w:sz w:val="24"/>
                      <w:szCs w:val="22"/>
                    </w:rPr>
                    <m:t xml:space="preserve">N-1, </m:t>
                  </m:r>
                  <m:r>
                    <w:rPr>
                      <w:rFonts w:ascii="Cambria Math" w:eastAsia="Calibri" w:hAnsi="Cambria Math"/>
                      <w:sz w:val="22"/>
                      <w:szCs w:val="22"/>
                      <w:lang w:eastAsia="en-US"/>
                    </w:rPr>
                    <m:t xml:space="preserve">benchmark </m:t>
                  </m:r>
                  <m:r>
                    <w:rPr>
                      <w:rFonts w:ascii="Cambria Math" w:hAnsi="Cambria Math"/>
                      <w:sz w:val="24"/>
                      <w:szCs w:val="22"/>
                    </w:rPr>
                    <m:t>2014</m:t>
                  </m:r>
                </m:sub>
                <m:sup>
                  <m:r>
                    <w:rPr>
                      <w:rFonts w:ascii="Cambria Math" w:hAnsi="Cambria Math"/>
                      <w:sz w:val="24"/>
                      <w:szCs w:val="22"/>
                    </w:rPr>
                    <m:t>total</m:t>
                  </m:r>
                </m:sup>
              </m:sSubSup>
              <m:r>
                <w:rPr>
                  <w:rFonts w:ascii="Cambria Math" w:hAnsi="Cambria Math"/>
                  <w:sz w:val="24"/>
                  <w:szCs w:val="22"/>
                </w:rPr>
                <m:t>-</m:t>
              </m:r>
              <m:nary>
                <m:naryPr>
                  <m:chr m:val="∑"/>
                  <m:limLoc m:val="undOvr"/>
                  <m:supHide m:val="1"/>
                  <m:ctrlPr>
                    <w:rPr>
                      <w:rFonts w:ascii="Cambria Math" w:hAnsi="Cambria Math"/>
                      <w:i/>
                      <w:sz w:val="24"/>
                      <w:szCs w:val="22"/>
                    </w:rPr>
                  </m:ctrlPr>
                </m:naryPr>
                <m:sub>
                  <m:r>
                    <w:rPr>
                      <w:rFonts w:ascii="Cambria Math" w:hAnsi="Cambria Math"/>
                      <w:sz w:val="24"/>
                      <w:szCs w:val="22"/>
                    </w:rPr>
                    <m:t xml:space="preserve">i fixed </m:t>
                  </m:r>
                </m:sub>
                <m:sup/>
                <m:e>
                  <m:sSubSup>
                    <m:sSubSupPr>
                      <m:ctrlPr>
                        <w:rPr>
                          <w:rFonts w:ascii="Cambria Math" w:hAnsi="Cambria Math"/>
                          <w:i/>
                          <w:sz w:val="24"/>
                          <w:szCs w:val="22"/>
                        </w:rPr>
                      </m:ctrlPr>
                    </m:sSubSupPr>
                    <m:e>
                      <m:acc>
                        <m:accPr>
                          <m:ctrlPr>
                            <w:rPr>
                              <w:rFonts w:ascii="Cambria Math" w:hAnsi="Cambria Math"/>
                              <w:i/>
                              <w:sz w:val="24"/>
                              <w:szCs w:val="22"/>
                            </w:rPr>
                          </m:ctrlPr>
                        </m:accPr>
                        <m:e>
                          <m:r>
                            <w:rPr>
                              <w:rFonts w:ascii="Cambria Math" w:hAnsi="Cambria Math"/>
                              <w:sz w:val="24"/>
                              <w:szCs w:val="22"/>
                            </w:rPr>
                            <m:t>R</m:t>
                          </m:r>
                        </m:e>
                      </m:acc>
                    </m:e>
                    <m:sub>
                      <m:r>
                        <w:rPr>
                          <w:rFonts w:ascii="Cambria Math" w:hAnsi="Cambria Math"/>
                          <w:sz w:val="24"/>
                          <w:szCs w:val="22"/>
                        </w:rPr>
                        <m:t xml:space="preserve">N-1, </m:t>
                      </m:r>
                      <m:r>
                        <w:rPr>
                          <w:rFonts w:ascii="Cambria Math" w:eastAsia="Calibri" w:hAnsi="Cambria Math"/>
                          <w:sz w:val="22"/>
                          <w:szCs w:val="22"/>
                          <w:lang w:eastAsia="en-US"/>
                        </w:rPr>
                        <m:t xml:space="preserve">benchmark </m:t>
                      </m:r>
                      <m:r>
                        <w:rPr>
                          <w:rFonts w:ascii="Cambria Math" w:hAnsi="Cambria Math"/>
                          <w:sz w:val="24"/>
                          <w:szCs w:val="22"/>
                        </w:rPr>
                        <m:t>2014</m:t>
                      </m:r>
                    </m:sub>
                    <m:sup>
                      <m:r>
                        <w:rPr>
                          <w:rFonts w:ascii="Cambria Math" w:hAnsi="Cambria Math"/>
                          <w:sz w:val="24"/>
                          <w:szCs w:val="22"/>
                        </w:rPr>
                        <m:t>i</m:t>
                      </m:r>
                    </m:sup>
                  </m:sSubSup>
                </m:e>
              </m:nary>
            </m:e>
          </m:d>
        </m:oMath>
      </m:oMathPara>
    </w:p>
    <w:p w14:paraId="2685837B" w14:textId="77777777" w:rsidR="0080460B" w:rsidRDefault="0080460B" w:rsidP="0080460B">
      <w:pPr>
        <w:jc w:val="both"/>
        <w:rPr>
          <w:sz w:val="22"/>
          <w:szCs w:val="22"/>
        </w:rPr>
      </w:pPr>
    </w:p>
    <w:p w14:paraId="6B11CA3E" w14:textId="77777777" w:rsidR="0080460B" w:rsidRPr="00F24002" w:rsidRDefault="0080460B" w:rsidP="0080460B">
      <w:pPr>
        <w:keepNext/>
        <w:spacing w:before="240" w:after="120"/>
        <w:ind w:left="567" w:hanging="567"/>
        <w:outlineLvl w:val="3"/>
        <w:rPr>
          <w:rFonts w:ascii="Arial" w:hAnsi="Arial" w:cs="Arial"/>
          <w:color w:val="4F81BD" w:themeColor="accent1"/>
          <w:sz w:val="22"/>
          <w:szCs w:val="22"/>
          <w:lang w:val="en-US"/>
        </w:rPr>
      </w:pPr>
      <w:r w:rsidRPr="00F24002">
        <w:rPr>
          <w:rFonts w:ascii="Arial" w:hAnsi="Arial" w:cs="Arial"/>
          <w:color w:val="4F81BD" w:themeColor="accent1"/>
          <w:sz w:val="22"/>
          <w:szCs w:val="22"/>
          <w:lang w:val="en-US"/>
        </w:rPr>
        <w:t>3.3.</w:t>
      </w:r>
      <w:r w:rsidRPr="00F24002">
        <w:rPr>
          <w:rFonts w:ascii="Arial" w:hAnsi="Arial" w:cs="Arial"/>
          <w:color w:val="4F81BD" w:themeColor="accent1"/>
          <w:sz w:val="22"/>
          <w:szCs w:val="22"/>
          <w:lang w:val="en-US"/>
        </w:rPr>
        <w:tab/>
      </w:r>
      <w:r w:rsidR="00F24002" w:rsidRPr="00F24002">
        <w:rPr>
          <w:rFonts w:ascii="Arial" w:hAnsi="Arial" w:cs="Arial"/>
          <w:color w:val="4F81BD" w:themeColor="accent1"/>
          <w:sz w:val="22"/>
          <w:szCs w:val="22"/>
          <w:lang w:val="en-US"/>
        </w:rPr>
        <w:t>Backcasting of other changes in volume, deduction of flows and manual adjustments</w:t>
      </w:r>
    </w:p>
    <w:p w14:paraId="24888E15" w14:textId="77777777" w:rsidR="0080460B" w:rsidRPr="00F24002" w:rsidRDefault="0080460B" w:rsidP="0080460B">
      <w:pPr>
        <w:jc w:val="both"/>
        <w:rPr>
          <w:sz w:val="22"/>
          <w:szCs w:val="22"/>
          <w:lang w:val="en-US"/>
        </w:rPr>
      </w:pPr>
    </w:p>
    <w:p w14:paraId="25BF824A" w14:textId="7C4CCCF5" w:rsidR="00F24002" w:rsidRPr="002E5EEE" w:rsidRDefault="00F24002" w:rsidP="00AA1C04">
      <w:pPr>
        <w:jc w:val="both"/>
        <w:rPr>
          <w:rFonts w:ascii="Arial" w:hAnsi="Arial" w:cs="Arial"/>
          <w:szCs w:val="22"/>
          <w:lang w:val="en-US"/>
        </w:rPr>
      </w:pPr>
      <w:r w:rsidRPr="00F24002">
        <w:rPr>
          <w:rFonts w:ascii="Arial" w:hAnsi="Arial" w:cs="Arial"/>
          <w:szCs w:val="22"/>
          <w:lang w:val="en-US"/>
        </w:rPr>
        <w:lastRenderedPageBreak/>
        <w:t xml:space="preserve">As explained above, following several tests, we decided to finish backcasting the other volume changes and to deduce the flows from the knowledge of all the other values rather than the other way round. However, backcasting the other changes in volume is itself very difficult and raises a number of tricky questions if you want to automate it. In general, is it better to keep the other changes in volume in the 2000 </w:t>
      </w:r>
      <w:r w:rsidR="00ED3D7B">
        <w:rPr>
          <w:rFonts w:ascii="Arial" w:hAnsi="Arial" w:cs="Arial"/>
          <w:szCs w:val="22"/>
          <w:lang w:val="en-US"/>
        </w:rPr>
        <w:t>benchmark</w:t>
      </w:r>
      <w:r w:rsidRPr="00F24002">
        <w:rPr>
          <w:rFonts w:ascii="Arial" w:hAnsi="Arial" w:cs="Arial"/>
          <w:szCs w:val="22"/>
          <w:lang w:val="en-US"/>
        </w:rPr>
        <w:t xml:space="preserve"> as they are, assuming that they are linked to specific events that are not intended to be readjusted? </w:t>
      </w:r>
      <w:r w:rsidR="00296335" w:rsidRPr="00F24002">
        <w:rPr>
          <w:rFonts w:ascii="Arial" w:hAnsi="Arial" w:cs="Arial"/>
          <w:szCs w:val="22"/>
          <w:lang w:val="en-US"/>
        </w:rPr>
        <w:t>Alternatively</w:t>
      </w:r>
      <w:r w:rsidRPr="00F24002">
        <w:rPr>
          <w:rFonts w:ascii="Arial" w:hAnsi="Arial" w:cs="Arial"/>
          <w:szCs w:val="22"/>
          <w:lang w:val="en-US"/>
        </w:rPr>
        <w:t xml:space="preserve">, particularly when </w:t>
      </w:r>
      <w:r w:rsidR="00033658">
        <w:rPr>
          <w:rFonts w:ascii="Arial" w:hAnsi="Arial" w:cs="Arial"/>
          <w:szCs w:val="22"/>
          <w:lang w:val="en-US"/>
        </w:rPr>
        <w:t>stocks</w:t>
      </w:r>
      <w:r w:rsidRPr="00F24002">
        <w:rPr>
          <w:rFonts w:ascii="Arial" w:hAnsi="Arial" w:cs="Arial"/>
          <w:szCs w:val="22"/>
          <w:lang w:val="en-US"/>
        </w:rPr>
        <w:t xml:space="preserve"> have been substantially revised, is it better to revise the other changes in volume in proportion to the changes in </w:t>
      </w:r>
      <w:r w:rsidR="00033658">
        <w:rPr>
          <w:rFonts w:ascii="Arial" w:hAnsi="Arial" w:cs="Arial"/>
          <w:szCs w:val="22"/>
          <w:lang w:val="en-US"/>
        </w:rPr>
        <w:t>stocks</w:t>
      </w:r>
      <w:r w:rsidRPr="00F24002">
        <w:rPr>
          <w:rFonts w:ascii="Arial" w:hAnsi="Arial" w:cs="Arial"/>
          <w:szCs w:val="22"/>
          <w:lang w:val="en-US"/>
        </w:rPr>
        <w:t xml:space="preserve"> between the two </w:t>
      </w:r>
      <w:r w:rsidR="00ED3D7B">
        <w:rPr>
          <w:rFonts w:ascii="Arial" w:hAnsi="Arial" w:cs="Arial"/>
          <w:szCs w:val="22"/>
          <w:lang w:val="en-US"/>
        </w:rPr>
        <w:t>benchmark</w:t>
      </w:r>
      <w:r w:rsidRPr="00F24002">
        <w:rPr>
          <w:rFonts w:ascii="Arial" w:hAnsi="Arial" w:cs="Arial"/>
          <w:szCs w:val="22"/>
          <w:lang w:val="en-US"/>
        </w:rPr>
        <w:t xml:space="preserve">s? In principle, the answer to these questions should depend on the underlying nature of the other changes in volume (reclassification, methodological change, etc.) on a case-by-case basis. </w:t>
      </w:r>
      <w:r w:rsidRPr="002E5EEE">
        <w:rPr>
          <w:rFonts w:ascii="Arial" w:hAnsi="Arial" w:cs="Arial"/>
          <w:szCs w:val="22"/>
          <w:lang w:val="en-US"/>
        </w:rPr>
        <w:t>This qualitative information is documented for the most recent years;</w:t>
      </w:r>
    </w:p>
    <w:p w14:paraId="3EF60F60" w14:textId="295FCA54" w:rsidR="00F24002" w:rsidRPr="00F24002" w:rsidRDefault="00F24002" w:rsidP="00F24002">
      <w:pPr>
        <w:jc w:val="both"/>
        <w:rPr>
          <w:rFonts w:ascii="Arial" w:hAnsi="Arial" w:cs="Arial"/>
          <w:szCs w:val="22"/>
          <w:lang w:val="en-US"/>
        </w:rPr>
      </w:pPr>
      <w:r w:rsidRPr="00F24002">
        <w:rPr>
          <w:rFonts w:ascii="Arial" w:hAnsi="Arial" w:cs="Arial"/>
          <w:szCs w:val="22"/>
          <w:lang w:val="en-US"/>
        </w:rPr>
        <w:t xml:space="preserve">On the other hand, the available backup of the 2000 </w:t>
      </w:r>
      <w:r w:rsidR="00296335">
        <w:rPr>
          <w:rFonts w:ascii="Arial" w:hAnsi="Arial" w:cs="Arial"/>
          <w:szCs w:val="22"/>
          <w:lang w:val="en-US"/>
        </w:rPr>
        <w:t>benchmark</w:t>
      </w:r>
      <w:r w:rsidR="00296335" w:rsidRPr="00F24002">
        <w:rPr>
          <w:rFonts w:ascii="Arial" w:hAnsi="Arial" w:cs="Arial"/>
          <w:szCs w:val="22"/>
          <w:lang w:val="en-US"/>
        </w:rPr>
        <w:t xml:space="preserve"> </w:t>
      </w:r>
      <w:r w:rsidRPr="00F24002">
        <w:rPr>
          <w:rFonts w:ascii="Arial" w:hAnsi="Arial" w:cs="Arial"/>
          <w:szCs w:val="22"/>
          <w:lang w:val="en-US"/>
        </w:rPr>
        <w:t>contains the time series but not the associated metadata. In practice, it was therefore necessary to choose a systematic method while keeping a critical eye on the results obtained.</w:t>
      </w:r>
    </w:p>
    <w:p w14:paraId="00B89C16" w14:textId="5AA6FFC9" w:rsidR="00AA1C04" w:rsidRPr="00F24002" w:rsidRDefault="00F24002" w:rsidP="00F24002">
      <w:pPr>
        <w:jc w:val="both"/>
        <w:rPr>
          <w:rFonts w:ascii="Arial" w:hAnsi="Arial" w:cs="Arial"/>
          <w:szCs w:val="22"/>
          <w:lang w:val="en-US"/>
        </w:rPr>
      </w:pPr>
      <w:r w:rsidRPr="00F24002">
        <w:rPr>
          <w:rFonts w:ascii="Arial" w:hAnsi="Arial" w:cs="Arial"/>
          <w:szCs w:val="22"/>
          <w:lang w:val="en-US"/>
        </w:rPr>
        <w:t xml:space="preserve">We started from an initial base of changes in volume kept unchanged, since in most cases these are reclassifications (of instruments or sectors, for example) which are more likely to remain unchanged. However, we have supplemented this choice with a few exceptions, which allow us to capture the bulk of cases where we would like to use an alternative choice. In particular, if </w:t>
      </w:r>
      <w:r w:rsidR="00033658">
        <w:rPr>
          <w:rFonts w:ascii="Arial" w:hAnsi="Arial" w:cs="Arial"/>
          <w:szCs w:val="22"/>
          <w:lang w:val="en-US"/>
        </w:rPr>
        <w:t>stocks</w:t>
      </w:r>
      <w:r w:rsidRPr="00F24002">
        <w:rPr>
          <w:rFonts w:ascii="Arial" w:hAnsi="Arial" w:cs="Arial"/>
          <w:szCs w:val="22"/>
          <w:lang w:val="en-US"/>
        </w:rPr>
        <w:t xml:space="preserve"> in the 2014 </w:t>
      </w:r>
      <w:r w:rsidR="00ED3D7B">
        <w:rPr>
          <w:rFonts w:ascii="Arial" w:hAnsi="Arial" w:cs="Arial"/>
          <w:szCs w:val="22"/>
          <w:lang w:val="en-US"/>
        </w:rPr>
        <w:t>benchmark</w:t>
      </w:r>
      <w:r w:rsidRPr="00F24002">
        <w:rPr>
          <w:rFonts w:ascii="Arial" w:hAnsi="Arial" w:cs="Arial"/>
          <w:szCs w:val="22"/>
          <w:lang w:val="en-US"/>
        </w:rPr>
        <w:t xml:space="preserve"> have become zero or have fallen very significantly, it does not seem appropriate to retain other non-zero changes in volume, and we therefore cancel them out in the new </w:t>
      </w:r>
      <w:r w:rsidR="00ED3D7B">
        <w:rPr>
          <w:rFonts w:ascii="Arial" w:hAnsi="Arial" w:cs="Arial"/>
          <w:szCs w:val="22"/>
          <w:lang w:val="en-US"/>
        </w:rPr>
        <w:t>benchmark</w:t>
      </w:r>
      <w:r w:rsidRPr="00F24002">
        <w:rPr>
          <w:rFonts w:ascii="Arial" w:hAnsi="Arial" w:cs="Arial"/>
          <w:szCs w:val="22"/>
          <w:lang w:val="en-US"/>
        </w:rPr>
        <w:t xml:space="preserve">. This avoids deducing transaction flows that are more or less opposed to changes in volume for zero or very low </w:t>
      </w:r>
      <w:r w:rsidR="00033658">
        <w:rPr>
          <w:rFonts w:ascii="Arial" w:hAnsi="Arial" w:cs="Arial"/>
          <w:szCs w:val="22"/>
          <w:lang w:val="en-US"/>
        </w:rPr>
        <w:t>stocks</w:t>
      </w:r>
      <w:r w:rsidRPr="00F24002">
        <w:rPr>
          <w:rFonts w:ascii="Arial" w:hAnsi="Arial" w:cs="Arial"/>
          <w:szCs w:val="22"/>
          <w:lang w:val="en-US"/>
        </w:rPr>
        <w:t xml:space="preserve"> that change very little. Similarly, if, for pairs of financial instruments and sectors, </w:t>
      </w:r>
      <w:r w:rsidR="00033658">
        <w:rPr>
          <w:rFonts w:ascii="Arial" w:hAnsi="Arial" w:cs="Arial"/>
          <w:szCs w:val="22"/>
          <w:lang w:val="en-US"/>
        </w:rPr>
        <w:t>stocks</w:t>
      </w:r>
      <w:r w:rsidRPr="00F24002">
        <w:rPr>
          <w:rFonts w:ascii="Arial" w:hAnsi="Arial" w:cs="Arial"/>
          <w:szCs w:val="22"/>
          <w:lang w:val="en-US"/>
        </w:rPr>
        <w:t xml:space="preserve"> appear from a certain date (new source or methodological change that has not already been back</w:t>
      </w:r>
      <w:r w:rsidR="00AB2BC6">
        <w:rPr>
          <w:rFonts w:ascii="Arial" w:hAnsi="Arial" w:cs="Arial"/>
          <w:szCs w:val="22"/>
          <w:lang w:val="en-US"/>
        </w:rPr>
        <w:t>casted</w:t>
      </w:r>
      <w:r w:rsidRPr="00F24002">
        <w:rPr>
          <w:rFonts w:ascii="Arial" w:hAnsi="Arial" w:cs="Arial"/>
          <w:szCs w:val="22"/>
          <w:lang w:val="en-US"/>
        </w:rPr>
        <w:t xml:space="preserve"> within the 2000 </w:t>
      </w:r>
      <w:r w:rsidR="00ED3D7B">
        <w:rPr>
          <w:rFonts w:ascii="Arial" w:hAnsi="Arial" w:cs="Arial"/>
          <w:szCs w:val="22"/>
          <w:lang w:val="en-US"/>
        </w:rPr>
        <w:t>benchmark</w:t>
      </w:r>
      <w:r w:rsidRPr="00F24002">
        <w:rPr>
          <w:rFonts w:ascii="Arial" w:hAnsi="Arial" w:cs="Arial"/>
          <w:szCs w:val="22"/>
          <w:lang w:val="en-US"/>
        </w:rPr>
        <w:t xml:space="preserve">), these appearances of </w:t>
      </w:r>
      <w:r w:rsidR="00033658">
        <w:rPr>
          <w:rFonts w:ascii="Arial" w:hAnsi="Arial" w:cs="Arial"/>
          <w:szCs w:val="22"/>
          <w:lang w:val="en-US"/>
        </w:rPr>
        <w:t>stocks</w:t>
      </w:r>
      <w:r w:rsidRPr="00F24002">
        <w:rPr>
          <w:rFonts w:ascii="Arial" w:hAnsi="Arial" w:cs="Arial"/>
          <w:szCs w:val="22"/>
          <w:lang w:val="en-US"/>
        </w:rPr>
        <w:t xml:space="preserve"> are fully supported by the other changes in volume (a priori, as in the 2000 </w:t>
      </w:r>
      <w:r w:rsidR="00ED3D7B">
        <w:rPr>
          <w:rFonts w:ascii="Arial" w:hAnsi="Arial" w:cs="Arial"/>
          <w:szCs w:val="22"/>
          <w:lang w:val="en-US"/>
        </w:rPr>
        <w:t>benchmark</w:t>
      </w:r>
      <w:r w:rsidRPr="00F24002">
        <w:rPr>
          <w:rFonts w:ascii="Arial" w:hAnsi="Arial" w:cs="Arial"/>
          <w:szCs w:val="22"/>
          <w:lang w:val="en-US"/>
        </w:rPr>
        <w:t>, but not necessarily for the same amounts because of the other methodological changes).</w:t>
      </w:r>
    </w:p>
    <w:p w14:paraId="4548B309" w14:textId="53AFA3F3" w:rsidR="00F24002" w:rsidRPr="00F24002" w:rsidRDefault="00F24002" w:rsidP="00F24002">
      <w:pPr>
        <w:jc w:val="both"/>
        <w:rPr>
          <w:rFonts w:ascii="Arial" w:hAnsi="Arial" w:cs="Arial"/>
          <w:szCs w:val="22"/>
          <w:lang w:val="en-US"/>
        </w:rPr>
      </w:pPr>
      <w:r w:rsidRPr="00F24002">
        <w:rPr>
          <w:rFonts w:ascii="Arial" w:hAnsi="Arial" w:cs="Arial"/>
          <w:szCs w:val="22"/>
          <w:lang w:val="en-US"/>
        </w:rPr>
        <w:t xml:space="preserve">Finally, as with </w:t>
      </w:r>
      <w:r w:rsidR="00033658">
        <w:rPr>
          <w:rFonts w:ascii="Arial" w:hAnsi="Arial" w:cs="Arial"/>
          <w:szCs w:val="22"/>
          <w:lang w:val="en-US"/>
        </w:rPr>
        <w:t>stocks</w:t>
      </w:r>
      <w:r w:rsidRPr="00F24002">
        <w:rPr>
          <w:rFonts w:ascii="Arial" w:hAnsi="Arial" w:cs="Arial"/>
          <w:szCs w:val="22"/>
          <w:lang w:val="en-US"/>
        </w:rPr>
        <w:t xml:space="preserve"> and revaluations, there is a discrepancy between the sum of the sectors and the total for a financial instrument. We proceed in exactly the same way, keeping the changes in volume on the frozen series identical and adjusting the others in proportion to the other changes in volume already estimated.</w:t>
      </w:r>
    </w:p>
    <w:p w14:paraId="11093F35" w14:textId="77777777" w:rsidR="00AA1C04" w:rsidRPr="00F24002" w:rsidRDefault="00F24002" w:rsidP="00F24002">
      <w:pPr>
        <w:jc w:val="both"/>
        <w:rPr>
          <w:rFonts w:ascii="Arial" w:hAnsi="Arial" w:cs="Arial"/>
          <w:szCs w:val="22"/>
          <w:lang w:val="en-US"/>
        </w:rPr>
      </w:pPr>
      <w:r w:rsidRPr="00F24002">
        <w:rPr>
          <w:rFonts w:ascii="Arial" w:hAnsi="Arial" w:cs="Arial"/>
          <w:szCs w:val="22"/>
          <w:lang w:val="en-US"/>
        </w:rPr>
        <w:t>Once this initial estimate of the other changes in volume has been made, the transaction flows are deduced by simple accounting equality:</w:t>
      </w:r>
    </w:p>
    <w:p w14:paraId="2ACA9884" w14:textId="4BA004CD" w:rsidR="00AA1C04" w:rsidRPr="00AA1C04" w:rsidRDefault="00AC496F" w:rsidP="00AA1C04">
      <w:pPr>
        <w:jc w:val="both"/>
        <w:rPr>
          <w:sz w:val="22"/>
          <w:szCs w:val="22"/>
        </w:rPr>
      </w:pPr>
      <m:oMathPara>
        <m:oMath>
          <m:sSub>
            <m:sSubPr>
              <m:ctrlPr>
                <w:rPr>
                  <w:rFonts w:ascii="Cambria Math" w:hAnsi="Cambria Math"/>
                  <w:i/>
                  <w:sz w:val="24"/>
                  <w:szCs w:val="22"/>
                </w:rPr>
              </m:ctrlPr>
            </m:sSubPr>
            <m:e>
              <m:r>
                <w:rPr>
                  <w:rFonts w:ascii="Cambria Math" w:hAnsi="Cambria Math"/>
                  <w:sz w:val="24"/>
                  <w:szCs w:val="22"/>
                </w:rPr>
                <m:t>Flow</m:t>
              </m:r>
            </m:e>
            <m:sub>
              <m:r>
                <w:rPr>
                  <w:rFonts w:ascii="Cambria Math" w:hAnsi="Cambria Math"/>
                  <w:sz w:val="24"/>
                  <w:szCs w:val="22"/>
                </w:rPr>
                <m:t>q</m:t>
              </m:r>
            </m:sub>
          </m:sSub>
          <m:r>
            <w:rPr>
              <w:rFonts w:ascii="Cambria Math" w:hAnsi="Cambria Math"/>
              <w:sz w:val="24"/>
              <w:szCs w:val="22"/>
            </w:rPr>
            <m:t>= Stock</m:t>
          </m:r>
          <m:sSub>
            <m:sSubPr>
              <m:ctrlPr>
                <w:rPr>
                  <w:rFonts w:ascii="Cambria Math" w:hAnsi="Cambria Math"/>
                  <w:i/>
                  <w:sz w:val="24"/>
                  <w:szCs w:val="22"/>
                </w:rPr>
              </m:ctrlPr>
            </m:sSubPr>
            <m:e>
              <m:r>
                <w:rPr>
                  <w:rFonts w:ascii="Cambria Math" w:hAnsi="Cambria Math"/>
                  <w:sz w:val="24"/>
                  <w:szCs w:val="22"/>
                </w:rPr>
                <m:t>s</m:t>
              </m:r>
            </m:e>
            <m:sub>
              <m:r>
                <w:rPr>
                  <w:rFonts w:ascii="Cambria Math" w:hAnsi="Cambria Math"/>
                  <w:sz w:val="24"/>
                  <w:szCs w:val="22"/>
                </w:rPr>
                <m:t>q</m:t>
              </m:r>
            </m:sub>
          </m:sSub>
          <m:r>
            <w:rPr>
              <w:rFonts w:ascii="Cambria Math" w:hAnsi="Cambria Math"/>
              <w:sz w:val="24"/>
              <w:szCs w:val="22"/>
            </w:rPr>
            <m:t>-Stock</m:t>
          </m:r>
          <m:sSub>
            <m:sSubPr>
              <m:ctrlPr>
                <w:rPr>
                  <w:rFonts w:ascii="Cambria Math" w:hAnsi="Cambria Math"/>
                  <w:i/>
                  <w:sz w:val="24"/>
                  <w:szCs w:val="22"/>
                </w:rPr>
              </m:ctrlPr>
            </m:sSubPr>
            <m:e>
              <m:r>
                <w:rPr>
                  <w:rFonts w:ascii="Cambria Math" w:hAnsi="Cambria Math"/>
                  <w:sz w:val="24"/>
                  <w:szCs w:val="22"/>
                </w:rPr>
                <m:t>s</m:t>
              </m:r>
            </m:e>
            <m:sub>
              <m:r>
                <w:rPr>
                  <w:rFonts w:ascii="Cambria Math" w:hAnsi="Cambria Math"/>
                  <w:sz w:val="24"/>
                  <w:szCs w:val="22"/>
                </w:rPr>
                <m:t>q-1</m:t>
              </m:r>
            </m:sub>
          </m:sSub>
          <m:r>
            <w:rPr>
              <w:rFonts w:ascii="Cambria Math" w:hAnsi="Cambria Math"/>
              <w:sz w:val="24"/>
              <w:szCs w:val="22"/>
            </w:rPr>
            <m:t>-</m:t>
          </m:r>
          <m:r>
            <w:rPr>
              <w:rFonts w:ascii="Cambria Math" w:hAnsi="Cambria Math"/>
              <w:sz w:val="28"/>
              <w:szCs w:val="22"/>
            </w:rPr>
            <m:t>Revaluatio</m:t>
          </m:r>
          <m:sSub>
            <m:sSubPr>
              <m:ctrlPr>
                <w:rPr>
                  <w:rFonts w:ascii="Cambria Math" w:hAnsi="Cambria Math"/>
                  <w:i/>
                  <w:sz w:val="24"/>
                  <w:szCs w:val="22"/>
                </w:rPr>
              </m:ctrlPr>
            </m:sSubPr>
            <m:e>
              <m:r>
                <w:rPr>
                  <w:rFonts w:ascii="Cambria Math" w:hAnsi="Cambria Math"/>
                  <w:sz w:val="24"/>
                  <w:szCs w:val="22"/>
                </w:rPr>
                <m:t>n</m:t>
              </m:r>
            </m:e>
            <m:sub>
              <m:r>
                <w:rPr>
                  <w:rFonts w:ascii="Cambria Math" w:hAnsi="Cambria Math"/>
                  <w:sz w:val="24"/>
                  <w:szCs w:val="22"/>
                </w:rPr>
                <m:t>q</m:t>
              </m:r>
            </m:sub>
          </m:sSub>
          <m:r>
            <w:rPr>
              <w:rFonts w:ascii="Cambria Math" w:hAnsi="Cambria Math"/>
              <w:sz w:val="24"/>
              <w:szCs w:val="22"/>
            </w:rPr>
            <m:t>-Other changes in volum</m:t>
          </m:r>
          <m:sSub>
            <m:sSubPr>
              <m:ctrlPr>
                <w:rPr>
                  <w:rFonts w:ascii="Cambria Math" w:hAnsi="Cambria Math"/>
                  <w:i/>
                  <w:sz w:val="24"/>
                  <w:szCs w:val="22"/>
                </w:rPr>
              </m:ctrlPr>
            </m:sSubPr>
            <m:e>
              <m:r>
                <w:rPr>
                  <w:rFonts w:ascii="Cambria Math" w:hAnsi="Cambria Math"/>
                  <w:sz w:val="24"/>
                  <w:szCs w:val="22"/>
                </w:rPr>
                <m:t>e</m:t>
              </m:r>
            </m:e>
            <m:sub>
              <m:r>
                <w:rPr>
                  <w:rFonts w:ascii="Cambria Math" w:hAnsi="Cambria Math"/>
                  <w:sz w:val="24"/>
                  <w:szCs w:val="22"/>
                </w:rPr>
                <m:t>q</m:t>
              </m:r>
            </m:sub>
          </m:sSub>
          <m:r>
            <w:rPr>
              <w:rFonts w:ascii="Cambria Math" w:hAnsi="Cambria Math"/>
              <w:sz w:val="24"/>
              <w:szCs w:val="22"/>
            </w:rPr>
            <m:t xml:space="preserve"> </m:t>
          </m:r>
        </m:oMath>
      </m:oMathPara>
    </w:p>
    <w:p w14:paraId="3949C5A3" w14:textId="77777777" w:rsidR="00AA1C04" w:rsidRPr="00AA1C04" w:rsidRDefault="00AA1C04" w:rsidP="00AA1C04">
      <w:pPr>
        <w:jc w:val="both"/>
        <w:rPr>
          <w:sz w:val="22"/>
          <w:szCs w:val="22"/>
        </w:rPr>
      </w:pPr>
    </w:p>
    <w:p w14:paraId="5E2FD534" w14:textId="77777777" w:rsidR="00AA1C04" w:rsidRPr="00AA1C04" w:rsidRDefault="00F24002" w:rsidP="00AA1C04">
      <w:pPr>
        <w:jc w:val="both"/>
        <w:rPr>
          <w:rFonts w:ascii="Arial" w:hAnsi="Arial" w:cs="Arial"/>
          <w:szCs w:val="22"/>
        </w:rPr>
      </w:pPr>
      <w:r w:rsidRPr="00F24002">
        <w:rPr>
          <w:rFonts w:ascii="Arial" w:hAnsi="Arial" w:cs="Arial"/>
          <w:szCs w:val="22"/>
          <w:lang w:val="en-US"/>
        </w:rPr>
        <w:t xml:space="preserve">Once this initial work had been carried out, we manually went through the nearly 3,000 statistical series concerned to see if any other adjustments to volume were necessary. </w:t>
      </w:r>
      <w:r w:rsidRPr="00F24002">
        <w:rPr>
          <w:rFonts w:ascii="Arial" w:hAnsi="Arial" w:cs="Arial"/>
          <w:szCs w:val="22"/>
        </w:rPr>
        <w:t>In particular, we paid close attention to :</w:t>
      </w:r>
      <w:r w:rsidR="00AA1C04" w:rsidRPr="00AA1C04">
        <w:rPr>
          <w:rFonts w:ascii="Arial" w:hAnsi="Arial" w:cs="Arial"/>
          <w:szCs w:val="22"/>
        </w:rPr>
        <w:t xml:space="preserve"> </w:t>
      </w:r>
    </w:p>
    <w:p w14:paraId="6C1327AB" w14:textId="3D138DE4" w:rsidR="00AA1C04" w:rsidRPr="00F24002" w:rsidRDefault="00F24002" w:rsidP="00F24002">
      <w:pPr>
        <w:numPr>
          <w:ilvl w:val="0"/>
          <w:numId w:val="37"/>
        </w:numPr>
        <w:jc w:val="both"/>
        <w:rPr>
          <w:rFonts w:ascii="Arial" w:hAnsi="Arial" w:cs="Arial"/>
          <w:szCs w:val="22"/>
          <w:lang w:val="en-US"/>
        </w:rPr>
      </w:pPr>
      <w:r w:rsidRPr="00F24002">
        <w:rPr>
          <w:rFonts w:ascii="Arial" w:hAnsi="Arial" w:cs="Arial"/>
          <w:szCs w:val="22"/>
          <w:lang w:val="en-US"/>
        </w:rPr>
        <w:t>back</w:t>
      </w:r>
      <w:r w:rsidR="00AB2BC6">
        <w:rPr>
          <w:rFonts w:ascii="Arial" w:hAnsi="Arial" w:cs="Arial"/>
          <w:szCs w:val="22"/>
          <w:lang w:val="en-US"/>
        </w:rPr>
        <w:t>casted</w:t>
      </w:r>
      <w:r w:rsidRPr="00F24002">
        <w:rPr>
          <w:rFonts w:ascii="Arial" w:hAnsi="Arial" w:cs="Arial"/>
          <w:szCs w:val="22"/>
          <w:lang w:val="en-US"/>
        </w:rPr>
        <w:t xml:space="preserve"> flows that differ too significantly or without any visible justification between the 2000 </w:t>
      </w:r>
      <w:r w:rsidR="00ED3D7B">
        <w:rPr>
          <w:rFonts w:ascii="Arial" w:hAnsi="Arial" w:cs="Arial"/>
          <w:szCs w:val="22"/>
          <w:lang w:val="en-US"/>
        </w:rPr>
        <w:t>benchmark</w:t>
      </w:r>
      <w:r w:rsidRPr="00F24002">
        <w:rPr>
          <w:rFonts w:ascii="Arial" w:hAnsi="Arial" w:cs="Arial"/>
          <w:szCs w:val="22"/>
          <w:lang w:val="en-US"/>
        </w:rPr>
        <w:t xml:space="preserve"> and the back</w:t>
      </w:r>
      <w:r w:rsidR="00AB2BC6">
        <w:rPr>
          <w:rFonts w:ascii="Arial" w:hAnsi="Arial" w:cs="Arial"/>
          <w:szCs w:val="22"/>
          <w:lang w:val="en-US"/>
        </w:rPr>
        <w:t>casted</w:t>
      </w:r>
      <w:r w:rsidRPr="00F24002">
        <w:rPr>
          <w:rFonts w:ascii="Arial" w:hAnsi="Arial" w:cs="Arial"/>
          <w:szCs w:val="22"/>
          <w:lang w:val="en-US"/>
        </w:rPr>
        <w:t xml:space="preserve"> 2014 </w:t>
      </w:r>
      <w:r w:rsidR="00ED3D7B">
        <w:rPr>
          <w:rFonts w:ascii="Arial" w:hAnsi="Arial" w:cs="Arial"/>
          <w:szCs w:val="22"/>
          <w:lang w:val="en-US"/>
        </w:rPr>
        <w:t>benchmark</w:t>
      </w:r>
      <w:r w:rsidRPr="00F24002">
        <w:rPr>
          <w:rFonts w:ascii="Arial" w:hAnsi="Arial" w:cs="Arial"/>
          <w:szCs w:val="22"/>
          <w:lang w:val="en-US"/>
        </w:rPr>
        <w:t>, and in particular peaks during concomitant changes in volume that are potentially poorly back</w:t>
      </w:r>
      <w:r w:rsidR="00AB2BC6">
        <w:rPr>
          <w:rFonts w:ascii="Arial" w:hAnsi="Arial" w:cs="Arial"/>
          <w:szCs w:val="22"/>
          <w:lang w:val="en-US"/>
        </w:rPr>
        <w:t>casted</w:t>
      </w:r>
      <w:r w:rsidRPr="00F24002">
        <w:rPr>
          <w:rFonts w:ascii="Arial" w:hAnsi="Arial" w:cs="Arial"/>
          <w:szCs w:val="22"/>
          <w:lang w:val="en-US"/>
        </w:rPr>
        <w:t xml:space="preserve"> by automatic procedures;</w:t>
      </w:r>
    </w:p>
    <w:p w14:paraId="35E5CE06" w14:textId="77777777" w:rsidR="00AA1C04" w:rsidRDefault="00F24002" w:rsidP="00F24002">
      <w:pPr>
        <w:numPr>
          <w:ilvl w:val="0"/>
          <w:numId w:val="37"/>
        </w:numPr>
        <w:jc w:val="both"/>
        <w:rPr>
          <w:rFonts w:ascii="Arial" w:hAnsi="Arial" w:cs="Arial"/>
          <w:szCs w:val="22"/>
          <w:lang w:val="en-US"/>
        </w:rPr>
      </w:pPr>
      <w:r w:rsidRPr="00F24002">
        <w:rPr>
          <w:rFonts w:ascii="Arial" w:hAnsi="Arial" w:cs="Arial"/>
          <w:szCs w:val="22"/>
          <w:lang w:val="en-US"/>
        </w:rPr>
        <w:t>transaction flows and other changes in volume that are significant and in opposite directions, which could be a sign of a potential problem.</w:t>
      </w:r>
    </w:p>
    <w:p w14:paraId="4C1D7C3E" w14:textId="77777777" w:rsidR="00517BA3" w:rsidRPr="00F24002" w:rsidRDefault="00517BA3" w:rsidP="00517BA3">
      <w:pPr>
        <w:ind w:left="720"/>
        <w:jc w:val="both"/>
        <w:rPr>
          <w:rFonts w:ascii="Arial" w:hAnsi="Arial" w:cs="Arial"/>
          <w:szCs w:val="22"/>
          <w:lang w:val="en-US"/>
        </w:rPr>
      </w:pPr>
    </w:p>
    <w:p w14:paraId="22343BFA" w14:textId="32372FBB" w:rsidR="00AA1C04" w:rsidRPr="00AA1C04" w:rsidRDefault="00AC0155" w:rsidP="00AA1C04">
      <w:pPr>
        <w:jc w:val="both"/>
        <w:rPr>
          <w:i/>
          <w:iCs/>
          <w:sz w:val="22"/>
          <w:szCs w:val="22"/>
        </w:rPr>
      </w:pPr>
      <w:r w:rsidRPr="00AC0155">
        <w:rPr>
          <w:i/>
          <w:iCs/>
          <w:noProof/>
          <w:sz w:val="22"/>
          <w:szCs w:val="22"/>
        </w:rPr>
        <w:lastRenderedPageBreak/>
        <w:drawing>
          <wp:inline distT="0" distB="0" distL="0" distR="0" wp14:anchorId="6206D33A" wp14:editId="2C000AFA">
            <wp:extent cx="5904230" cy="3228975"/>
            <wp:effectExtent l="0" t="0" r="127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04230" cy="3228975"/>
                    </a:xfrm>
                    <a:prstGeom prst="rect">
                      <a:avLst/>
                    </a:prstGeom>
                  </pic:spPr>
                </pic:pic>
              </a:graphicData>
            </a:graphic>
          </wp:inline>
        </w:drawing>
      </w:r>
    </w:p>
    <w:p w14:paraId="48EDBD69" w14:textId="77777777" w:rsidR="00AA1C04" w:rsidRDefault="00F24002" w:rsidP="00AA1C04">
      <w:pPr>
        <w:jc w:val="both"/>
        <w:rPr>
          <w:i/>
          <w:iCs/>
          <w:sz w:val="22"/>
          <w:szCs w:val="22"/>
          <w:lang w:val="en-US"/>
        </w:rPr>
      </w:pPr>
      <w:r w:rsidRPr="00F24002">
        <w:rPr>
          <w:i/>
          <w:iCs/>
          <w:sz w:val="22"/>
          <w:szCs w:val="22"/>
          <w:lang w:val="en-US"/>
        </w:rPr>
        <w:t>Graph 3: Example of a series whose spontaneously disproportionate flow in 1994 was adjusted using a volume change</w:t>
      </w:r>
    </w:p>
    <w:p w14:paraId="63884BF2" w14:textId="77777777" w:rsidR="00517BA3" w:rsidRPr="00F24002" w:rsidRDefault="00517BA3" w:rsidP="00AA1C04">
      <w:pPr>
        <w:jc w:val="both"/>
        <w:rPr>
          <w:sz w:val="22"/>
          <w:szCs w:val="22"/>
          <w:lang w:val="en-US"/>
        </w:rPr>
      </w:pPr>
    </w:p>
    <w:p w14:paraId="7ED664D8" w14:textId="1B409311" w:rsidR="00F24002" w:rsidRDefault="00AC0155" w:rsidP="00AA1C04">
      <w:pPr>
        <w:jc w:val="both"/>
        <w:rPr>
          <w:lang w:val="en-US"/>
        </w:rPr>
      </w:pPr>
      <w:r w:rsidRPr="00AC0155">
        <w:rPr>
          <w:noProof/>
        </w:rPr>
        <w:drawing>
          <wp:inline distT="0" distB="0" distL="0" distR="0" wp14:anchorId="2228C87D" wp14:editId="54E6AE96">
            <wp:extent cx="5904230" cy="3159125"/>
            <wp:effectExtent l="0" t="0" r="1270" b="317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04230" cy="3159125"/>
                    </a:xfrm>
                    <a:prstGeom prst="rect">
                      <a:avLst/>
                    </a:prstGeom>
                  </pic:spPr>
                </pic:pic>
              </a:graphicData>
            </a:graphic>
          </wp:inline>
        </w:drawing>
      </w:r>
      <w:r w:rsidR="00F24002" w:rsidRPr="00F24002">
        <w:rPr>
          <w:lang w:val="en-US"/>
        </w:rPr>
        <w:t xml:space="preserve"> </w:t>
      </w:r>
    </w:p>
    <w:p w14:paraId="01E79BD2" w14:textId="77777777" w:rsidR="00AA1C04" w:rsidRPr="00F24002" w:rsidRDefault="00F24002" w:rsidP="00AA1C04">
      <w:pPr>
        <w:jc w:val="both"/>
        <w:rPr>
          <w:rFonts w:ascii="Arial" w:hAnsi="Arial" w:cs="Arial"/>
          <w:szCs w:val="22"/>
          <w:lang w:val="en-US"/>
        </w:rPr>
      </w:pPr>
      <w:r w:rsidRPr="00F24002">
        <w:rPr>
          <w:rFonts w:ascii="Arial" w:hAnsi="Arial" w:cs="Arial"/>
          <w:szCs w:val="22"/>
          <w:lang w:val="en-US"/>
        </w:rPr>
        <w:t>Graph 4: Example of a series in which changes in volume before 1995 have been neutralised to avoid symmetrical flows in opposite directions.</w:t>
      </w:r>
    </w:p>
    <w:p w14:paraId="2D5189C0" w14:textId="77777777" w:rsidR="00AA1C04" w:rsidRPr="00F24002" w:rsidRDefault="00AA1C04" w:rsidP="00AA1C04">
      <w:pPr>
        <w:jc w:val="both"/>
        <w:rPr>
          <w:rFonts w:ascii="Arial" w:hAnsi="Arial" w:cs="Arial"/>
          <w:szCs w:val="22"/>
          <w:lang w:val="en-US"/>
        </w:rPr>
      </w:pPr>
    </w:p>
    <w:p w14:paraId="2C1E6904" w14:textId="2EA60568" w:rsidR="00AA1C04" w:rsidRPr="00FD2E2F" w:rsidRDefault="00FD2E2F" w:rsidP="00AA1C04">
      <w:pPr>
        <w:jc w:val="both"/>
        <w:rPr>
          <w:rFonts w:ascii="Arial" w:hAnsi="Arial" w:cs="Arial"/>
          <w:szCs w:val="22"/>
          <w:lang w:val="en-US"/>
        </w:rPr>
      </w:pPr>
      <w:r w:rsidRPr="00FD2E2F">
        <w:rPr>
          <w:rFonts w:ascii="Arial" w:hAnsi="Arial" w:cs="Arial"/>
          <w:szCs w:val="22"/>
          <w:lang w:val="en-US"/>
        </w:rPr>
        <w:t xml:space="preserve">Finally, we took a closer look at the sum of transaction flows by sector, which form the </w:t>
      </w:r>
      <w:r w:rsidR="00AB265E">
        <w:rPr>
          <w:rFonts w:ascii="Arial" w:hAnsi="Arial" w:cs="Arial"/>
          <w:szCs w:val="22"/>
          <w:lang w:val="en-US"/>
        </w:rPr>
        <w:t>net lending/borrowing</w:t>
      </w:r>
      <w:r w:rsidRPr="00FD2E2F">
        <w:rPr>
          <w:rFonts w:ascii="Arial" w:hAnsi="Arial" w:cs="Arial"/>
          <w:szCs w:val="22"/>
          <w:lang w:val="en-US"/>
        </w:rPr>
        <w:t xml:space="preserve"> of these sectors. This value, derived from the financial accounts, was already consistent in </w:t>
      </w:r>
      <w:r w:rsidR="00AB265E" w:rsidRPr="00FD2E2F">
        <w:rPr>
          <w:rFonts w:ascii="Arial" w:hAnsi="Arial" w:cs="Arial"/>
          <w:szCs w:val="22"/>
          <w:lang w:val="en-US"/>
        </w:rPr>
        <w:t xml:space="preserve">2000 </w:t>
      </w:r>
      <w:r w:rsidR="00ED3D7B">
        <w:rPr>
          <w:rFonts w:ascii="Arial" w:hAnsi="Arial" w:cs="Arial"/>
          <w:szCs w:val="22"/>
          <w:lang w:val="en-US"/>
        </w:rPr>
        <w:t>benchmark</w:t>
      </w:r>
      <w:r w:rsidRPr="00FD2E2F">
        <w:rPr>
          <w:rFonts w:ascii="Arial" w:hAnsi="Arial" w:cs="Arial"/>
          <w:szCs w:val="22"/>
          <w:lang w:val="en-US"/>
        </w:rPr>
        <w:t xml:space="preserve"> with the same value derived from the non-financial accounts produced by INSEE, either thanks to joint structural work between the Banque de France and INSEE (most often at the </w:t>
      </w:r>
      <w:r w:rsidR="00AB265E">
        <w:rPr>
          <w:rFonts w:ascii="Arial" w:hAnsi="Arial" w:cs="Arial"/>
          <w:szCs w:val="22"/>
          <w:lang w:val="en-US"/>
        </w:rPr>
        <w:t>occasion of</w:t>
      </w:r>
      <w:r w:rsidRPr="00FD2E2F">
        <w:rPr>
          <w:rFonts w:ascii="Arial" w:hAnsi="Arial" w:cs="Arial"/>
          <w:szCs w:val="22"/>
          <w:lang w:val="en-US"/>
        </w:rPr>
        <w:t xml:space="preserve"> the national accounts </w:t>
      </w:r>
      <w:r w:rsidR="00AB265E">
        <w:rPr>
          <w:rFonts w:ascii="Arial" w:hAnsi="Arial" w:cs="Arial"/>
          <w:szCs w:val="22"/>
          <w:lang w:val="en-US"/>
        </w:rPr>
        <w:t>benchmark</w:t>
      </w:r>
      <w:r w:rsidRPr="00FD2E2F">
        <w:rPr>
          <w:rFonts w:ascii="Arial" w:hAnsi="Arial" w:cs="Arial"/>
          <w:szCs w:val="22"/>
          <w:lang w:val="en-US"/>
        </w:rPr>
        <w:t xml:space="preserve">), or, </w:t>
      </w:r>
      <w:r w:rsidR="00AB265E">
        <w:rPr>
          <w:rFonts w:ascii="Arial" w:hAnsi="Arial" w:cs="Arial"/>
          <w:szCs w:val="22"/>
          <w:lang w:val="en-US"/>
        </w:rPr>
        <w:t xml:space="preserve">between two </w:t>
      </w:r>
      <w:r w:rsidR="00ED3D7B">
        <w:rPr>
          <w:rFonts w:ascii="Arial" w:hAnsi="Arial" w:cs="Arial"/>
          <w:szCs w:val="22"/>
          <w:lang w:val="en-US"/>
        </w:rPr>
        <w:t>benchmark</w:t>
      </w:r>
      <w:r w:rsidR="00AB265E">
        <w:rPr>
          <w:rFonts w:ascii="Arial" w:hAnsi="Arial" w:cs="Arial"/>
          <w:szCs w:val="22"/>
          <w:lang w:val="en-US"/>
        </w:rPr>
        <w:t>s</w:t>
      </w:r>
      <w:r w:rsidRPr="00FD2E2F">
        <w:rPr>
          <w:rFonts w:ascii="Arial" w:hAnsi="Arial" w:cs="Arial"/>
          <w:szCs w:val="22"/>
          <w:lang w:val="en-US"/>
        </w:rPr>
        <w:t xml:space="preserve">, through adjustments to the least accurate statistical series (in practice, in the financial accounts, other accounts receivable or payable are often used for this purpose). As we wish to maintain this consistency between non-financial and financial accounts, we have paid close attention to this issue in our manual and exhaustive review to see whether a plausible adjustment to </w:t>
      </w:r>
      <w:r w:rsidR="009103D4">
        <w:rPr>
          <w:rFonts w:ascii="Arial" w:hAnsi="Arial" w:cs="Arial"/>
          <w:szCs w:val="22"/>
          <w:lang w:val="en-US"/>
        </w:rPr>
        <w:t>some</w:t>
      </w:r>
      <w:r w:rsidRPr="00FD2E2F">
        <w:rPr>
          <w:rFonts w:ascii="Arial" w:hAnsi="Arial" w:cs="Arial"/>
          <w:szCs w:val="22"/>
          <w:lang w:val="en-US"/>
        </w:rPr>
        <w:t xml:space="preserve"> other changes in volume might not improve the situation. We have also taken the liberty of </w:t>
      </w:r>
      <w:r w:rsidR="00AB265E">
        <w:rPr>
          <w:rFonts w:ascii="Arial" w:hAnsi="Arial" w:cs="Arial"/>
          <w:szCs w:val="22"/>
          <w:lang w:val="en-US"/>
        </w:rPr>
        <w:t>final</w:t>
      </w:r>
      <w:r w:rsidRPr="00FD2E2F">
        <w:rPr>
          <w:rFonts w:ascii="Arial" w:hAnsi="Arial" w:cs="Arial"/>
          <w:szCs w:val="22"/>
          <w:lang w:val="en-US"/>
        </w:rPr>
        <w:t xml:space="preserve"> adjustments to ensure consistency between </w:t>
      </w:r>
      <w:r w:rsidR="00AB265E">
        <w:rPr>
          <w:rFonts w:ascii="Arial" w:hAnsi="Arial" w:cs="Arial"/>
          <w:szCs w:val="22"/>
          <w:lang w:val="en-US"/>
        </w:rPr>
        <w:t>net lending/borrowing</w:t>
      </w:r>
      <w:r w:rsidR="00AB265E" w:rsidRPr="00FD2E2F">
        <w:rPr>
          <w:rFonts w:ascii="Arial" w:hAnsi="Arial" w:cs="Arial"/>
          <w:szCs w:val="22"/>
          <w:lang w:val="en-US"/>
        </w:rPr>
        <w:t xml:space="preserve"> </w:t>
      </w:r>
      <w:r w:rsidRPr="00FD2E2F">
        <w:rPr>
          <w:rFonts w:ascii="Arial" w:hAnsi="Arial" w:cs="Arial"/>
          <w:szCs w:val="22"/>
          <w:lang w:val="en-US"/>
        </w:rPr>
        <w:t>via other accounts receivable or payable where necessary, in line with the use that has already been made in the past of this instrument to balance the accounts.</w:t>
      </w:r>
    </w:p>
    <w:p w14:paraId="25AF75E7" w14:textId="77777777" w:rsidR="00AA1C04" w:rsidRPr="00FD2E2F" w:rsidRDefault="00AA1C04" w:rsidP="00AA1C04">
      <w:pPr>
        <w:jc w:val="both"/>
        <w:rPr>
          <w:rFonts w:ascii="Arial" w:hAnsi="Arial" w:cs="Arial"/>
          <w:szCs w:val="22"/>
          <w:lang w:val="en-US"/>
        </w:rPr>
      </w:pPr>
    </w:p>
    <w:p w14:paraId="574AE247" w14:textId="5404293A" w:rsidR="00FD2E2F" w:rsidRPr="00AB265E" w:rsidRDefault="00FD2E2F" w:rsidP="00FD2E2F">
      <w:pPr>
        <w:jc w:val="both"/>
        <w:rPr>
          <w:rFonts w:ascii="Arial" w:hAnsi="Arial" w:cs="Arial"/>
          <w:szCs w:val="22"/>
          <w:lang w:val="en-US"/>
        </w:rPr>
      </w:pPr>
      <w:r w:rsidRPr="00FD2E2F">
        <w:rPr>
          <w:rFonts w:ascii="Arial" w:hAnsi="Arial" w:cs="Arial"/>
          <w:szCs w:val="22"/>
          <w:lang w:val="en-US"/>
        </w:rPr>
        <w:t xml:space="preserve">In conclusion, the backcasting work has therefore provided us with 2,836 series between 1977 and 2021, which are both consistent with the 1995-2021 period currently covered by the current 2014 </w:t>
      </w:r>
      <w:r w:rsidR="00AB265E">
        <w:rPr>
          <w:rFonts w:ascii="Arial" w:hAnsi="Arial" w:cs="Arial"/>
          <w:szCs w:val="22"/>
          <w:lang w:val="en-US"/>
        </w:rPr>
        <w:t>benchmark</w:t>
      </w:r>
      <w:r w:rsidRPr="00FD2E2F">
        <w:rPr>
          <w:rFonts w:ascii="Arial" w:hAnsi="Arial" w:cs="Arial"/>
          <w:szCs w:val="22"/>
          <w:lang w:val="en-US"/>
        </w:rPr>
        <w:t xml:space="preserve">, and also with the series in the old 2000 </w:t>
      </w:r>
      <w:r w:rsidR="00AB265E">
        <w:rPr>
          <w:rFonts w:ascii="Arial" w:hAnsi="Arial" w:cs="Arial"/>
          <w:szCs w:val="22"/>
          <w:lang w:val="en-US"/>
        </w:rPr>
        <w:t>benchmark</w:t>
      </w:r>
      <w:r w:rsidRPr="00FD2E2F">
        <w:rPr>
          <w:rFonts w:ascii="Arial" w:hAnsi="Arial" w:cs="Arial"/>
          <w:szCs w:val="22"/>
          <w:lang w:val="en-US"/>
        </w:rPr>
        <w:t xml:space="preserve">, after the methodological adjustments necessary to ensure that the concepts correspond between the two </w:t>
      </w:r>
      <w:r w:rsidR="00740C15">
        <w:rPr>
          <w:rFonts w:ascii="Arial" w:eastAsiaTheme="majorEastAsia" w:hAnsi="Arial" w:cs="Arial"/>
          <w:szCs w:val="30"/>
          <w:lang w:val="en-US"/>
        </w:rPr>
        <w:t>benchmark</w:t>
      </w:r>
      <w:r w:rsidR="00740C15">
        <w:rPr>
          <w:rFonts w:ascii="Arial" w:hAnsi="Arial" w:cs="Arial"/>
          <w:szCs w:val="22"/>
          <w:lang w:val="en-US"/>
        </w:rPr>
        <w:t>s</w:t>
      </w:r>
      <w:r w:rsidRPr="00FD2E2F">
        <w:rPr>
          <w:rFonts w:ascii="Arial" w:hAnsi="Arial" w:cs="Arial"/>
          <w:szCs w:val="22"/>
          <w:lang w:val="en-US"/>
        </w:rPr>
        <w:t xml:space="preserve">. </w:t>
      </w:r>
      <w:r w:rsidRPr="00AB265E">
        <w:rPr>
          <w:rFonts w:ascii="Arial" w:hAnsi="Arial" w:cs="Arial"/>
          <w:szCs w:val="22"/>
          <w:lang w:val="en-US"/>
        </w:rPr>
        <w:t>The backcast</w:t>
      </w:r>
      <w:r w:rsidR="00740C15">
        <w:rPr>
          <w:rFonts w:ascii="Arial" w:hAnsi="Arial" w:cs="Arial"/>
          <w:szCs w:val="22"/>
          <w:lang w:val="en-US"/>
        </w:rPr>
        <w:t>ed</w:t>
      </w:r>
      <w:r w:rsidRPr="00AB265E">
        <w:rPr>
          <w:rFonts w:ascii="Arial" w:hAnsi="Arial" w:cs="Arial"/>
          <w:szCs w:val="22"/>
          <w:lang w:val="en-US"/>
        </w:rPr>
        <w:t xml:space="preserve"> series</w:t>
      </w:r>
    </w:p>
    <w:p w14:paraId="6ED7A2F2" w14:textId="3EAE820B" w:rsidR="00AA1C04" w:rsidRPr="00FD2E2F" w:rsidRDefault="00FD2E2F" w:rsidP="00FD2E2F">
      <w:pPr>
        <w:pStyle w:val="Paragraphedeliste"/>
        <w:numPr>
          <w:ilvl w:val="0"/>
          <w:numId w:val="44"/>
        </w:numPr>
        <w:jc w:val="both"/>
        <w:rPr>
          <w:rFonts w:ascii="Arial" w:hAnsi="Arial" w:cs="Arial"/>
          <w:szCs w:val="22"/>
          <w:lang w:val="en-US"/>
        </w:rPr>
      </w:pPr>
      <w:r w:rsidRPr="00FD2E2F">
        <w:rPr>
          <w:rFonts w:ascii="Arial" w:hAnsi="Arial" w:cs="Arial"/>
          <w:szCs w:val="22"/>
          <w:lang w:val="en-US"/>
        </w:rPr>
        <w:t xml:space="preserve">respect the relationship between changes in </w:t>
      </w:r>
      <w:r w:rsidR="00AB265E">
        <w:rPr>
          <w:rFonts w:ascii="Arial" w:hAnsi="Arial" w:cs="Arial"/>
          <w:szCs w:val="22"/>
          <w:lang w:val="en-US"/>
        </w:rPr>
        <w:t>stocks</w:t>
      </w:r>
      <w:r w:rsidRPr="00FD2E2F">
        <w:rPr>
          <w:rFonts w:ascii="Arial" w:hAnsi="Arial" w:cs="Arial"/>
          <w:szCs w:val="22"/>
          <w:lang w:val="en-US"/>
        </w:rPr>
        <w:t>, transaction flows, revaluation flows and other changes in volume;</w:t>
      </w:r>
    </w:p>
    <w:p w14:paraId="6192FFFE" w14:textId="77777777" w:rsidR="00AA1C04" w:rsidRPr="00FD2E2F" w:rsidRDefault="00FD2E2F" w:rsidP="00FD2E2F">
      <w:pPr>
        <w:numPr>
          <w:ilvl w:val="0"/>
          <w:numId w:val="38"/>
        </w:numPr>
        <w:jc w:val="both"/>
        <w:rPr>
          <w:rFonts w:ascii="Arial" w:hAnsi="Arial" w:cs="Arial"/>
          <w:szCs w:val="22"/>
          <w:lang w:val="en-US"/>
        </w:rPr>
      </w:pPr>
      <w:r w:rsidRPr="00FD2E2F">
        <w:rPr>
          <w:rFonts w:ascii="Arial" w:hAnsi="Arial" w:cs="Arial"/>
          <w:szCs w:val="22"/>
          <w:lang w:val="en-US"/>
        </w:rPr>
        <w:t>also respect all the accounting equalities: assets = liabilities, sum of parts = total, etc.</w:t>
      </w:r>
    </w:p>
    <w:p w14:paraId="5F73AAA2" w14:textId="47BFB005" w:rsidR="00AA1C04" w:rsidRPr="00FD2E2F" w:rsidRDefault="00FD2E2F" w:rsidP="00FD2E2F">
      <w:pPr>
        <w:numPr>
          <w:ilvl w:val="0"/>
          <w:numId w:val="38"/>
        </w:numPr>
        <w:jc w:val="both"/>
        <w:rPr>
          <w:rFonts w:ascii="Arial" w:hAnsi="Arial" w:cs="Arial"/>
          <w:szCs w:val="22"/>
          <w:lang w:val="en-US"/>
        </w:rPr>
      </w:pPr>
      <w:r>
        <w:rPr>
          <w:rFonts w:ascii="Arial" w:hAnsi="Arial" w:cs="Arial"/>
          <w:szCs w:val="22"/>
          <w:lang w:val="en-US"/>
        </w:rPr>
        <w:t>f</w:t>
      </w:r>
      <w:r w:rsidRPr="00FD2E2F">
        <w:rPr>
          <w:rFonts w:ascii="Arial" w:hAnsi="Arial" w:cs="Arial"/>
          <w:szCs w:val="22"/>
          <w:lang w:val="en-US"/>
        </w:rPr>
        <w:t xml:space="preserve">inally, they maintain consistency between the non-financial accounts and the financial accounts through the </w:t>
      </w:r>
      <w:r w:rsidR="00AB265E">
        <w:rPr>
          <w:rFonts w:ascii="Arial" w:hAnsi="Arial" w:cs="Arial"/>
          <w:szCs w:val="22"/>
          <w:lang w:val="en-US"/>
        </w:rPr>
        <w:t>net lending/borrowing</w:t>
      </w:r>
      <w:r w:rsidRPr="00FD2E2F">
        <w:rPr>
          <w:rFonts w:ascii="Arial" w:hAnsi="Arial" w:cs="Arial"/>
          <w:szCs w:val="22"/>
          <w:lang w:val="en-US"/>
        </w:rPr>
        <w:t xml:space="preserve"> of each sector.</w:t>
      </w:r>
    </w:p>
    <w:p w14:paraId="7365F040" w14:textId="77777777" w:rsidR="00AA1C04" w:rsidRPr="00FD2E2F" w:rsidRDefault="00AA1C04" w:rsidP="00AA1C04">
      <w:pPr>
        <w:jc w:val="both"/>
        <w:rPr>
          <w:sz w:val="22"/>
          <w:szCs w:val="22"/>
          <w:lang w:val="en-US"/>
        </w:rPr>
      </w:pPr>
    </w:p>
    <w:p w14:paraId="28BEBA91" w14:textId="77777777" w:rsidR="00AA1C04" w:rsidRPr="00FD2E2F" w:rsidRDefault="00AA1C04" w:rsidP="00AA1C04">
      <w:pPr>
        <w:keepNext/>
        <w:spacing w:before="240" w:after="120"/>
        <w:ind w:left="567" w:hanging="567"/>
        <w:outlineLvl w:val="3"/>
        <w:rPr>
          <w:rFonts w:ascii="Arial" w:hAnsi="Arial" w:cs="Arial"/>
          <w:color w:val="4F81BD" w:themeColor="accent1"/>
          <w:sz w:val="22"/>
          <w:szCs w:val="22"/>
          <w:lang w:val="en-US"/>
        </w:rPr>
      </w:pPr>
      <w:r w:rsidRPr="00FD2E2F">
        <w:rPr>
          <w:rFonts w:ascii="Arial" w:hAnsi="Arial" w:cs="Arial"/>
          <w:color w:val="4F81BD" w:themeColor="accent1"/>
          <w:sz w:val="22"/>
          <w:szCs w:val="22"/>
          <w:lang w:val="en-US"/>
        </w:rPr>
        <w:t>3.4.</w:t>
      </w:r>
      <w:r w:rsidRPr="00FD2E2F">
        <w:rPr>
          <w:rFonts w:ascii="Arial" w:hAnsi="Arial" w:cs="Arial"/>
          <w:color w:val="4F81BD" w:themeColor="accent1"/>
          <w:sz w:val="22"/>
          <w:szCs w:val="22"/>
          <w:lang w:val="en-US"/>
        </w:rPr>
        <w:tab/>
      </w:r>
      <w:r w:rsidR="00FD2E2F" w:rsidRPr="00FD2E2F">
        <w:rPr>
          <w:rFonts w:ascii="Arial" w:hAnsi="Arial" w:cs="Arial"/>
          <w:color w:val="4F81BD" w:themeColor="accent1"/>
          <w:sz w:val="22"/>
          <w:szCs w:val="22"/>
          <w:lang w:val="en-US"/>
        </w:rPr>
        <w:t>A special case: the consolidated debt of NFCs</w:t>
      </w:r>
    </w:p>
    <w:p w14:paraId="38081522" w14:textId="0661EB95" w:rsidR="00FD2E2F" w:rsidRPr="00FD2E2F" w:rsidRDefault="00FD2E2F" w:rsidP="00FD2E2F">
      <w:pPr>
        <w:jc w:val="both"/>
        <w:rPr>
          <w:rFonts w:ascii="Arial" w:hAnsi="Arial" w:cs="Arial"/>
          <w:szCs w:val="22"/>
          <w:lang w:val="en-US"/>
        </w:rPr>
      </w:pPr>
      <w:r w:rsidRPr="00FD2E2F">
        <w:rPr>
          <w:rFonts w:ascii="Arial" w:hAnsi="Arial" w:cs="Arial"/>
          <w:szCs w:val="22"/>
          <w:lang w:val="en-US"/>
        </w:rPr>
        <w:t>The case of the consolidated debt of NFCs required special treatment. The components for its calculation are not natively present in the backcast</w:t>
      </w:r>
      <w:r w:rsidR="00D07657">
        <w:rPr>
          <w:rFonts w:ascii="Arial" w:hAnsi="Arial" w:cs="Arial"/>
          <w:szCs w:val="22"/>
          <w:lang w:val="en-US"/>
        </w:rPr>
        <w:t>ed</w:t>
      </w:r>
      <w:r w:rsidRPr="00FD2E2F">
        <w:rPr>
          <w:rFonts w:ascii="Arial" w:hAnsi="Arial" w:cs="Arial"/>
          <w:szCs w:val="22"/>
          <w:lang w:val="en-US"/>
        </w:rPr>
        <w:t xml:space="preserve"> series, but adaptations have been made so that this series is still available, given its importance for economic analysis and monitoring.</w:t>
      </w:r>
    </w:p>
    <w:p w14:paraId="291F85A1" w14:textId="1FD0895C" w:rsidR="00AA1C04" w:rsidRPr="00FD2E2F" w:rsidRDefault="00FD2E2F" w:rsidP="00FD2E2F">
      <w:pPr>
        <w:jc w:val="both"/>
        <w:rPr>
          <w:rFonts w:ascii="Arial" w:hAnsi="Arial" w:cs="Arial"/>
          <w:szCs w:val="22"/>
          <w:lang w:val="en-US"/>
        </w:rPr>
      </w:pPr>
      <w:r w:rsidRPr="00FD2E2F">
        <w:rPr>
          <w:rFonts w:ascii="Arial" w:hAnsi="Arial" w:cs="Arial"/>
          <w:szCs w:val="22"/>
          <w:lang w:val="en-US"/>
        </w:rPr>
        <w:t>The consolidated debt of French NFCs, presented in various publications such as the Stat Info "Debt ratio of non-financial agents - International comparisons"</w:t>
      </w:r>
      <w:r w:rsidR="00200144" w:rsidRPr="00AA1C04">
        <w:rPr>
          <w:rFonts w:ascii="Arial" w:hAnsi="Arial" w:cs="Arial"/>
          <w:szCs w:val="22"/>
          <w:vertAlign w:val="superscript"/>
        </w:rPr>
        <w:footnoteReference w:id="3"/>
      </w:r>
      <w:r w:rsidRPr="00FD2E2F">
        <w:rPr>
          <w:rFonts w:ascii="Arial" w:hAnsi="Arial" w:cs="Arial"/>
          <w:szCs w:val="22"/>
          <w:lang w:val="en-US"/>
        </w:rPr>
        <w:t>, is calculated as the sum of:</w:t>
      </w:r>
    </w:p>
    <w:p w14:paraId="395647E2" w14:textId="77777777" w:rsidR="00AA1C04" w:rsidRPr="00FD2E2F" w:rsidRDefault="00FD2E2F" w:rsidP="00FD2E2F">
      <w:pPr>
        <w:numPr>
          <w:ilvl w:val="0"/>
          <w:numId w:val="38"/>
        </w:numPr>
        <w:jc w:val="both"/>
        <w:rPr>
          <w:rFonts w:ascii="Arial" w:hAnsi="Arial" w:cs="Arial"/>
          <w:szCs w:val="22"/>
          <w:lang w:val="en-US"/>
        </w:rPr>
      </w:pPr>
      <w:r w:rsidRPr="00FD2E2F">
        <w:rPr>
          <w:rFonts w:ascii="Arial" w:hAnsi="Arial" w:cs="Arial"/>
          <w:szCs w:val="22"/>
          <w:lang w:val="en-US"/>
        </w:rPr>
        <w:t>of financial sector loans granted to NFCs. Loans granted by other NFCs are therefore excluded (intra-sector consolidation).</w:t>
      </w:r>
      <w:r w:rsidR="00AA1C04" w:rsidRPr="00FD2E2F">
        <w:rPr>
          <w:rFonts w:ascii="Arial" w:hAnsi="Arial" w:cs="Arial"/>
          <w:szCs w:val="22"/>
          <w:lang w:val="en-US"/>
        </w:rPr>
        <w:t>;</w:t>
      </w:r>
    </w:p>
    <w:p w14:paraId="3E106D23" w14:textId="77777777" w:rsidR="00AA1C04" w:rsidRPr="00FD2E2F" w:rsidRDefault="00FD2E2F" w:rsidP="00FD2E2F">
      <w:pPr>
        <w:numPr>
          <w:ilvl w:val="0"/>
          <w:numId w:val="38"/>
        </w:numPr>
        <w:jc w:val="both"/>
        <w:rPr>
          <w:rFonts w:ascii="Arial" w:hAnsi="Arial" w:cs="Arial"/>
          <w:szCs w:val="22"/>
          <w:lang w:val="en-US"/>
        </w:rPr>
      </w:pPr>
      <w:r w:rsidRPr="00FD2E2F">
        <w:rPr>
          <w:rFonts w:ascii="Arial" w:hAnsi="Arial" w:cs="Arial"/>
          <w:szCs w:val="22"/>
          <w:lang w:val="en-US"/>
        </w:rPr>
        <w:t>debt securities in the liabilities of NFCs at nominal value.</w:t>
      </w:r>
    </w:p>
    <w:p w14:paraId="1737AEDC" w14:textId="77777777" w:rsidR="00AA1C04" w:rsidRPr="00FD2E2F" w:rsidRDefault="00AA1C04" w:rsidP="00AA1C04">
      <w:pPr>
        <w:jc w:val="both"/>
        <w:rPr>
          <w:rFonts w:ascii="Arial" w:hAnsi="Arial" w:cs="Arial"/>
          <w:szCs w:val="22"/>
          <w:lang w:val="en-US"/>
        </w:rPr>
      </w:pPr>
    </w:p>
    <w:p w14:paraId="4E3BEAEA" w14:textId="77777777" w:rsidR="00AA1C04" w:rsidRPr="00FD2E2F" w:rsidRDefault="00FD2E2F" w:rsidP="00AA1C04">
      <w:pPr>
        <w:jc w:val="both"/>
        <w:rPr>
          <w:rFonts w:ascii="Arial" w:hAnsi="Arial" w:cs="Arial"/>
          <w:szCs w:val="22"/>
          <w:lang w:val="en-US"/>
        </w:rPr>
      </w:pPr>
      <w:r w:rsidRPr="00FD2E2F">
        <w:rPr>
          <w:rFonts w:ascii="Arial" w:hAnsi="Arial" w:cs="Arial"/>
          <w:szCs w:val="22"/>
          <w:lang w:val="en-US"/>
        </w:rPr>
        <w:t>For more details on the different consolidation options, please refer to the methodological note accompanying Stat Info</w:t>
      </w:r>
      <w:r w:rsidR="00AA1C04" w:rsidRPr="00AA1C04">
        <w:rPr>
          <w:rFonts w:ascii="Arial" w:hAnsi="Arial" w:cs="Arial"/>
          <w:szCs w:val="22"/>
          <w:vertAlign w:val="superscript"/>
        </w:rPr>
        <w:footnoteReference w:id="4"/>
      </w:r>
      <w:r w:rsidR="00AA1C04" w:rsidRPr="00FD2E2F">
        <w:rPr>
          <w:rFonts w:ascii="Arial" w:hAnsi="Arial" w:cs="Arial"/>
          <w:szCs w:val="22"/>
          <w:lang w:val="en-US"/>
        </w:rPr>
        <w:t xml:space="preserve">. </w:t>
      </w:r>
    </w:p>
    <w:p w14:paraId="6BAFE74D" w14:textId="0D19B9EA" w:rsidR="00AA1C04" w:rsidRDefault="00FD2E2F" w:rsidP="00AA1C04">
      <w:pPr>
        <w:jc w:val="both"/>
        <w:rPr>
          <w:rFonts w:ascii="Arial" w:hAnsi="Arial" w:cs="Arial"/>
          <w:szCs w:val="22"/>
          <w:lang w:val="en-US"/>
        </w:rPr>
      </w:pPr>
      <w:r w:rsidRPr="00FD2E2F">
        <w:rPr>
          <w:rFonts w:ascii="Arial" w:hAnsi="Arial" w:cs="Arial"/>
          <w:szCs w:val="22"/>
          <w:lang w:val="en-US"/>
        </w:rPr>
        <w:t xml:space="preserve">The distinction between financial sector loans to NFCs and other types of loans on the liabilities side of NFCs already existed in the 2000 </w:t>
      </w:r>
      <w:r w:rsidR="00ED3D7B">
        <w:rPr>
          <w:rFonts w:ascii="Arial" w:hAnsi="Arial" w:cs="Arial"/>
          <w:szCs w:val="22"/>
          <w:lang w:val="en-US"/>
        </w:rPr>
        <w:t>benchmark</w:t>
      </w:r>
      <w:r w:rsidRPr="00FD2E2F">
        <w:rPr>
          <w:rFonts w:ascii="Arial" w:hAnsi="Arial" w:cs="Arial"/>
          <w:szCs w:val="22"/>
          <w:lang w:val="en-US"/>
        </w:rPr>
        <w:t xml:space="preserve">. The same </w:t>
      </w:r>
      <w:r w:rsidR="00A1406A">
        <w:rPr>
          <w:rFonts w:ascii="Arial" w:hAnsi="Arial" w:cs="Arial"/>
          <w:szCs w:val="22"/>
          <w:lang w:val="en-US"/>
        </w:rPr>
        <w:t>backcasting</w:t>
      </w:r>
      <w:r w:rsidRPr="00FD2E2F">
        <w:rPr>
          <w:rFonts w:ascii="Arial" w:hAnsi="Arial" w:cs="Arial"/>
          <w:szCs w:val="22"/>
          <w:lang w:val="en-US"/>
        </w:rPr>
        <w:t xml:space="preserve"> techniques have therefore been used, taking the series of total loans to NFCs as already determined (because it has already been retropolated). We then look at how to backcast the breakdown into the two components. In practice, the series of financial sector loans to NFCs turn out to be very similar in </w:t>
      </w:r>
      <w:r w:rsidR="00ED3D7B">
        <w:rPr>
          <w:rFonts w:ascii="Arial" w:hAnsi="Arial" w:cs="Arial"/>
          <w:szCs w:val="22"/>
          <w:lang w:val="en-US"/>
        </w:rPr>
        <w:t>benchmark</w:t>
      </w:r>
      <w:r w:rsidRPr="00FD2E2F">
        <w:rPr>
          <w:rFonts w:ascii="Arial" w:hAnsi="Arial" w:cs="Arial"/>
          <w:szCs w:val="22"/>
          <w:lang w:val="en-US"/>
        </w:rPr>
        <w:t xml:space="preserve"> 2000 and </w:t>
      </w:r>
      <w:r w:rsidR="00ED3D7B">
        <w:rPr>
          <w:rFonts w:ascii="Arial" w:hAnsi="Arial" w:cs="Arial"/>
          <w:szCs w:val="22"/>
          <w:lang w:val="en-US"/>
        </w:rPr>
        <w:t>benchmark</w:t>
      </w:r>
      <w:r w:rsidRPr="00FD2E2F">
        <w:rPr>
          <w:rFonts w:ascii="Arial" w:hAnsi="Arial" w:cs="Arial"/>
          <w:szCs w:val="22"/>
          <w:lang w:val="en-US"/>
        </w:rPr>
        <w:t xml:space="preserve"> 2014, and it is the rest of the loans to NFCs that bear the differences observed between the two </w:t>
      </w:r>
      <w:r w:rsidR="00ED3D7B">
        <w:rPr>
          <w:rFonts w:ascii="Arial" w:hAnsi="Arial" w:cs="Arial"/>
          <w:szCs w:val="22"/>
          <w:lang w:val="en-US"/>
        </w:rPr>
        <w:t>benchmark</w:t>
      </w:r>
      <w:r w:rsidRPr="00FD2E2F">
        <w:rPr>
          <w:rFonts w:ascii="Arial" w:hAnsi="Arial" w:cs="Arial"/>
          <w:szCs w:val="22"/>
          <w:lang w:val="en-US"/>
        </w:rPr>
        <w:t>s, as illustrated by the graphs below. In concrete terms, the revisions seem to stem mainly from the source data used on companies and in particular on intra-resident NFC loans and, to a lesser extent, from revisions to Balance of Payments data for loans granted by non-resident companies outside the financial sector).</w:t>
      </w:r>
    </w:p>
    <w:p w14:paraId="56495C13" w14:textId="77777777" w:rsidR="008550B1" w:rsidRDefault="008550B1" w:rsidP="00AA1C04">
      <w:pPr>
        <w:jc w:val="both"/>
        <w:rPr>
          <w:rFonts w:ascii="Arial" w:hAnsi="Arial" w:cs="Arial"/>
          <w:szCs w:val="22"/>
          <w:lang w:val="en-US"/>
        </w:rPr>
      </w:pPr>
    </w:p>
    <w:p w14:paraId="575E1C58" w14:textId="77777777" w:rsidR="008550B1" w:rsidRPr="00FD2E2F" w:rsidRDefault="008550B1" w:rsidP="00AA1C04">
      <w:pPr>
        <w:jc w:val="both"/>
        <w:rPr>
          <w:rFonts w:ascii="Arial" w:hAnsi="Arial" w:cs="Arial"/>
          <w:szCs w:val="22"/>
          <w:lang w:val="en-US"/>
        </w:rPr>
      </w:pPr>
    </w:p>
    <w:p w14:paraId="507234D5" w14:textId="6747102E" w:rsidR="00AA1C04" w:rsidRPr="00E237FD" w:rsidRDefault="00AA1C04" w:rsidP="00AA1C04">
      <w:pPr>
        <w:jc w:val="both"/>
        <w:rPr>
          <w:sz w:val="22"/>
          <w:szCs w:val="22"/>
          <w:lang w:val="en-US"/>
        </w:rPr>
      </w:pPr>
      <w:r w:rsidRPr="00FD2E2F">
        <w:rPr>
          <w:sz w:val="22"/>
          <w:szCs w:val="22"/>
          <w:lang w:val="en-US"/>
        </w:rPr>
        <w:t xml:space="preserve"> </w:t>
      </w:r>
      <w:r w:rsidR="00422B8B" w:rsidRPr="00422B8B">
        <w:rPr>
          <w:noProof/>
          <w:sz w:val="22"/>
          <w:szCs w:val="22"/>
        </w:rPr>
        <w:drawing>
          <wp:inline distT="0" distB="0" distL="0" distR="0" wp14:anchorId="519366B4" wp14:editId="1ED7EE32">
            <wp:extent cx="5820587" cy="1848108"/>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20587" cy="1848108"/>
                    </a:xfrm>
                    <a:prstGeom prst="rect">
                      <a:avLst/>
                    </a:prstGeom>
                  </pic:spPr>
                </pic:pic>
              </a:graphicData>
            </a:graphic>
          </wp:inline>
        </w:drawing>
      </w:r>
    </w:p>
    <w:p w14:paraId="4861B98D" w14:textId="77777777" w:rsidR="00AA1C04" w:rsidRPr="00E237FD" w:rsidRDefault="00AA1C04" w:rsidP="00AA1C04">
      <w:pPr>
        <w:jc w:val="both"/>
        <w:rPr>
          <w:sz w:val="22"/>
          <w:szCs w:val="22"/>
          <w:lang w:val="en-US"/>
        </w:rPr>
      </w:pPr>
    </w:p>
    <w:p w14:paraId="68183ED2" w14:textId="2329EFA9" w:rsidR="00E237FD" w:rsidRDefault="00E237FD" w:rsidP="00AA1C04">
      <w:pPr>
        <w:jc w:val="both"/>
        <w:rPr>
          <w:rFonts w:ascii="Arial" w:hAnsi="Arial" w:cs="Arial"/>
          <w:szCs w:val="22"/>
          <w:lang w:val="en-US"/>
        </w:rPr>
      </w:pPr>
      <w:r w:rsidRPr="00E237FD">
        <w:rPr>
          <w:rFonts w:ascii="Arial" w:hAnsi="Arial" w:cs="Arial"/>
          <w:szCs w:val="22"/>
          <w:lang w:val="en-US"/>
        </w:rPr>
        <w:t>For debt securities at nominal value (</w:t>
      </w:r>
      <w:r>
        <w:rPr>
          <w:rFonts w:ascii="Arial" w:hAnsi="Arial" w:cs="Arial"/>
          <w:szCs w:val="22"/>
          <w:lang w:val="en-US"/>
        </w:rPr>
        <w:t>NV</w:t>
      </w:r>
      <w:r w:rsidRPr="00E237FD">
        <w:rPr>
          <w:rFonts w:ascii="Arial" w:hAnsi="Arial" w:cs="Arial"/>
          <w:szCs w:val="22"/>
          <w:lang w:val="en-US"/>
        </w:rPr>
        <w:t xml:space="preserve">), the securities statistics have series going back to 1989. To go back further, we used the series of </w:t>
      </w:r>
      <w:r w:rsidR="00740C15">
        <w:rPr>
          <w:rFonts w:ascii="Arial" w:hAnsi="Arial" w:cs="Arial"/>
          <w:szCs w:val="22"/>
          <w:lang w:val="en-US"/>
        </w:rPr>
        <w:t>stocks</w:t>
      </w:r>
      <w:r w:rsidRPr="00E237FD">
        <w:rPr>
          <w:rFonts w:ascii="Arial" w:hAnsi="Arial" w:cs="Arial"/>
          <w:szCs w:val="22"/>
          <w:lang w:val="en-US"/>
        </w:rPr>
        <w:t xml:space="preserve"> (</w:t>
      </w:r>
      <w:r w:rsidR="00740C15">
        <w:rPr>
          <w:rFonts w:ascii="Arial" w:hAnsi="Arial" w:cs="Arial"/>
          <w:szCs w:val="22"/>
          <w:lang w:val="en-US"/>
        </w:rPr>
        <w:t>S</w:t>
      </w:r>
      <w:r w:rsidRPr="00E237FD">
        <w:rPr>
          <w:rFonts w:ascii="Arial" w:hAnsi="Arial" w:cs="Arial"/>
          <w:szCs w:val="22"/>
          <w:lang w:val="en-US"/>
        </w:rPr>
        <w:t>) and revaluations (</w:t>
      </w:r>
      <w:r>
        <w:rPr>
          <w:rFonts w:ascii="Arial" w:hAnsi="Arial" w:cs="Arial"/>
          <w:szCs w:val="22"/>
          <w:lang w:val="en-US"/>
        </w:rPr>
        <w:t>R</w:t>
      </w:r>
      <w:r w:rsidRPr="00E237FD">
        <w:rPr>
          <w:rFonts w:ascii="Arial" w:hAnsi="Arial" w:cs="Arial"/>
          <w:szCs w:val="22"/>
          <w:lang w:val="en-US"/>
        </w:rPr>
        <w:t>) of securities at market value (MV) to recalculate the series at par value:</w:t>
      </w:r>
    </w:p>
    <w:p w14:paraId="052EEE03" w14:textId="5A8A7EC8" w:rsidR="00AA1C04" w:rsidRPr="00E237FD" w:rsidRDefault="00AC496F" w:rsidP="00AA1C04">
      <w:pPr>
        <w:jc w:val="both"/>
        <w:rPr>
          <w:sz w:val="22"/>
          <w:szCs w:val="22"/>
          <w:lang w:val="en-US"/>
        </w:rPr>
      </w:pPr>
      <m:oMathPara>
        <m:oMath>
          <m:sSubSup>
            <m:sSubSupPr>
              <m:ctrlPr>
                <w:rPr>
                  <w:rFonts w:ascii="Cambria Math" w:hAnsi="Cambria Math"/>
                  <w:i/>
                  <w:sz w:val="24"/>
                  <w:szCs w:val="22"/>
                </w:rPr>
              </m:ctrlPr>
            </m:sSubSupPr>
            <m:e>
              <m:r>
                <w:rPr>
                  <w:rFonts w:ascii="Cambria Math" w:hAnsi="Cambria Math"/>
                  <w:sz w:val="24"/>
                  <w:szCs w:val="22"/>
                </w:rPr>
                <m:t>S</m:t>
              </m:r>
            </m:e>
            <m:sub>
              <m:r>
                <w:rPr>
                  <w:rFonts w:ascii="Cambria Math" w:hAnsi="Cambria Math"/>
                  <w:sz w:val="24"/>
                  <w:szCs w:val="22"/>
                </w:rPr>
                <m:t>N</m:t>
              </m:r>
              <m:r>
                <w:rPr>
                  <w:rFonts w:ascii="Cambria Math" w:hAnsi="Cambria Math"/>
                  <w:sz w:val="24"/>
                  <w:szCs w:val="22"/>
                  <w:lang w:val="en-US"/>
                </w:rPr>
                <m:t>-1</m:t>
              </m:r>
            </m:sub>
            <m:sup>
              <m:r>
                <w:rPr>
                  <w:rFonts w:ascii="Cambria Math" w:hAnsi="Cambria Math"/>
                  <w:sz w:val="24"/>
                  <w:szCs w:val="22"/>
                </w:rPr>
                <m:t>NV</m:t>
              </m:r>
            </m:sup>
          </m:sSubSup>
          <m:r>
            <w:rPr>
              <w:rFonts w:ascii="Cambria Math" w:hAnsi="Cambria Math"/>
              <w:sz w:val="24"/>
              <w:szCs w:val="22"/>
              <w:lang w:val="en-US"/>
            </w:rPr>
            <m:t>=</m:t>
          </m:r>
          <m:sSubSup>
            <m:sSubSupPr>
              <m:ctrlPr>
                <w:rPr>
                  <w:rFonts w:ascii="Cambria Math" w:hAnsi="Cambria Math"/>
                  <w:i/>
                  <w:sz w:val="24"/>
                  <w:szCs w:val="22"/>
                </w:rPr>
              </m:ctrlPr>
            </m:sSubSupPr>
            <m:e>
              <m:r>
                <w:rPr>
                  <w:rFonts w:ascii="Cambria Math" w:hAnsi="Cambria Math"/>
                  <w:sz w:val="24"/>
                  <w:szCs w:val="22"/>
                </w:rPr>
                <m:t>S</m:t>
              </m:r>
            </m:e>
            <m:sub>
              <m:r>
                <w:rPr>
                  <w:rFonts w:ascii="Cambria Math" w:hAnsi="Cambria Math"/>
                  <w:sz w:val="24"/>
                  <w:szCs w:val="22"/>
                </w:rPr>
                <m:t>N</m:t>
              </m:r>
            </m:sub>
            <m:sup>
              <m:r>
                <w:rPr>
                  <w:rFonts w:ascii="Cambria Math" w:hAnsi="Cambria Math"/>
                  <w:sz w:val="24"/>
                  <w:szCs w:val="22"/>
                </w:rPr>
                <m:t>NV</m:t>
              </m:r>
            </m:sup>
          </m:sSubSup>
          <m:r>
            <w:rPr>
              <w:rFonts w:ascii="Cambria Math" w:hAnsi="Cambria Math"/>
              <w:sz w:val="24"/>
              <w:szCs w:val="22"/>
              <w:lang w:val="en-US"/>
            </w:rPr>
            <m:t>-</m:t>
          </m:r>
          <m:d>
            <m:dPr>
              <m:ctrlPr>
                <w:rPr>
                  <w:rFonts w:ascii="Cambria Math" w:hAnsi="Cambria Math"/>
                  <w:i/>
                  <w:sz w:val="24"/>
                  <w:szCs w:val="22"/>
                </w:rPr>
              </m:ctrlPr>
            </m:dPr>
            <m:e>
              <m:sSubSup>
                <m:sSubSupPr>
                  <m:ctrlPr>
                    <w:rPr>
                      <w:rFonts w:ascii="Cambria Math" w:hAnsi="Cambria Math"/>
                      <w:i/>
                      <w:sz w:val="24"/>
                      <w:szCs w:val="22"/>
                    </w:rPr>
                  </m:ctrlPr>
                </m:sSubSupPr>
                <m:e>
                  <m:r>
                    <w:rPr>
                      <w:rFonts w:ascii="Cambria Math" w:hAnsi="Cambria Math"/>
                      <w:sz w:val="24"/>
                      <w:szCs w:val="22"/>
                    </w:rPr>
                    <m:t>S</m:t>
                  </m:r>
                </m:e>
                <m:sub>
                  <m:r>
                    <w:rPr>
                      <w:rFonts w:ascii="Cambria Math" w:hAnsi="Cambria Math"/>
                      <w:sz w:val="24"/>
                      <w:szCs w:val="22"/>
                    </w:rPr>
                    <m:t>N</m:t>
                  </m:r>
                </m:sub>
                <m:sup>
                  <m:r>
                    <w:rPr>
                      <w:rFonts w:ascii="Cambria Math" w:hAnsi="Cambria Math"/>
                      <w:sz w:val="24"/>
                      <w:szCs w:val="22"/>
                    </w:rPr>
                    <m:t>MV</m:t>
                  </m:r>
                </m:sup>
              </m:sSubSup>
              <m:r>
                <w:rPr>
                  <w:rFonts w:ascii="Cambria Math" w:hAnsi="Cambria Math"/>
                  <w:sz w:val="24"/>
                  <w:szCs w:val="22"/>
                  <w:lang w:val="en-US"/>
                </w:rPr>
                <m:t>-</m:t>
              </m:r>
              <m:sSubSup>
                <m:sSubSupPr>
                  <m:ctrlPr>
                    <w:rPr>
                      <w:rFonts w:ascii="Cambria Math" w:hAnsi="Cambria Math"/>
                      <w:i/>
                      <w:sz w:val="24"/>
                      <w:szCs w:val="22"/>
                    </w:rPr>
                  </m:ctrlPr>
                </m:sSubSupPr>
                <m:e>
                  <m:r>
                    <w:rPr>
                      <w:rFonts w:ascii="Cambria Math" w:hAnsi="Cambria Math"/>
                      <w:sz w:val="24"/>
                      <w:szCs w:val="22"/>
                    </w:rPr>
                    <m:t>S</m:t>
                  </m:r>
                </m:e>
                <m:sub>
                  <m:r>
                    <w:rPr>
                      <w:rFonts w:ascii="Cambria Math" w:hAnsi="Cambria Math"/>
                      <w:sz w:val="24"/>
                      <w:szCs w:val="22"/>
                    </w:rPr>
                    <m:t>N</m:t>
                  </m:r>
                  <m:r>
                    <w:rPr>
                      <w:rFonts w:ascii="Cambria Math" w:hAnsi="Cambria Math"/>
                      <w:sz w:val="24"/>
                      <w:szCs w:val="22"/>
                      <w:lang w:val="en-US"/>
                    </w:rPr>
                    <m:t>-1</m:t>
                  </m:r>
                </m:sub>
                <m:sup>
                  <m:r>
                    <w:rPr>
                      <w:rFonts w:ascii="Cambria Math" w:hAnsi="Cambria Math"/>
                      <w:sz w:val="24"/>
                      <w:szCs w:val="22"/>
                    </w:rPr>
                    <m:t>MV</m:t>
                  </m:r>
                </m:sup>
              </m:sSubSup>
              <m:r>
                <w:rPr>
                  <w:rFonts w:ascii="Cambria Math" w:hAnsi="Cambria Math"/>
                  <w:sz w:val="24"/>
                  <w:szCs w:val="22"/>
                  <w:lang w:val="en-US"/>
                </w:rPr>
                <m:t>-</m:t>
              </m:r>
              <m:sSubSup>
                <m:sSubSupPr>
                  <m:ctrlPr>
                    <w:rPr>
                      <w:rFonts w:ascii="Cambria Math" w:hAnsi="Cambria Math"/>
                      <w:i/>
                      <w:sz w:val="24"/>
                      <w:szCs w:val="22"/>
                    </w:rPr>
                  </m:ctrlPr>
                </m:sSubSupPr>
                <m:e>
                  <m:r>
                    <w:rPr>
                      <w:rFonts w:ascii="Cambria Math" w:hAnsi="Cambria Math"/>
                      <w:sz w:val="24"/>
                      <w:szCs w:val="22"/>
                    </w:rPr>
                    <m:t>R</m:t>
                  </m:r>
                </m:e>
                <m:sub>
                  <m:r>
                    <w:rPr>
                      <w:rFonts w:ascii="Cambria Math" w:hAnsi="Cambria Math"/>
                      <w:sz w:val="24"/>
                      <w:szCs w:val="22"/>
                    </w:rPr>
                    <m:t>N</m:t>
                  </m:r>
                </m:sub>
                <m:sup>
                  <m:r>
                    <w:rPr>
                      <w:rFonts w:ascii="Cambria Math" w:hAnsi="Cambria Math"/>
                      <w:sz w:val="24"/>
                      <w:szCs w:val="22"/>
                    </w:rPr>
                    <m:t>MV</m:t>
                  </m:r>
                </m:sup>
              </m:sSubSup>
            </m:e>
          </m:d>
        </m:oMath>
      </m:oMathPara>
    </w:p>
    <w:p w14:paraId="746D95E5" w14:textId="77777777" w:rsidR="00AA1C04" w:rsidRPr="00E237FD" w:rsidRDefault="00E237FD" w:rsidP="00AA1C04">
      <w:pPr>
        <w:jc w:val="both"/>
        <w:rPr>
          <w:rFonts w:ascii="Arial" w:hAnsi="Arial" w:cs="Arial"/>
          <w:szCs w:val="22"/>
          <w:lang w:val="en-US"/>
        </w:rPr>
      </w:pPr>
      <w:r w:rsidRPr="00E237FD">
        <w:rPr>
          <w:rFonts w:ascii="Arial" w:hAnsi="Arial" w:cs="Arial"/>
          <w:szCs w:val="22"/>
          <w:lang w:val="en-US"/>
        </w:rPr>
        <w:t xml:space="preserve">If we apply this method to periods when we already have the nominal value, we observe correct results, even if they are not completely identical. The approximation is therefore largely satisfactory, especially as the proportion of bonds in NFC debt was much lower in the 1980s (and we are only talking about </w:t>
      </w:r>
      <w:r w:rsidRPr="00E237FD">
        <w:rPr>
          <w:rFonts w:ascii="Arial" w:hAnsi="Arial" w:cs="Arial"/>
          <w:szCs w:val="22"/>
          <w:lang w:val="en-US"/>
        </w:rPr>
        <w:lastRenderedPageBreak/>
        <w:t>approximating as closely as possible the difference between market value and nominal value, which are already relatively close).</w:t>
      </w:r>
    </w:p>
    <w:p w14:paraId="2B1C63DC" w14:textId="77777777" w:rsidR="00AA1C04" w:rsidRPr="00E237FD" w:rsidRDefault="00AA1C04" w:rsidP="0080460B">
      <w:pPr>
        <w:jc w:val="both"/>
        <w:rPr>
          <w:sz w:val="22"/>
          <w:szCs w:val="22"/>
          <w:lang w:val="en-US"/>
        </w:rPr>
      </w:pPr>
    </w:p>
    <w:p w14:paraId="7B2FB786" w14:textId="77777777" w:rsidR="00AA1C04" w:rsidRPr="00E237FD" w:rsidRDefault="00AA1C04" w:rsidP="0080460B">
      <w:pPr>
        <w:jc w:val="both"/>
        <w:rPr>
          <w:sz w:val="22"/>
          <w:szCs w:val="22"/>
          <w:lang w:val="en-US"/>
        </w:rPr>
      </w:pPr>
    </w:p>
    <w:p w14:paraId="70A09041" w14:textId="77777777" w:rsidR="00AA1C04" w:rsidRPr="00E237FD" w:rsidRDefault="00AA1C04" w:rsidP="00AA1C04">
      <w:pPr>
        <w:keepNext/>
        <w:ind w:left="284" w:hanging="284"/>
        <w:outlineLvl w:val="1"/>
        <w:rPr>
          <w:rFonts w:ascii="Arial" w:hAnsi="Arial" w:cs="Arial"/>
          <w:b/>
          <w:bCs/>
          <w:color w:val="4F81BD" w:themeColor="accent1"/>
          <w:sz w:val="26"/>
          <w:szCs w:val="26"/>
          <w:lang w:val="en-US"/>
        </w:rPr>
      </w:pPr>
      <w:r w:rsidRPr="00E237FD">
        <w:rPr>
          <w:rFonts w:ascii="Arial" w:hAnsi="Arial" w:cs="Arial"/>
          <w:b/>
          <w:bCs/>
          <w:color w:val="4F81BD" w:themeColor="accent1"/>
          <w:sz w:val="26"/>
          <w:szCs w:val="26"/>
          <w:lang w:val="en-US"/>
        </w:rPr>
        <w:t xml:space="preserve">4. </w:t>
      </w:r>
      <w:r w:rsidR="00E237FD" w:rsidRPr="00E237FD">
        <w:rPr>
          <w:rFonts w:ascii="Arial" w:hAnsi="Arial" w:cs="Arial"/>
          <w:b/>
          <w:bCs/>
          <w:color w:val="4F81BD" w:themeColor="accent1"/>
          <w:sz w:val="26"/>
          <w:szCs w:val="26"/>
          <w:lang w:val="en-US"/>
        </w:rPr>
        <w:t>Quarterly reporting</w:t>
      </w:r>
    </w:p>
    <w:p w14:paraId="5ACB0220" w14:textId="77777777" w:rsidR="00AA1C04" w:rsidRPr="00E237FD" w:rsidRDefault="00AA1C04" w:rsidP="0080460B">
      <w:pPr>
        <w:jc w:val="both"/>
        <w:rPr>
          <w:sz w:val="22"/>
          <w:szCs w:val="22"/>
          <w:lang w:val="en-US"/>
        </w:rPr>
      </w:pPr>
    </w:p>
    <w:p w14:paraId="391D70D9" w14:textId="20C3051C" w:rsidR="00973D6F" w:rsidRPr="00973D6F" w:rsidRDefault="00E237FD" w:rsidP="00973D6F">
      <w:pPr>
        <w:spacing w:after="160" w:line="259" w:lineRule="auto"/>
        <w:jc w:val="both"/>
        <w:rPr>
          <w:rFonts w:ascii="Arial" w:eastAsia="Calibri" w:hAnsi="Arial" w:cs="Arial"/>
          <w:szCs w:val="22"/>
          <w:lang w:val="en-US" w:eastAsia="en-US"/>
        </w:rPr>
      </w:pPr>
      <w:r w:rsidRPr="00E237FD">
        <w:rPr>
          <w:rFonts w:ascii="Arial" w:eastAsia="Calibri" w:hAnsi="Arial" w:cs="Arial"/>
          <w:szCs w:val="22"/>
          <w:lang w:val="en-US" w:eastAsia="en-US"/>
        </w:rPr>
        <w:t>So far, we have worked with annual data, which has simplified the problems to some extent. However, as many of the statistical series of the national financial accounts are disseminated via quarterly series (dissemination on the Banque de France statistical portal</w:t>
      </w:r>
      <w:r w:rsidR="00486937">
        <w:rPr>
          <w:rStyle w:val="Appelnotedebasdep"/>
          <w:rFonts w:ascii="Arial" w:eastAsia="Calibri" w:hAnsi="Arial" w:cs="Arial"/>
          <w:szCs w:val="22"/>
          <w:lang w:val="en-US" w:eastAsia="en-US"/>
        </w:rPr>
        <w:footnoteReference w:id="5"/>
      </w:r>
      <w:r w:rsidRPr="00E237FD">
        <w:rPr>
          <w:rFonts w:ascii="Arial" w:eastAsia="Calibri" w:hAnsi="Arial" w:cs="Arial"/>
          <w:szCs w:val="22"/>
          <w:lang w:val="en-US" w:eastAsia="en-US"/>
        </w:rPr>
        <w:t>, sharing with international organisations such as the ECB or the OECD, etc.), we felt it would be useful to also produce and disseminate back</w:t>
      </w:r>
      <w:r w:rsidR="00D07657">
        <w:rPr>
          <w:rFonts w:ascii="Arial" w:eastAsia="Calibri" w:hAnsi="Arial" w:cs="Arial"/>
          <w:szCs w:val="22"/>
          <w:lang w:val="en-US" w:eastAsia="en-US"/>
        </w:rPr>
        <w:t>data</w:t>
      </w:r>
      <w:r w:rsidRPr="00E237FD">
        <w:rPr>
          <w:rFonts w:ascii="Arial" w:eastAsia="Calibri" w:hAnsi="Arial" w:cs="Arial"/>
          <w:szCs w:val="22"/>
          <w:lang w:val="en-US" w:eastAsia="en-US"/>
        </w:rPr>
        <w:t xml:space="preserve"> series at quarterly level.</w:t>
      </w:r>
    </w:p>
    <w:p w14:paraId="397F0BE6" w14:textId="0CA8C7BD" w:rsidR="00973D6F" w:rsidRPr="00973D6F" w:rsidRDefault="00E237FD" w:rsidP="00973D6F">
      <w:pPr>
        <w:spacing w:after="160" w:line="259" w:lineRule="auto"/>
        <w:jc w:val="both"/>
        <w:rPr>
          <w:rFonts w:ascii="Arial" w:eastAsia="Calibri" w:hAnsi="Arial" w:cs="Arial"/>
          <w:szCs w:val="22"/>
          <w:lang w:val="en-US" w:eastAsia="en-US"/>
        </w:rPr>
      </w:pPr>
      <w:r w:rsidRPr="00E237FD">
        <w:rPr>
          <w:rFonts w:ascii="Arial" w:eastAsia="Calibri" w:hAnsi="Arial" w:cs="Arial"/>
          <w:szCs w:val="22"/>
          <w:lang w:val="en-US" w:eastAsia="en-US"/>
        </w:rPr>
        <w:t xml:space="preserve">To do this, we used similar principles to those we have seen previously and, in particular, we applied the quarterly profile observed in </w:t>
      </w:r>
      <w:r w:rsidR="00ED3D7B">
        <w:rPr>
          <w:rFonts w:ascii="Arial" w:eastAsia="Calibri" w:hAnsi="Arial" w:cs="Arial"/>
          <w:szCs w:val="22"/>
          <w:lang w:val="en-US" w:eastAsia="en-US"/>
        </w:rPr>
        <w:t>benchmark</w:t>
      </w:r>
      <w:r w:rsidRPr="00E237FD">
        <w:rPr>
          <w:rFonts w:ascii="Arial" w:eastAsia="Calibri" w:hAnsi="Arial" w:cs="Arial"/>
          <w:szCs w:val="22"/>
          <w:lang w:val="en-US" w:eastAsia="en-US"/>
        </w:rPr>
        <w:t xml:space="preserve"> 2000 to the </w:t>
      </w:r>
      <w:r w:rsidR="00A1406A">
        <w:rPr>
          <w:rFonts w:ascii="Arial" w:eastAsia="Calibri" w:hAnsi="Arial" w:cs="Arial"/>
          <w:szCs w:val="22"/>
          <w:lang w:val="en-US" w:eastAsia="en-US"/>
        </w:rPr>
        <w:t>benchmark</w:t>
      </w:r>
      <w:r w:rsidR="00D07657">
        <w:rPr>
          <w:rFonts w:ascii="Arial" w:eastAsia="Calibri" w:hAnsi="Arial" w:cs="Arial"/>
          <w:szCs w:val="22"/>
          <w:lang w:val="en-US" w:eastAsia="en-US"/>
        </w:rPr>
        <w:t xml:space="preserve"> 2014</w:t>
      </w:r>
      <w:r w:rsidRPr="00E237FD">
        <w:rPr>
          <w:rFonts w:ascii="Arial" w:eastAsia="Calibri" w:hAnsi="Arial" w:cs="Arial"/>
          <w:szCs w:val="22"/>
          <w:lang w:val="en-US" w:eastAsia="en-US"/>
        </w:rPr>
        <w:t>. However, we differed in the nature of the instruments back</w:t>
      </w:r>
      <w:r w:rsidR="00D07657">
        <w:rPr>
          <w:rFonts w:ascii="Arial" w:eastAsia="Calibri" w:hAnsi="Arial" w:cs="Arial"/>
          <w:szCs w:val="22"/>
          <w:lang w:val="en-US" w:eastAsia="en-US"/>
        </w:rPr>
        <w:t>casted</w:t>
      </w:r>
      <w:r w:rsidRPr="00E237FD">
        <w:rPr>
          <w:rFonts w:ascii="Arial" w:eastAsia="Calibri" w:hAnsi="Arial" w:cs="Arial"/>
          <w:szCs w:val="22"/>
          <w:lang w:val="en-US" w:eastAsia="en-US"/>
        </w:rPr>
        <w:t xml:space="preserve">: whereas we had previously </w:t>
      </w:r>
      <w:r w:rsidR="00D07657" w:rsidRPr="00E237FD">
        <w:rPr>
          <w:rFonts w:ascii="Arial" w:eastAsia="Calibri" w:hAnsi="Arial" w:cs="Arial"/>
          <w:szCs w:val="22"/>
          <w:lang w:val="en-US" w:eastAsia="en-US"/>
        </w:rPr>
        <w:t>back</w:t>
      </w:r>
      <w:r w:rsidR="00D07657">
        <w:rPr>
          <w:rFonts w:ascii="Arial" w:eastAsia="Calibri" w:hAnsi="Arial" w:cs="Arial"/>
          <w:szCs w:val="22"/>
          <w:lang w:val="en-US" w:eastAsia="en-US"/>
        </w:rPr>
        <w:t>casted</w:t>
      </w:r>
      <w:r w:rsidR="00D07657" w:rsidRPr="00E237FD" w:rsidDel="00D07657">
        <w:rPr>
          <w:rFonts w:ascii="Arial" w:eastAsia="Calibri" w:hAnsi="Arial" w:cs="Arial"/>
          <w:szCs w:val="22"/>
          <w:lang w:val="en-US" w:eastAsia="en-US"/>
        </w:rPr>
        <w:t xml:space="preserve"> </w:t>
      </w:r>
      <w:r w:rsidRPr="00E237FD">
        <w:rPr>
          <w:rFonts w:ascii="Arial" w:eastAsia="Calibri" w:hAnsi="Arial" w:cs="Arial"/>
          <w:szCs w:val="22"/>
          <w:lang w:val="en-US" w:eastAsia="en-US"/>
        </w:rPr>
        <w:t xml:space="preserve">the series of </w:t>
      </w:r>
      <w:r w:rsidR="00033658">
        <w:rPr>
          <w:rFonts w:ascii="Arial" w:eastAsia="Calibri" w:hAnsi="Arial" w:cs="Arial"/>
          <w:szCs w:val="22"/>
          <w:lang w:val="en-US" w:eastAsia="en-US"/>
        </w:rPr>
        <w:t>stocks</w:t>
      </w:r>
      <w:r w:rsidRPr="00E237FD">
        <w:rPr>
          <w:rFonts w:ascii="Arial" w:eastAsia="Calibri" w:hAnsi="Arial" w:cs="Arial"/>
          <w:szCs w:val="22"/>
          <w:lang w:val="en-US" w:eastAsia="en-US"/>
        </w:rPr>
        <w:t xml:space="preserve">, valuations and other changes in volume in order to reconcile with transaction flows, for the quarterly adjustment we worked on transaction flows, valuations and other changes in volume in order to finally reconcile with </w:t>
      </w:r>
      <w:r w:rsidR="00033658">
        <w:rPr>
          <w:rFonts w:ascii="Arial" w:eastAsia="Calibri" w:hAnsi="Arial" w:cs="Arial"/>
          <w:szCs w:val="22"/>
          <w:lang w:val="en-US" w:eastAsia="en-US"/>
        </w:rPr>
        <w:t>stocks</w:t>
      </w:r>
      <w:r w:rsidRPr="00E237FD">
        <w:rPr>
          <w:rFonts w:ascii="Arial" w:eastAsia="Calibri" w:hAnsi="Arial" w:cs="Arial"/>
          <w:szCs w:val="22"/>
          <w:lang w:val="en-US" w:eastAsia="en-US"/>
        </w:rPr>
        <w:t xml:space="preserve">. In fact, for these first three types, in addition to the horizontal balancing constraints (equality between liabilities and assets) and the aggregation constraints (the sum of the series at the finest level must give the aggregated series which form the total), there is the constraint that the sum of the quarterly values must give the annual value. </w:t>
      </w:r>
      <w:r w:rsidRPr="00E87ADC">
        <w:rPr>
          <w:rFonts w:ascii="Arial" w:eastAsia="Calibri" w:hAnsi="Arial" w:cs="Arial"/>
          <w:szCs w:val="22"/>
          <w:lang w:val="en-US" w:eastAsia="en-US"/>
        </w:rPr>
        <w:t xml:space="preserve">For </w:t>
      </w:r>
      <w:r w:rsidR="00033658">
        <w:rPr>
          <w:rFonts w:ascii="Arial" w:eastAsia="Calibri" w:hAnsi="Arial" w:cs="Arial"/>
          <w:szCs w:val="22"/>
          <w:lang w:val="en-US" w:eastAsia="en-US"/>
        </w:rPr>
        <w:t>stocks</w:t>
      </w:r>
      <w:r w:rsidRPr="00E87ADC">
        <w:rPr>
          <w:rFonts w:ascii="Arial" w:eastAsia="Calibri" w:hAnsi="Arial" w:cs="Arial"/>
          <w:szCs w:val="22"/>
          <w:lang w:val="en-US" w:eastAsia="en-US"/>
        </w:rPr>
        <w:t>, this constraint is absent.</w:t>
      </w:r>
    </w:p>
    <w:p w14:paraId="59F852F1" w14:textId="350CC18B" w:rsidR="00973D6F" w:rsidRPr="00973D6F" w:rsidRDefault="00E87ADC" w:rsidP="00973D6F">
      <w:pPr>
        <w:spacing w:after="160" w:line="259" w:lineRule="auto"/>
        <w:jc w:val="both"/>
        <w:rPr>
          <w:rFonts w:ascii="Arial" w:eastAsia="Calibri" w:hAnsi="Arial" w:cs="Arial"/>
          <w:szCs w:val="22"/>
          <w:lang w:val="en-US" w:eastAsia="en-US"/>
        </w:rPr>
      </w:pPr>
      <w:r w:rsidRPr="00E87ADC">
        <w:rPr>
          <w:rFonts w:ascii="Arial" w:eastAsia="Calibri" w:hAnsi="Arial" w:cs="Arial"/>
          <w:szCs w:val="22"/>
          <w:lang w:val="en-US" w:eastAsia="en-US"/>
        </w:rPr>
        <w:t xml:space="preserve">In the absence of a relevant infra-annual indicator, </w:t>
      </w:r>
      <w:r w:rsidR="00D07657">
        <w:rPr>
          <w:rFonts w:ascii="Arial" w:eastAsia="Calibri" w:hAnsi="Arial" w:cs="Arial"/>
          <w:szCs w:val="22"/>
          <w:lang w:val="en-US" w:eastAsia="en-US"/>
        </w:rPr>
        <w:t>some</w:t>
      </w:r>
      <w:r w:rsidR="00D07657" w:rsidRPr="00E87ADC">
        <w:rPr>
          <w:rFonts w:ascii="Arial" w:eastAsia="Calibri" w:hAnsi="Arial" w:cs="Arial"/>
          <w:szCs w:val="22"/>
          <w:lang w:val="en-US" w:eastAsia="en-US"/>
        </w:rPr>
        <w:t xml:space="preserve"> </w:t>
      </w:r>
      <w:r w:rsidRPr="00E87ADC">
        <w:rPr>
          <w:rFonts w:ascii="Arial" w:eastAsia="Calibri" w:hAnsi="Arial" w:cs="Arial"/>
          <w:szCs w:val="22"/>
          <w:lang w:val="en-US" w:eastAsia="en-US"/>
        </w:rPr>
        <w:t xml:space="preserve">simplifications had been made for the quarterly </w:t>
      </w:r>
      <w:r w:rsidR="00A1406A">
        <w:rPr>
          <w:rFonts w:ascii="Arial" w:eastAsia="Calibri" w:hAnsi="Arial" w:cs="Arial"/>
          <w:szCs w:val="22"/>
          <w:lang w:val="en-US" w:eastAsia="en-US"/>
        </w:rPr>
        <w:t>backcasting</w:t>
      </w:r>
      <w:r w:rsidRPr="00E87ADC">
        <w:rPr>
          <w:rFonts w:ascii="Arial" w:eastAsia="Calibri" w:hAnsi="Arial" w:cs="Arial"/>
          <w:szCs w:val="22"/>
          <w:lang w:val="en-US" w:eastAsia="en-US"/>
        </w:rPr>
        <w:t xml:space="preserve"> to </w:t>
      </w:r>
      <w:r w:rsidR="00D07657">
        <w:rPr>
          <w:rFonts w:ascii="Arial" w:eastAsia="Calibri" w:hAnsi="Arial" w:cs="Arial"/>
          <w:szCs w:val="22"/>
          <w:lang w:val="en-US" w:eastAsia="en-US"/>
        </w:rPr>
        <w:t xml:space="preserve">the </w:t>
      </w:r>
      <w:r w:rsidR="00ED3D7B">
        <w:rPr>
          <w:rFonts w:ascii="Arial" w:eastAsia="Calibri" w:hAnsi="Arial" w:cs="Arial"/>
          <w:szCs w:val="22"/>
          <w:lang w:val="en-US" w:eastAsia="en-US"/>
        </w:rPr>
        <w:t>benchmark</w:t>
      </w:r>
      <w:r w:rsidRPr="00E87ADC">
        <w:rPr>
          <w:rFonts w:ascii="Arial" w:eastAsia="Calibri" w:hAnsi="Arial" w:cs="Arial"/>
          <w:szCs w:val="22"/>
          <w:lang w:val="en-US" w:eastAsia="en-US"/>
        </w:rPr>
        <w:t xml:space="preserve"> 2000. These series were therefore estimated. The sectors and instruments concerned and the technique used to estimate these series in </w:t>
      </w:r>
      <w:r w:rsidR="00ED3D7B">
        <w:rPr>
          <w:rFonts w:ascii="Arial" w:eastAsia="Calibri" w:hAnsi="Arial" w:cs="Arial"/>
          <w:szCs w:val="22"/>
          <w:lang w:val="en-US" w:eastAsia="en-US"/>
        </w:rPr>
        <w:t>benchmark</w:t>
      </w:r>
      <w:r w:rsidRPr="00E87ADC">
        <w:rPr>
          <w:rFonts w:ascii="Arial" w:eastAsia="Calibri" w:hAnsi="Arial" w:cs="Arial"/>
          <w:szCs w:val="22"/>
          <w:lang w:val="en-US" w:eastAsia="en-US"/>
        </w:rPr>
        <w:t xml:space="preserve"> 2000 are detailed in the </w:t>
      </w:r>
      <w:r w:rsidR="001370D0">
        <w:rPr>
          <w:rFonts w:ascii="Arial" w:eastAsia="Calibri" w:hAnsi="Arial" w:cs="Arial"/>
          <w:szCs w:val="22"/>
          <w:lang w:val="en-US" w:eastAsia="en-US"/>
        </w:rPr>
        <w:t>appendix</w:t>
      </w:r>
      <w:r w:rsidRPr="00E87ADC">
        <w:rPr>
          <w:rFonts w:ascii="Arial" w:eastAsia="Calibri" w:hAnsi="Arial" w:cs="Arial"/>
          <w:szCs w:val="22"/>
          <w:lang w:val="en-US" w:eastAsia="en-US"/>
        </w:rPr>
        <w:t>.</w:t>
      </w:r>
    </w:p>
    <w:p w14:paraId="2692BFF8" w14:textId="1F5E4664" w:rsidR="00973D6F" w:rsidRPr="00973D6F" w:rsidRDefault="00E87ADC" w:rsidP="00973D6F">
      <w:pPr>
        <w:spacing w:after="160" w:line="259" w:lineRule="auto"/>
        <w:jc w:val="both"/>
        <w:rPr>
          <w:rFonts w:ascii="Arial" w:eastAsia="Calibri" w:hAnsi="Arial" w:cs="Arial"/>
          <w:szCs w:val="22"/>
          <w:lang w:val="en-US" w:eastAsia="en-US"/>
        </w:rPr>
      </w:pPr>
      <w:r w:rsidRPr="00E87ADC">
        <w:rPr>
          <w:rFonts w:ascii="Arial" w:eastAsia="Calibri" w:hAnsi="Arial" w:cs="Arial"/>
          <w:szCs w:val="22"/>
          <w:lang w:val="en-US" w:eastAsia="en-US"/>
        </w:rPr>
        <w:t xml:space="preserve">The other changes in volume from the </w:t>
      </w:r>
      <w:r w:rsidR="00ED3D7B">
        <w:rPr>
          <w:rFonts w:ascii="Arial" w:eastAsia="Calibri" w:hAnsi="Arial" w:cs="Arial"/>
          <w:szCs w:val="22"/>
          <w:lang w:val="en-US" w:eastAsia="en-US"/>
        </w:rPr>
        <w:t>benchmark</w:t>
      </w:r>
      <w:r w:rsidRPr="00E87ADC">
        <w:rPr>
          <w:rFonts w:ascii="Arial" w:eastAsia="Calibri" w:hAnsi="Arial" w:cs="Arial"/>
          <w:szCs w:val="22"/>
          <w:lang w:val="en-US" w:eastAsia="en-US"/>
        </w:rPr>
        <w:t xml:space="preserve"> </w:t>
      </w:r>
      <w:r w:rsidR="00D07657" w:rsidRPr="00E87ADC">
        <w:rPr>
          <w:rFonts w:ascii="Arial" w:eastAsia="Calibri" w:hAnsi="Arial" w:cs="Arial"/>
          <w:szCs w:val="22"/>
          <w:lang w:val="en-US" w:eastAsia="en-US"/>
        </w:rPr>
        <w:t xml:space="preserve">2000 </w:t>
      </w:r>
      <w:r w:rsidRPr="00E87ADC">
        <w:rPr>
          <w:rFonts w:ascii="Arial" w:eastAsia="Calibri" w:hAnsi="Arial" w:cs="Arial"/>
          <w:szCs w:val="22"/>
          <w:lang w:val="en-US" w:eastAsia="en-US"/>
        </w:rPr>
        <w:t xml:space="preserve">were conventionally positioned in the 4th quarter in the absence of more precise information. For the same reason, the same principle has been adopted for the 2014 </w:t>
      </w:r>
      <w:r w:rsidR="00ED3D7B">
        <w:rPr>
          <w:rFonts w:ascii="Arial" w:eastAsia="Calibri" w:hAnsi="Arial" w:cs="Arial"/>
          <w:szCs w:val="22"/>
          <w:lang w:val="en-US" w:eastAsia="en-US"/>
        </w:rPr>
        <w:t>benchmark</w:t>
      </w:r>
      <w:r w:rsidRPr="00E87ADC">
        <w:rPr>
          <w:rFonts w:ascii="Arial" w:eastAsia="Calibri" w:hAnsi="Arial" w:cs="Arial"/>
          <w:szCs w:val="22"/>
          <w:lang w:val="en-US" w:eastAsia="en-US"/>
        </w:rPr>
        <w:t>.</w:t>
      </w:r>
      <w:r w:rsidR="00973D6F" w:rsidRPr="00973D6F">
        <w:rPr>
          <w:rFonts w:ascii="Arial" w:eastAsia="Calibri" w:hAnsi="Arial" w:cs="Arial"/>
          <w:bCs/>
          <w:szCs w:val="22"/>
          <w:lang w:val="en-US" w:eastAsia="en-US"/>
        </w:rPr>
        <w:t xml:space="preserve"> </w:t>
      </w:r>
    </w:p>
    <w:p w14:paraId="66DB4D75" w14:textId="77777777" w:rsidR="00E87ADC" w:rsidRPr="00E87ADC" w:rsidRDefault="00E87ADC" w:rsidP="00E87ADC">
      <w:pPr>
        <w:spacing w:after="160" w:line="259" w:lineRule="auto"/>
        <w:jc w:val="both"/>
        <w:rPr>
          <w:rFonts w:ascii="Arial" w:eastAsia="Calibri" w:hAnsi="Arial" w:cs="Arial"/>
          <w:szCs w:val="22"/>
          <w:lang w:val="en-US" w:eastAsia="en-US"/>
        </w:rPr>
      </w:pPr>
      <w:r w:rsidRPr="00E87ADC">
        <w:rPr>
          <w:rFonts w:ascii="Arial" w:eastAsia="Calibri" w:hAnsi="Arial" w:cs="Arial"/>
          <w:szCs w:val="22"/>
          <w:lang w:val="en-US" w:eastAsia="en-US"/>
        </w:rPr>
        <w:t xml:space="preserve">The process is the same for transaction and valuation flows, so we will present the approach for flows. </w:t>
      </w:r>
    </w:p>
    <w:p w14:paraId="06375C79" w14:textId="7EBF3D58" w:rsidR="00973D6F" w:rsidRPr="00973D6F" w:rsidRDefault="00E87ADC" w:rsidP="00E87ADC">
      <w:pPr>
        <w:spacing w:after="160" w:line="259" w:lineRule="auto"/>
        <w:jc w:val="both"/>
        <w:rPr>
          <w:rFonts w:ascii="Arial" w:eastAsia="Calibri" w:hAnsi="Arial" w:cs="Arial"/>
          <w:szCs w:val="22"/>
          <w:lang w:val="en-US" w:eastAsia="en-US"/>
        </w:rPr>
      </w:pPr>
      <w:r w:rsidRPr="00E87ADC">
        <w:rPr>
          <w:rFonts w:ascii="Arial" w:eastAsia="Calibri" w:hAnsi="Arial" w:cs="Arial"/>
          <w:szCs w:val="22"/>
          <w:lang w:val="en-US" w:eastAsia="en-US"/>
        </w:rPr>
        <w:t xml:space="preserve">If we take the distribution of the 2000 </w:t>
      </w:r>
      <w:r w:rsidR="00ED3D7B">
        <w:rPr>
          <w:rFonts w:ascii="Arial" w:eastAsia="Calibri" w:hAnsi="Arial" w:cs="Arial"/>
          <w:szCs w:val="22"/>
          <w:lang w:val="en-US" w:eastAsia="en-US"/>
        </w:rPr>
        <w:t>benchmark</w:t>
      </w:r>
      <w:r w:rsidRPr="00E87ADC">
        <w:rPr>
          <w:rFonts w:ascii="Arial" w:eastAsia="Calibri" w:hAnsi="Arial" w:cs="Arial"/>
          <w:szCs w:val="22"/>
          <w:lang w:val="en-US" w:eastAsia="en-US"/>
        </w:rPr>
        <w:t xml:space="preserve"> of flows between the quarters </w:t>
      </w:r>
      <w:r w:rsidR="008F43E4">
        <w:rPr>
          <w:rFonts w:ascii="Arial" w:eastAsia="Calibri" w:hAnsi="Arial" w:cs="Arial"/>
          <w:szCs w:val="22"/>
          <w:lang w:val="en-US" w:eastAsia="en-US"/>
        </w:rPr>
        <w:t>Q</w:t>
      </w:r>
      <w:r w:rsidR="008F43E4" w:rsidRPr="008F43E4">
        <w:rPr>
          <w:rFonts w:ascii="Arial" w:eastAsia="Calibri" w:hAnsi="Arial" w:cs="Arial"/>
          <w:szCs w:val="22"/>
          <w:vertAlign w:val="subscript"/>
          <w:lang w:val="en-US" w:eastAsia="en-US"/>
        </w:rPr>
        <w:t>p</w:t>
      </w:r>
      <w:r w:rsidRPr="00E87ADC">
        <w:rPr>
          <w:rFonts w:ascii="Arial" w:eastAsia="Calibri" w:hAnsi="Arial" w:cs="Arial"/>
          <w:szCs w:val="22"/>
          <w:lang w:val="en-US" w:eastAsia="en-US"/>
        </w:rPr>
        <w:t xml:space="preserve"> of year N, we start with the following first formula:</w:t>
      </w:r>
      <w:r w:rsidR="00973D6F" w:rsidRPr="00973D6F">
        <w:rPr>
          <w:rFonts w:ascii="Arial" w:eastAsia="Calibri" w:hAnsi="Arial" w:cs="Arial"/>
          <w:szCs w:val="22"/>
          <w:lang w:val="en-US" w:eastAsia="en-US"/>
        </w:rPr>
        <w:t xml:space="preserve"> </w:t>
      </w:r>
    </w:p>
    <w:p w14:paraId="14E32EB4" w14:textId="57FDD4D6" w:rsidR="00973D6F" w:rsidRPr="00973D6F" w:rsidRDefault="00AC496F" w:rsidP="00973D6F">
      <w:pPr>
        <w:ind w:left="720"/>
        <w:jc w:val="both"/>
        <w:rPr>
          <w:rFonts w:ascii="Calibri" w:hAnsi="Calibri"/>
          <w:sz w:val="22"/>
          <w:szCs w:val="22"/>
          <w:lang w:eastAsia="en-US"/>
        </w:rPr>
      </w:pPr>
      <m:oMathPara>
        <m:oMath>
          <m:sSubSup>
            <m:sSubSupPr>
              <m:ctrlPr>
                <w:rPr>
                  <w:rFonts w:ascii="Cambria Math" w:eastAsia="Calibri" w:hAnsi="Cambria Math"/>
                  <w:i/>
                  <w:sz w:val="22"/>
                  <w:szCs w:val="22"/>
                  <w:lang w:eastAsia="en-US"/>
                </w:rPr>
              </m:ctrlPr>
            </m:sSubSupPr>
            <m:e>
              <m:acc>
                <m:accPr>
                  <m:ctrlPr>
                    <w:rPr>
                      <w:rFonts w:ascii="Cambria Math" w:eastAsia="Calibri" w:hAnsi="Cambria Math"/>
                      <w:i/>
                      <w:sz w:val="22"/>
                      <w:szCs w:val="22"/>
                      <w:lang w:eastAsia="en-US"/>
                    </w:rPr>
                  </m:ctrlPr>
                </m:accPr>
                <m:e>
                  <m:r>
                    <w:rPr>
                      <w:rFonts w:ascii="Cambria Math" w:eastAsia="Calibri" w:hAnsi="Cambria Math"/>
                      <w:sz w:val="22"/>
                      <w:szCs w:val="22"/>
                      <w:lang w:eastAsia="en-US"/>
                    </w:rPr>
                    <m:t>F</m:t>
                  </m:r>
                </m:e>
              </m:acc>
            </m:e>
            <m:sub>
              <m:sSub>
                <m:sSubPr>
                  <m:ctrlPr>
                    <w:rPr>
                      <w:rFonts w:ascii="Cambria Math" w:eastAsia="Calibri" w:hAnsi="Cambria Math"/>
                      <w:i/>
                      <w:sz w:val="22"/>
                      <w:szCs w:val="22"/>
                      <w:lang w:eastAsia="en-US"/>
                    </w:rPr>
                  </m:ctrlPr>
                </m:sSubPr>
                <m:e>
                  <m:r>
                    <w:rPr>
                      <w:rFonts w:ascii="Cambria Math" w:eastAsia="Calibri" w:hAnsi="Cambria Math"/>
                      <w:sz w:val="22"/>
                      <w:szCs w:val="22"/>
                      <w:lang w:eastAsia="en-US"/>
                    </w:rPr>
                    <m:t>Q</m:t>
                  </m:r>
                </m:e>
                <m:sub>
                  <m:r>
                    <w:rPr>
                      <w:rFonts w:ascii="Cambria Math" w:eastAsia="Calibri" w:hAnsi="Cambria Math"/>
                      <w:sz w:val="22"/>
                      <w:szCs w:val="22"/>
                      <w:lang w:eastAsia="en-US"/>
                    </w:rPr>
                    <m:t>p</m:t>
                  </m:r>
                </m:sub>
              </m:sSub>
              <m:r>
                <w:rPr>
                  <w:rFonts w:ascii="Cambria Math" w:eastAsia="Calibri" w:hAnsi="Cambria Math"/>
                  <w:sz w:val="22"/>
                  <w:szCs w:val="22"/>
                  <w:lang w:eastAsia="en-US"/>
                </w:rPr>
                <m:t>,N, benchmark 2014</m:t>
              </m:r>
            </m:sub>
            <m:sup>
              <m:r>
                <w:rPr>
                  <w:rFonts w:ascii="Cambria Math" w:eastAsia="Calibri" w:hAnsi="Cambria Math"/>
                  <w:sz w:val="22"/>
                  <w:szCs w:val="22"/>
                  <w:lang w:eastAsia="en-US"/>
                </w:rPr>
                <m:t>i</m:t>
              </m:r>
            </m:sup>
          </m:sSubSup>
          <m:r>
            <w:rPr>
              <w:rFonts w:ascii="Cambria Math" w:eastAsia="Calibri" w:hAnsi="Cambria Math"/>
              <w:sz w:val="22"/>
              <w:szCs w:val="22"/>
              <w:lang w:eastAsia="en-US"/>
            </w:rPr>
            <m:t>=</m:t>
          </m:r>
          <m:sSubSup>
            <m:sSubSupPr>
              <m:ctrlPr>
                <w:rPr>
                  <w:rFonts w:ascii="Cambria Math" w:eastAsia="Calibri" w:hAnsi="Cambria Math"/>
                  <w:i/>
                  <w:sz w:val="22"/>
                  <w:szCs w:val="22"/>
                  <w:lang w:eastAsia="en-US"/>
                </w:rPr>
              </m:ctrlPr>
            </m:sSubSupPr>
            <m:e>
              <m:r>
                <w:rPr>
                  <w:rFonts w:ascii="Cambria Math" w:eastAsia="Calibri" w:hAnsi="Cambria Math"/>
                  <w:sz w:val="22"/>
                  <w:szCs w:val="22"/>
                  <w:lang w:eastAsia="en-US"/>
                </w:rPr>
                <m:t>F</m:t>
              </m:r>
            </m:e>
            <m:sub>
              <m:r>
                <w:rPr>
                  <w:rFonts w:ascii="Cambria Math" w:eastAsia="Calibri" w:hAnsi="Cambria Math"/>
                  <w:sz w:val="22"/>
                  <w:szCs w:val="22"/>
                  <w:lang w:eastAsia="en-US"/>
                </w:rPr>
                <m:t>N, benchmark 2014</m:t>
              </m:r>
            </m:sub>
            <m:sup>
              <m:r>
                <w:rPr>
                  <w:rFonts w:ascii="Cambria Math" w:eastAsia="Calibri" w:hAnsi="Cambria Math"/>
                  <w:sz w:val="22"/>
                  <w:szCs w:val="22"/>
                  <w:lang w:eastAsia="en-US"/>
                </w:rPr>
                <m:t>i</m:t>
              </m:r>
            </m:sup>
          </m:sSubSup>
          <m:r>
            <w:rPr>
              <w:rFonts w:ascii="Cambria Math" w:eastAsia="Calibri" w:hAnsi="Cambria Math"/>
              <w:sz w:val="22"/>
              <w:szCs w:val="22"/>
              <w:lang w:eastAsia="en-US"/>
            </w:rPr>
            <m:t>*</m:t>
          </m:r>
          <m:f>
            <m:fPr>
              <m:ctrlPr>
                <w:rPr>
                  <w:rFonts w:ascii="Cambria Math" w:eastAsia="Calibri" w:hAnsi="Cambria Math"/>
                  <w:i/>
                  <w:sz w:val="22"/>
                  <w:szCs w:val="22"/>
                  <w:lang w:eastAsia="en-US"/>
                </w:rPr>
              </m:ctrlPr>
            </m:fPr>
            <m:num>
              <m:sSubSup>
                <m:sSubSupPr>
                  <m:ctrlPr>
                    <w:rPr>
                      <w:rFonts w:ascii="Cambria Math" w:eastAsia="Calibri" w:hAnsi="Cambria Math"/>
                      <w:i/>
                      <w:sz w:val="22"/>
                      <w:szCs w:val="22"/>
                      <w:lang w:eastAsia="en-US"/>
                    </w:rPr>
                  </m:ctrlPr>
                </m:sSubSupPr>
                <m:e>
                  <m:acc>
                    <m:accPr>
                      <m:ctrlPr>
                        <w:rPr>
                          <w:rFonts w:ascii="Cambria Math" w:eastAsia="Calibri" w:hAnsi="Cambria Math"/>
                          <w:i/>
                          <w:sz w:val="22"/>
                          <w:szCs w:val="22"/>
                          <w:lang w:eastAsia="en-US"/>
                        </w:rPr>
                      </m:ctrlPr>
                    </m:accPr>
                    <m:e>
                      <m:r>
                        <w:rPr>
                          <w:rFonts w:ascii="Cambria Math" w:eastAsia="Calibri" w:hAnsi="Cambria Math"/>
                          <w:sz w:val="22"/>
                          <w:szCs w:val="22"/>
                          <w:lang w:eastAsia="en-US"/>
                        </w:rPr>
                        <m:t>F</m:t>
                      </m:r>
                    </m:e>
                  </m:acc>
                </m:e>
                <m:sub>
                  <m:sSub>
                    <m:sSubPr>
                      <m:ctrlPr>
                        <w:rPr>
                          <w:rFonts w:ascii="Cambria Math" w:eastAsia="Calibri" w:hAnsi="Cambria Math"/>
                          <w:i/>
                          <w:sz w:val="22"/>
                          <w:szCs w:val="22"/>
                          <w:lang w:eastAsia="en-US"/>
                        </w:rPr>
                      </m:ctrlPr>
                    </m:sSubPr>
                    <m:e>
                      <m:r>
                        <w:rPr>
                          <w:rFonts w:ascii="Cambria Math" w:eastAsia="Calibri" w:hAnsi="Cambria Math"/>
                          <w:sz w:val="22"/>
                          <w:szCs w:val="22"/>
                          <w:lang w:eastAsia="en-US"/>
                        </w:rPr>
                        <m:t>Q</m:t>
                      </m:r>
                    </m:e>
                    <m:sub>
                      <m:r>
                        <w:rPr>
                          <w:rFonts w:ascii="Cambria Math" w:eastAsia="Calibri" w:hAnsi="Cambria Math"/>
                          <w:sz w:val="22"/>
                          <w:szCs w:val="22"/>
                          <w:lang w:eastAsia="en-US"/>
                        </w:rPr>
                        <m:t>p</m:t>
                      </m:r>
                    </m:sub>
                  </m:sSub>
                  <m:r>
                    <w:rPr>
                      <w:rFonts w:ascii="Cambria Math" w:eastAsia="Calibri" w:hAnsi="Cambria Math"/>
                      <w:sz w:val="22"/>
                      <w:szCs w:val="22"/>
                      <w:lang w:eastAsia="en-US"/>
                    </w:rPr>
                    <m:t>,N, benchmark 2000</m:t>
                  </m:r>
                </m:sub>
                <m:sup>
                  <m:r>
                    <w:rPr>
                      <w:rFonts w:ascii="Cambria Math" w:eastAsia="Calibri" w:hAnsi="Cambria Math"/>
                      <w:sz w:val="22"/>
                      <w:szCs w:val="22"/>
                      <w:lang w:eastAsia="en-US"/>
                    </w:rPr>
                    <m:t>i</m:t>
                  </m:r>
                </m:sup>
              </m:sSubSup>
            </m:num>
            <m:den>
              <m:sSubSup>
                <m:sSubSupPr>
                  <m:ctrlPr>
                    <w:rPr>
                      <w:rFonts w:ascii="Cambria Math" w:eastAsia="Calibri" w:hAnsi="Cambria Math"/>
                      <w:i/>
                      <w:sz w:val="22"/>
                      <w:szCs w:val="22"/>
                      <w:lang w:eastAsia="en-US"/>
                    </w:rPr>
                  </m:ctrlPr>
                </m:sSubSupPr>
                <m:e>
                  <m:r>
                    <w:rPr>
                      <w:rFonts w:ascii="Cambria Math" w:eastAsia="Calibri" w:hAnsi="Cambria Math"/>
                      <w:sz w:val="22"/>
                      <w:szCs w:val="22"/>
                      <w:lang w:eastAsia="en-US"/>
                    </w:rPr>
                    <m:t>F</m:t>
                  </m:r>
                </m:e>
                <m:sub>
                  <m:r>
                    <w:rPr>
                      <w:rFonts w:ascii="Cambria Math" w:eastAsia="Calibri" w:hAnsi="Cambria Math"/>
                      <w:sz w:val="22"/>
                      <w:szCs w:val="22"/>
                      <w:lang w:eastAsia="en-US"/>
                    </w:rPr>
                    <m:t>N, benchmark 2000</m:t>
                  </m:r>
                </m:sub>
                <m:sup>
                  <m:r>
                    <w:rPr>
                      <w:rFonts w:ascii="Cambria Math" w:eastAsia="Calibri" w:hAnsi="Cambria Math"/>
                      <w:sz w:val="22"/>
                      <w:szCs w:val="22"/>
                      <w:lang w:eastAsia="en-US"/>
                    </w:rPr>
                    <m:t>i</m:t>
                  </m:r>
                </m:sup>
              </m:sSubSup>
            </m:den>
          </m:f>
        </m:oMath>
      </m:oMathPara>
    </w:p>
    <w:p w14:paraId="6A837153" w14:textId="466F53B6" w:rsidR="00973D6F" w:rsidRPr="00973D6F" w:rsidRDefault="00E87ADC" w:rsidP="00973D6F">
      <w:pPr>
        <w:spacing w:after="160" w:line="259" w:lineRule="auto"/>
        <w:jc w:val="both"/>
        <w:rPr>
          <w:rFonts w:ascii="Arial" w:hAnsi="Arial" w:cs="Arial"/>
          <w:szCs w:val="22"/>
          <w:lang w:val="en-US" w:eastAsia="en-US"/>
        </w:rPr>
      </w:pPr>
      <w:r w:rsidRPr="00E87ADC">
        <w:rPr>
          <w:rFonts w:ascii="Arial" w:eastAsia="Calibri" w:hAnsi="Arial" w:cs="Arial"/>
          <w:szCs w:val="22"/>
          <w:lang w:val="en-US" w:eastAsia="en-US"/>
        </w:rPr>
        <w:t>This consists of applying the ratio between the flow of a quarter</w:t>
      </w:r>
      <w:r w:rsidR="008F43E4">
        <w:rPr>
          <w:rFonts w:ascii="Arial" w:eastAsia="Calibri" w:hAnsi="Arial" w:cs="Arial"/>
          <w:szCs w:val="22"/>
          <w:lang w:val="en-US" w:eastAsia="en-US"/>
        </w:rPr>
        <w:t xml:space="preserve"> Q</w:t>
      </w:r>
      <w:r w:rsidR="00973D6F" w:rsidRPr="00973D6F">
        <w:rPr>
          <w:rFonts w:ascii="Arial" w:eastAsia="Calibri" w:hAnsi="Arial" w:cs="Arial"/>
          <w:szCs w:val="22"/>
          <w:vertAlign w:val="subscript"/>
          <w:lang w:val="en-US" w:eastAsia="en-US"/>
        </w:rPr>
        <w:t>p</w:t>
      </w:r>
      <w:r w:rsidR="00973D6F" w:rsidRPr="00973D6F">
        <w:rPr>
          <w:rFonts w:ascii="Arial" w:eastAsia="Calibri" w:hAnsi="Arial" w:cs="Arial"/>
          <w:szCs w:val="22"/>
          <w:lang w:val="en-US" w:eastAsia="en-US"/>
        </w:rPr>
        <w:t xml:space="preserve"> </w:t>
      </w:r>
      <m:oMath>
        <m:sSubSup>
          <m:sSubSupPr>
            <m:ctrlPr>
              <w:rPr>
                <w:rFonts w:ascii="Cambria Math" w:eastAsia="Calibri" w:hAnsi="Cambria Math" w:cs="Arial"/>
                <w:i/>
                <w:szCs w:val="22"/>
                <w:lang w:eastAsia="en-US"/>
              </w:rPr>
            </m:ctrlPr>
          </m:sSubSupPr>
          <m:e>
            <m:acc>
              <m:accPr>
                <m:ctrlPr>
                  <w:rPr>
                    <w:rFonts w:ascii="Cambria Math" w:eastAsia="Calibri" w:hAnsi="Cambria Math" w:cs="Arial"/>
                    <w:i/>
                    <w:szCs w:val="22"/>
                    <w:lang w:eastAsia="en-US"/>
                  </w:rPr>
                </m:ctrlPr>
              </m:accPr>
              <m:e>
                <m:r>
                  <w:rPr>
                    <w:rFonts w:ascii="Cambria Math" w:eastAsia="Calibri" w:hAnsi="Cambria Math" w:cs="Arial"/>
                    <w:szCs w:val="22"/>
                    <w:lang w:eastAsia="en-US"/>
                  </w:rPr>
                  <m:t>F</m:t>
                </m:r>
              </m:e>
            </m:acc>
          </m:e>
          <m:sub>
            <m:sSub>
              <m:sSubPr>
                <m:ctrlPr>
                  <w:rPr>
                    <w:rFonts w:ascii="Cambria Math" w:eastAsia="Calibri" w:hAnsi="Cambria Math" w:cs="Arial"/>
                    <w:i/>
                    <w:szCs w:val="22"/>
                    <w:lang w:eastAsia="en-US"/>
                  </w:rPr>
                </m:ctrlPr>
              </m:sSubPr>
              <m:e>
                <m:r>
                  <w:rPr>
                    <w:rFonts w:ascii="Cambria Math" w:eastAsia="Calibri" w:hAnsi="Cambria Math" w:cs="Arial"/>
                    <w:szCs w:val="22"/>
                    <w:lang w:eastAsia="en-US"/>
                  </w:rPr>
                  <m:t>Q</m:t>
                </m:r>
              </m:e>
              <m:sub>
                <m:r>
                  <w:rPr>
                    <w:rFonts w:ascii="Cambria Math" w:eastAsia="Calibri" w:hAnsi="Cambria Math" w:cs="Arial"/>
                    <w:szCs w:val="22"/>
                    <w:lang w:eastAsia="en-US"/>
                  </w:rPr>
                  <m:t>p</m:t>
                </m:r>
              </m:sub>
            </m:sSub>
            <m:r>
              <w:rPr>
                <w:rFonts w:ascii="Cambria Math" w:eastAsia="Calibri" w:hAnsi="Cambria Math" w:cs="Arial"/>
                <w:szCs w:val="22"/>
                <w:lang w:val="en-US" w:eastAsia="en-US"/>
              </w:rPr>
              <m:t>,</m:t>
            </m:r>
            <m:r>
              <w:rPr>
                <w:rFonts w:ascii="Cambria Math" w:eastAsia="Calibri" w:hAnsi="Cambria Math" w:cs="Arial"/>
                <w:szCs w:val="22"/>
                <w:lang w:eastAsia="en-US"/>
              </w:rPr>
              <m:t>N</m:t>
            </m:r>
            <m:r>
              <w:rPr>
                <w:rFonts w:ascii="Cambria Math" w:eastAsia="Calibri" w:hAnsi="Cambria Math" w:cs="Arial"/>
                <w:szCs w:val="22"/>
                <w:lang w:val="en-US" w:eastAsia="en-US"/>
              </w:rPr>
              <m:t xml:space="preserve">, </m:t>
            </m:r>
            <m:r>
              <w:rPr>
                <w:rFonts w:ascii="Cambria Math" w:eastAsia="Calibri" w:hAnsi="Cambria Math" w:cs="Arial"/>
                <w:szCs w:val="22"/>
                <w:lang w:eastAsia="en-US"/>
              </w:rPr>
              <m:t>base</m:t>
            </m:r>
            <m:r>
              <w:rPr>
                <w:rFonts w:ascii="Cambria Math" w:eastAsia="Calibri" w:hAnsi="Cambria Math" w:cs="Arial"/>
                <w:szCs w:val="22"/>
                <w:lang w:val="en-US" w:eastAsia="en-US"/>
              </w:rPr>
              <m:t xml:space="preserve"> 2000</m:t>
            </m:r>
          </m:sub>
          <m:sup>
            <m:r>
              <w:rPr>
                <w:rFonts w:ascii="Cambria Math" w:eastAsia="Calibri" w:hAnsi="Cambria Math" w:cs="Arial"/>
                <w:szCs w:val="22"/>
                <w:lang w:eastAsia="en-US"/>
              </w:rPr>
              <m:t>i</m:t>
            </m:r>
          </m:sup>
        </m:sSubSup>
      </m:oMath>
      <w:r w:rsidR="00973D6F" w:rsidRPr="00973D6F">
        <w:rPr>
          <w:rFonts w:ascii="Arial" w:hAnsi="Arial" w:cs="Arial"/>
          <w:szCs w:val="22"/>
          <w:lang w:val="en-US" w:eastAsia="en-US"/>
        </w:rPr>
        <w:t xml:space="preserve"> </w:t>
      </w:r>
      <w:r w:rsidRPr="00E87ADC">
        <w:rPr>
          <w:rFonts w:ascii="Arial" w:hAnsi="Arial" w:cs="Arial"/>
          <w:szCs w:val="22"/>
          <w:lang w:val="en-US" w:eastAsia="en-US"/>
        </w:rPr>
        <w:t xml:space="preserve">in </w:t>
      </w:r>
      <w:r w:rsidR="00ED3D7B">
        <w:rPr>
          <w:rFonts w:ascii="Arial" w:hAnsi="Arial" w:cs="Arial"/>
          <w:szCs w:val="22"/>
          <w:lang w:val="en-US" w:eastAsia="en-US"/>
        </w:rPr>
        <w:t>benchmark</w:t>
      </w:r>
      <w:r w:rsidRPr="00E87ADC">
        <w:rPr>
          <w:rFonts w:ascii="Arial" w:hAnsi="Arial" w:cs="Arial"/>
          <w:szCs w:val="22"/>
          <w:lang w:val="en-US" w:eastAsia="en-US"/>
        </w:rPr>
        <w:t xml:space="preserve"> 2000 with the annual </w:t>
      </w:r>
      <w:r w:rsidR="00360873" w:rsidRPr="00E87ADC">
        <w:rPr>
          <w:rFonts w:ascii="Arial" w:hAnsi="Arial" w:cs="Arial"/>
          <w:szCs w:val="22"/>
          <w:lang w:val="en-US" w:eastAsia="en-US"/>
        </w:rPr>
        <w:t>flow</w:t>
      </w:r>
      <m:oMath>
        <m:sSubSup>
          <m:sSubSupPr>
            <m:ctrlPr>
              <w:rPr>
                <w:rFonts w:ascii="Cambria Math" w:eastAsia="Calibri" w:hAnsi="Cambria Math" w:cs="Arial"/>
                <w:i/>
                <w:szCs w:val="22"/>
                <w:lang w:eastAsia="en-US"/>
              </w:rPr>
            </m:ctrlPr>
          </m:sSubSupPr>
          <m:e>
            <m:r>
              <w:rPr>
                <w:rFonts w:ascii="Cambria Math" w:eastAsia="Calibri" w:hAnsi="Cambria Math" w:cs="Arial"/>
                <w:szCs w:val="22"/>
                <w:lang w:val="en-US" w:eastAsia="en-US"/>
              </w:rPr>
              <m:t xml:space="preserve"> </m:t>
            </m:r>
            <m:r>
              <w:rPr>
                <w:rFonts w:ascii="Cambria Math" w:eastAsia="Calibri" w:hAnsi="Cambria Math" w:cs="Arial"/>
                <w:szCs w:val="22"/>
                <w:lang w:eastAsia="en-US"/>
              </w:rPr>
              <m:t>F</m:t>
            </m:r>
          </m:e>
          <m:sub>
            <m:r>
              <w:rPr>
                <w:rFonts w:ascii="Cambria Math" w:eastAsia="Calibri" w:hAnsi="Cambria Math" w:cs="Arial"/>
                <w:szCs w:val="22"/>
                <w:lang w:eastAsia="en-US"/>
              </w:rPr>
              <m:t>N</m:t>
            </m:r>
            <m:r>
              <w:rPr>
                <w:rFonts w:ascii="Cambria Math" w:eastAsia="Calibri" w:hAnsi="Cambria Math" w:cs="Arial"/>
                <w:szCs w:val="22"/>
                <w:lang w:val="en-US" w:eastAsia="en-US"/>
              </w:rPr>
              <m:t xml:space="preserve">, </m:t>
            </m:r>
            <m:r>
              <w:rPr>
                <w:rFonts w:ascii="Cambria Math" w:eastAsia="Calibri" w:hAnsi="Cambria Math" w:cs="Arial"/>
                <w:szCs w:val="22"/>
                <w:lang w:eastAsia="en-US"/>
              </w:rPr>
              <m:t>base</m:t>
            </m:r>
            <m:r>
              <w:rPr>
                <w:rFonts w:ascii="Cambria Math" w:eastAsia="Calibri" w:hAnsi="Cambria Math" w:cs="Arial"/>
                <w:szCs w:val="22"/>
                <w:lang w:val="en-US" w:eastAsia="en-US"/>
              </w:rPr>
              <m:t xml:space="preserve"> 2000</m:t>
            </m:r>
          </m:sub>
          <m:sup>
            <m:r>
              <w:rPr>
                <w:rFonts w:ascii="Cambria Math" w:eastAsia="Calibri" w:hAnsi="Cambria Math" w:cs="Arial"/>
                <w:szCs w:val="22"/>
                <w:lang w:eastAsia="en-US"/>
              </w:rPr>
              <m:t>i</m:t>
            </m:r>
          </m:sup>
        </m:sSubSup>
      </m:oMath>
      <w:r w:rsidR="00973D6F" w:rsidRPr="00973D6F">
        <w:rPr>
          <w:rFonts w:ascii="Arial" w:hAnsi="Arial" w:cs="Arial"/>
          <w:szCs w:val="22"/>
          <w:lang w:val="en-US" w:eastAsia="en-US"/>
        </w:rPr>
        <w:t xml:space="preserve">, </w:t>
      </w:r>
      <w:r w:rsidRPr="00E87ADC">
        <w:rPr>
          <w:rFonts w:ascii="Arial" w:hAnsi="Arial" w:cs="Arial"/>
          <w:szCs w:val="22"/>
          <w:lang w:val="en-US" w:eastAsia="en-US"/>
        </w:rPr>
        <w:t xml:space="preserve">again in </w:t>
      </w:r>
      <w:r w:rsidR="00ED3D7B">
        <w:rPr>
          <w:rFonts w:ascii="Arial" w:hAnsi="Arial" w:cs="Arial"/>
          <w:szCs w:val="22"/>
          <w:lang w:val="en-US" w:eastAsia="en-US"/>
        </w:rPr>
        <w:t>benchmark</w:t>
      </w:r>
      <w:r w:rsidRPr="00E87ADC">
        <w:rPr>
          <w:rFonts w:ascii="Arial" w:hAnsi="Arial" w:cs="Arial"/>
          <w:szCs w:val="22"/>
          <w:lang w:val="en-US" w:eastAsia="en-US"/>
        </w:rPr>
        <w:t xml:space="preserve"> 2000 and then applying this ratio to the annual flow in backdated </w:t>
      </w:r>
      <w:r w:rsidR="00ED3D7B">
        <w:rPr>
          <w:rFonts w:ascii="Arial" w:hAnsi="Arial" w:cs="Arial"/>
          <w:szCs w:val="22"/>
          <w:lang w:val="en-US" w:eastAsia="en-US"/>
        </w:rPr>
        <w:t>benchmark</w:t>
      </w:r>
      <w:r w:rsidRPr="00E87ADC">
        <w:rPr>
          <w:rFonts w:ascii="Arial" w:hAnsi="Arial" w:cs="Arial"/>
          <w:szCs w:val="22"/>
          <w:lang w:val="en-US" w:eastAsia="en-US"/>
        </w:rPr>
        <w:t xml:space="preserve"> 2014.</w:t>
      </w:r>
    </w:p>
    <w:p w14:paraId="4F9F775C" w14:textId="77777777" w:rsidR="00973D6F" w:rsidRPr="00973D6F" w:rsidRDefault="00E87ADC" w:rsidP="00973D6F">
      <w:pPr>
        <w:spacing w:after="160" w:line="259" w:lineRule="auto"/>
        <w:jc w:val="both"/>
        <w:rPr>
          <w:rFonts w:ascii="Arial" w:hAnsi="Arial" w:cs="Arial"/>
          <w:szCs w:val="22"/>
          <w:lang w:val="en-US" w:eastAsia="en-US"/>
        </w:rPr>
      </w:pPr>
      <w:r w:rsidRPr="00E87ADC">
        <w:rPr>
          <w:rFonts w:ascii="Arial" w:hAnsi="Arial" w:cs="Arial"/>
          <w:szCs w:val="22"/>
          <w:lang w:val="en-US" w:eastAsia="en-US"/>
        </w:rPr>
        <w:t>There are two exceptions to this general approach:</w:t>
      </w:r>
    </w:p>
    <w:p w14:paraId="33B2E814" w14:textId="37EB532C" w:rsidR="00E87ADC" w:rsidRPr="00E87ADC" w:rsidRDefault="00E87ADC" w:rsidP="00E87ADC">
      <w:pPr>
        <w:numPr>
          <w:ilvl w:val="0"/>
          <w:numId w:val="38"/>
        </w:numPr>
        <w:spacing w:after="160" w:line="259" w:lineRule="auto"/>
        <w:contextualSpacing/>
        <w:jc w:val="both"/>
        <w:rPr>
          <w:rFonts w:ascii="Arial" w:eastAsia="Calibri" w:hAnsi="Arial" w:cs="Arial"/>
          <w:szCs w:val="22"/>
          <w:lang w:val="en-US" w:eastAsia="en-US"/>
        </w:rPr>
      </w:pPr>
      <w:r w:rsidRPr="00E87ADC">
        <w:rPr>
          <w:rFonts w:ascii="Arial" w:eastAsia="Calibri" w:hAnsi="Arial" w:cs="Arial"/>
          <w:szCs w:val="22"/>
          <w:lang w:val="en-US" w:eastAsia="en-US"/>
        </w:rPr>
        <w:t xml:space="preserve">if the annual flow in </w:t>
      </w:r>
      <w:r w:rsidR="00ED3D7B">
        <w:rPr>
          <w:rFonts w:ascii="Arial" w:eastAsia="Calibri" w:hAnsi="Arial" w:cs="Arial"/>
          <w:szCs w:val="22"/>
          <w:lang w:val="en-US" w:eastAsia="en-US"/>
        </w:rPr>
        <w:t>benchmark</w:t>
      </w:r>
      <w:r w:rsidRPr="00E87ADC">
        <w:rPr>
          <w:rFonts w:ascii="Arial" w:eastAsia="Calibri" w:hAnsi="Arial" w:cs="Arial"/>
          <w:szCs w:val="22"/>
          <w:lang w:val="en-US" w:eastAsia="en-US"/>
        </w:rPr>
        <w:t xml:space="preserve"> 2000 is zero</w:t>
      </w:r>
    </w:p>
    <w:p w14:paraId="717E1111" w14:textId="6192906A" w:rsidR="00973D6F" w:rsidRPr="00973D6F" w:rsidRDefault="00E87ADC" w:rsidP="00E87ADC">
      <w:pPr>
        <w:numPr>
          <w:ilvl w:val="0"/>
          <w:numId w:val="38"/>
        </w:numPr>
        <w:spacing w:after="160" w:line="259" w:lineRule="auto"/>
        <w:contextualSpacing/>
        <w:jc w:val="both"/>
        <w:rPr>
          <w:rFonts w:ascii="Arial" w:eastAsia="Calibri" w:hAnsi="Arial" w:cs="Arial"/>
          <w:szCs w:val="22"/>
          <w:lang w:val="en-US" w:eastAsia="en-US"/>
        </w:rPr>
      </w:pPr>
      <w:r w:rsidRPr="00E87ADC">
        <w:rPr>
          <w:rFonts w:ascii="Arial" w:eastAsia="Calibri" w:hAnsi="Arial" w:cs="Arial"/>
          <w:szCs w:val="22"/>
          <w:lang w:val="en-US" w:eastAsia="en-US"/>
        </w:rPr>
        <w:t xml:space="preserve">or if the annual flow in </w:t>
      </w:r>
      <w:r w:rsidR="00ED3D7B">
        <w:rPr>
          <w:rFonts w:ascii="Arial" w:eastAsia="Calibri" w:hAnsi="Arial" w:cs="Arial"/>
          <w:szCs w:val="22"/>
          <w:lang w:val="en-US" w:eastAsia="en-US"/>
        </w:rPr>
        <w:t>benchmark</w:t>
      </w:r>
      <w:r w:rsidRPr="00E87ADC">
        <w:rPr>
          <w:rFonts w:ascii="Arial" w:eastAsia="Calibri" w:hAnsi="Arial" w:cs="Arial"/>
          <w:szCs w:val="22"/>
          <w:lang w:val="en-US" w:eastAsia="en-US"/>
        </w:rPr>
        <w:t xml:space="preserve"> 2000 and </w:t>
      </w:r>
      <w:r w:rsidR="00ED3D7B">
        <w:rPr>
          <w:rFonts w:ascii="Arial" w:eastAsia="Calibri" w:hAnsi="Arial" w:cs="Arial"/>
          <w:szCs w:val="22"/>
          <w:lang w:val="en-US" w:eastAsia="en-US"/>
        </w:rPr>
        <w:t>benchmark</w:t>
      </w:r>
      <w:r w:rsidRPr="00E87ADC">
        <w:rPr>
          <w:rFonts w:ascii="Arial" w:eastAsia="Calibri" w:hAnsi="Arial" w:cs="Arial"/>
          <w:szCs w:val="22"/>
          <w:lang w:val="en-US" w:eastAsia="en-US"/>
        </w:rPr>
        <w:t xml:space="preserve"> 2014 are of opposite sign</w:t>
      </w:r>
    </w:p>
    <w:p w14:paraId="0C61B629" w14:textId="4EBB1770" w:rsidR="00973D6F" w:rsidRPr="00973D6F" w:rsidRDefault="00E87ADC" w:rsidP="00973D6F">
      <w:pPr>
        <w:spacing w:after="160" w:line="259" w:lineRule="auto"/>
        <w:jc w:val="both"/>
        <w:rPr>
          <w:rFonts w:ascii="Arial" w:eastAsia="Calibri" w:hAnsi="Arial" w:cs="Arial"/>
          <w:szCs w:val="22"/>
          <w:lang w:val="en-US" w:eastAsia="en-US"/>
        </w:rPr>
      </w:pPr>
      <w:r w:rsidRPr="00E87ADC">
        <w:rPr>
          <w:rFonts w:ascii="Arial" w:eastAsia="Calibri" w:hAnsi="Arial" w:cs="Arial"/>
          <w:szCs w:val="22"/>
          <w:lang w:val="en-US" w:eastAsia="en-US"/>
        </w:rPr>
        <w:t xml:space="preserve">for a year N, then the simplification applied is that the quarterly flows of the backcast </w:t>
      </w:r>
      <w:r w:rsidR="00ED3D7B">
        <w:rPr>
          <w:rFonts w:ascii="Arial" w:eastAsia="Calibri" w:hAnsi="Arial" w:cs="Arial"/>
          <w:szCs w:val="22"/>
          <w:lang w:val="en-US" w:eastAsia="en-US"/>
        </w:rPr>
        <w:t>benchmark</w:t>
      </w:r>
      <w:r w:rsidRPr="00E87ADC">
        <w:rPr>
          <w:rFonts w:ascii="Arial" w:eastAsia="Calibri" w:hAnsi="Arial" w:cs="Arial"/>
          <w:szCs w:val="22"/>
          <w:lang w:val="en-US" w:eastAsia="en-US"/>
        </w:rPr>
        <w:t xml:space="preserve"> is equal to a quarter of the annual flow for that year.</w:t>
      </w:r>
    </w:p>
    <w:p w14:paraId="1B95F579" w14:textId="77777777" w:rsidR="00973D6F" w:rsidRPr="00973D6F" w:rsidRDefault="00E87ADC" w:rsidP="00973D6F">
      <w:pPr>
        <w:spacing w:after="160" w:line="259" w:lineRule="auto"/>
        <w:jc w:val="both"/>
        <w:rPr>
          <w:rFonts w:ascii="Arial" w:eastAsia="Calibri" w:hAnsi="Arial" w:cs="Arial"/>
          <w:szCs w:val="22"/>
          <w:lang w:val="en-US" w:eastAsia="en-US"/>
        </w:rPr>
      </w:pPr>
      <w:r w:rsidRPr="00E87ADC">
        <w:rPr>
          <w:rFonts w:ascii="Arial" w:eastAsia="Calibri" w:hAnsi="Arial" w:cs="Arial"/>
          <w:szCs w:val="22"/>
          <w:lang w:val="en-US" w:eastAsia="en-US"/>
        </w:rPr>
        <w:t>Once these choices have been made, we can proceed in the same way for total assets and liabilities and for each sector, but we will come up against the same problem as before for annual backcasting: we will have to respect the equality between flows on totals and the sum of flows for each sector (which unfortunately is not naturally achieved). We will proceed in a similar way:</w:t>
      </w:r>
    </w:p>
    <w:p w14:paraId="62F6EDBC" w14:textId="77777777" w:rsidR="00E87ADC" w:rsidRDefault="00E87ADC" w:rsidP="00973D6F">
      <w:pPr>
        <w:spacing w:after="160" w:line="259" w:lineRule="auto"/>
        <w:ind w:left="1440"/>
        <w:contextualSpacing/>
        <w:jc w:val="both"/>
        <w:rPr>
          <w:rFonts w:ascii="Arial" w:eastAsia="Calibri" w:hAnsi="Arial" w:cs="Arial"/>
          <w:szCs w:val="22"/>
          <w:lang w:val="en-US" w:eastAsia="en-US"/>
        </w:rPr>
      </w:pPr>
      <w:r w:rsidRPr="00E87ADC">
        <w:rPr>
          <w:rFonts w:ascii="Arial" w:eastAsia="Calibri" w:hAnsi="Arial" w:cs="Arial"/>
          <w:szCs w:val="22"/>
          <w:lang w:val="en-US" w:eastAsia="en-US"/>
        </w:rPr>
        <w:t>For a sector i for which we have made little or no change to the annual flows, i.e.</w:t>
      </w:r>
    </w:p>
    <w:p w14:paraId="360B29C7" w14:textId="45EE5DE4" w:rsidR="00973D6F" w:rsidRPr="00973D6F" w:rsidRDefault="00E87ADC" w:rsidP="00973D6F">
      <w:pPr>
        <w:spacing w:after="160" w:line="259" w:lineRule="auto"/>
        <w:ind w:left="1440"/>
        <w:contextualSpacing/>
        <w:jc w:val="both"/>
        <w:rPr>
          <w:rFonts w:ascii="Calibri" w:hAnsi="Calibri"/>
          <w:sz w:val="22"/>
          <w:szCs w:val="22"/>
          <w:lang w:val="en-US" w:eastAsia="en-US"/>
        </w:rPr>
      </w:pPr>
      <m:oMathPara>
        <m:oMath>
          <m:r>
            <m:rPr>
              <m:nor/>
            </m:rPr>
            <w:rPr>
              <w:rFonts w:ascii="Cambria Math" w:eastAsia="Calibri" w:hAnsi="Cambria Math"/>
              <w:sz w:val="22"/>
              <w:szCs w:val="22"/>
              <w:lang w:val="en-US" w:eastAsia="en-US"/>
            </w:rPr>
            <m:t xml:space="preserve">if </m:t>
          </m:r>
          <m:d>
            <m:dPr>
              <m:begChr m:val="|"/>
              <m:endChr m:val="|"/>
              <m:ctrlPr>
                <w:rPr>
                  <w:rFonts w:ascii="Cambria Math" w:eastAsia="Calibri" w:hAnsi="Cambria Math"/>
                  <w:i/>
                  <w:sz w:val="22"/>
                  <w:szCs w:val="22"/>
                  <w:lang w:eastAsia="en-US"/>
                </w:rPr>
              </m:ctrlPr>
            </m:dPr>
            <m:e>
              <m:f>
                <m:fPr>
                  <m:ctrlPr>
                    <w:rPr>
                      <w:rFonts w:ascii="Cambria Math" w:eastAsia="Calibri" w:hAnsi="Cambria Math"/>
                      <w:i/>
                      <w:sz w:val="22"/>
                      <w:szCs w:val="22"/>
                      <w:lang w:eastAsia="en-US"/>
                    </w:rPr>
                  </m:ctrlPr>
                </m:fPr>
                <m:num>
                  <m:sSubSup>
                    <m:sSubSupPr>
                      <m:ctrlPr>
                        <w:rPr>
                          <w:rFonts w:ascii="Cambria Math" w:eastAsia="Calibri" w:hAnsi="Cambria Math"/>
                          <w:i/>
                          <w:sz w:val="22"/>
                          <w:szCs w:val="22"/>
                          <w:lang w:eastAsia="en-US"/>
                        </w:rPr>
                      </m:ctrlPr>
                    </m:sSubSupPr>
                    <m:e>
                      <m:r>
                        <w:rPr>
                          <w:rFonts w:ascii="Cambria Math" w:eastAsia="Calibri" w:hAnsi="Cambria Math"/>
                          <w:sz w:val="22"/>
                          <w:szCs w:val="22"/>
                          <w:lang w:eastAsia="en-US"/>
                        </w:rPr>
                        <m:t>F</m:t>
                      </m:r>
                    </m:e>
                    <m:sub>
                      <m:r>
                        <w:rPr>
                          <w:rFonts w:ascii="Cambria Math" w:eastAsia="Calibri" w:hAnsi="Cambria Math"/>
                          <w:sz w:val="22"/>
                          <w:szCs w:val="22"/>
                          <w:lang w:eastAsia="en-US"/>
                        </w:rPr>
                        <m:t>N</m:t>
                      </m:r>
                      <m:r>
                        <w:rPr>
                          <w:rFonts w:ascii="Cambria Math" w:eastAsia="Calibri" w:hAnsi="Cambria Math"/>
                          <w:sz w:val="22"/>
                          <w:szCs w:val="22"/>
                          <w:lang w:val="en-US" w:eastAsia="en-US"/>
                        </w:rPr>
                        <m:t xml:space="preserve">, </m:t>
                      </m:r>
                      <m:r>
                        <w:rPr>
                          <w:rFonts w:ascii="Cambria Math" w:eastAsia="Calibri" w:hAnsi="Cambria Math"/>
                          <w:sz w:val="22"/>
                          <w:szCs w:val="22"/>
                          <w:lang w:eastAsia="en-US"/>
                        </w:rPr>
                        <m:t>benc</m:t>
                      </m:r>
                      <m:r>
                        <w:rPr>
                          <w:rFonts w:ascii="Cambria Math" w:eastAsia="Calibri" w:hAnsi="Cambria Math"/>
                          <w:sz w:val="22"/>
                          <w:szCs w:val="22"/>
                          <w:lang w:val="en-US" w:eastAsia="en-US"/>
                        </w:rPr>
                        <m:t>h</m:t>
                      </m:r>
                      <m:r>
                        <w:rPr>
                          <w:rFonts w:ascii="Cambria Math" w:eastAsia="Calibri" w:hAnsi="Cambria Math"/>
                          <w:sz w:val="22"/>
                          <w:szCs w:val="22"/>
                          <w:lang w:eastAsia="en-US"/>
                        </w:rPr>
                        <m:t>mark</m:t>
                      </m:r>
                      <m:r>
                        <w:rPr>
                          <w:rFonts w:ascii="Cambria Math" w:eastAsia="Calibri" w:hAnsi="Cambria Math"/>
                          <w:sz w:val="22"/>
                          <w:szCs w:val="22"/>
                          <w:lang w:val="en-US" w:eastAsia="en-US"/>
                        </w:rPr>
                        <m:t xml:space="preserve"> 2000</m:t>
                      </m:r>
                    </m:sub>
                    <m:sup>
                      <m:r>
                        <w:rPr>
                          <w:rFonts w:ascii="Cambria Math" w:eastAsia="Calibri" w:hAnsi="Cambria Math"/>
                          <w:sz w:val="22"/>
                          <w:szCs w:val="22"/>
                          <w:lang w:eastAsia="en-US"/>
                        </w:rPr>
                        <m:t>i</m:t>
                      </m:r>
                    </m:sup>
                  </m:sSubSup>
                  <m:r>
                    <w:rPr>
                      <w:rFonts w:ascii="Cambria Math" w:eastAsia="Calibri" w:hAnsi="Cambria Math"/>
                      <w:sz w:val="22"/>
                      <w:szCs w:val="22"/>
                      <w:lang w:val="en-US" w:eastAsia="en-US"/>
                    </w:rPr>
                    <m:t>-</m:t>
                  </m:r>
                  <m:sSubSup>
                    <m:sSubSupPr>
                      <m:ctrlPr>
                        <w:rPr>
                          <w:rFonts w:ascii="Cambria Math" w:eastAsia="Calibri" w:hAnsi="Cambria Math"/>
                          <w:i/>
                          <w:sz w:val="22"/>
                          <w:szCs w:val="22"/>
                          <w:lang w:eastAsia="en-US"/>
                        </w:rPr>
                      </m:ctrlPr>
                    </m:sSubSupPr>
                    <m:e>
                      <m:r>
                        <w:rPr>
                          <w:rFonts w:ascii="Cambria Math" w:eastAsia="Calibri" w:hAnsi="Cambria Math"/>
                          <w:sz w:val="22"/>
                          <w:szCs w:val="22"/>
                          <w:lang w:eastAsia="en-US"/>
                        </w:rPr>
                        <m:t>F</m:t>
                      </m:r>
                    </m:e>
                    <m:sub>
                      <m:r>
                        <w:rPr>
                          <w:rFonts w:ascii="Cambria Math" w:eastAsia="Calibri" w:hAnsi="Cambria Math"/>
                          <w:sz w:val="22"/>
                          <w:szCs w:val="22"/>
                          <w:lang w:eastAsia="en-US"/>
                        </w:rPr>
                        <m:t>N</m:t>
                      </m:r>
                      <m:r>
                        <w:rPr>
                          <w:rFonts w:ascii="Cambria Math" w:eastAsia="Calibri" w:hAnsi="Cambria Math"/>
                          <w:sz w:val="22"/>
                          <w:szCs w:val="22"/>
                          <w:lang w:val="en-US" w:eastAsia="en-US"/>
                        </w:rPr>
                        <m:t xml:space="preserve">, </m:t>
                      </m:r>
                      <m:r>
                        <w:rPr>
                          <w:rFonts w:ascii="Cambria Math" w:eastAsia="Calibri" w:hAnsi="Cambria Math"/>
                          <w:sz w:val="22"/>
                          <w:szCs w:val="22"/>
                          <w:lang w:eastAsia="en-US"/>
                        </w:rPr>
                        <m:t>benc</m:t>
                      </m:r>
                      <m:r>
                        <w:rPr>
                          <w:rFonts w:ascii="Cambria Math" w:eastAsia="Calibri" w:hAnsi="Cambria Math"/>
                          <w:sz w:val="22"/>
                          <w:szCs w:val="22"/>
                          <w:lang w:val="en-US" w:eastAsia="en-US"/>
                        </w:rPr>
                        <m:t>h</m:t>
                      </m:r>
                      <m:r>
                        <w:rPr>
                          <w:rFonts w:ascii="Cambria Math" w:eastAsia="Calibri" w:hAnsi="Cambria Math"/>
                          <w:sz w:val="22"/>
                          <w:szCs w:val="22"/>
                          <w:lang w:eastAsia="en-US"/>
                        </w:rPr>
                        <m:t>mark</m:t>
                      </m:r>
                      <m:r>
                        <w:rPr>
                          <w:rFonts w:ascii="Cambria Math" w:eastAsia="Calibri" w:hAnsi="Cambria Math"/>
                          <w:sz w:val="22"/>
                          <w:szCs w:val="22"/>
                          <w:lang w:val="en-US" w:eastAsia="en-US"/>
                        </w:rPr>
                        <m:t xml:space="preserve"> 2014</m:t>
                      </m:r>
                    </m:sub>
                    <m:sup>
                      <m:r>
                        <w:rPr>
                          <w:rFonts w:ascii="Cambria Math" w:eastAsia="Calibri" w:hAnsi="Cambria Math"/>
                          <w:sz w:val="22"/>
                          <w:szCs w:val="22"/>
                          <w:lang w:eastAsia="en-US"/>
                        </w:rPr>
                        <m:t>i</m:t>
                      </m:r>
                    </m:sup>
                  </m:sSubSup>
                </m:num>
                <m:den>
                  <m:sSubSup>
                    <m:sSubSupPr>
                      <m:ctrlPr>
                        <w:rPr>
                          <w:rFonts w:ascii="Cambria Math" w:eastAsia="Calibri" w:hAnsi="Cambria Math"/>
                          <w:i/>
                          <w:sz w:val="22"/>
                          <w:szCs w:val="22"/>
                          <w:lang w:eastAsia="en-US"/>
                        </w:rPr>
                      </m:ctrlPr>
                    </m:sSubSupPr>
                    <m:e>
                      <m:r>
                        <w:rPr>
                          <w:rFonts w:ascii="Cambria Math" w:eastAsia="Calibri" w:hAnsi="Cambria Math"/>
                          <w:sz w:val="22"/>
                          <w:szCs w:val="22"/>
                          <w:lang w:eastAsia="en-US"/>
                        </w:rPr>
                        <m:t>F</m:t>
                      </m:r>
                    </m:e>
                    <m:sub>
                      <m:r>
                        <w:rPr>
                          <w:rFonts w:ascii="Cambria Math" w:eastAsia="Calibri" w:hAnsi="Cambria Math"/>
                          <w:sz w:val="22"/>
                          <w:szCs w:val="22"/>
                          <w:lang w:eastAsia="en-US"/>
                        </w:rPr>
                        <m:t>N</m:t>
                      </m:r>
                      <m:r>
                        <w:rPr>
                          <w:rFonts w:ascii="Cambria Math" w:eastAsia="Calibri" w:hAnsi="Cambria Math"/>
                          <w:sz w:val="22"/>
                          <w:szCs w:val="22"/>
                          <w:lang w:val="en-US" w:eastAsia="en-US"/>
                        </w:rPr>
                        <m:t xml:space="preserve">, </m:t>
                      </m:r>
                      <m:r>
                        <w:rPr>
                          <w:rFonts w:ascii="Cambria Math" w:eastAsia="Calibri" w:hAnsi="Cambria Math"/>
                          <w:sz w:val="22"/>
                          <w:szCs w:val="22"/>
                          <w:lang w:eastAsia="en-US"/>
                        </w:rPr>
                        <m:t>benc</m:t>
                      </m:r>
                      <m:r>
                        <w:rPr>
                          <w:rFonts w:ascii="Cambria Math" w:eastAsia="Calibri" w:hAnsi="Cambria Math"/>
                          <w:sz w:val="22"/>
                          <w:szCs w:val="22"/>
                          <w:lang w:val="en-US" w:eastAsia="en-US"/>
                        </w:rPr>
                        <m:t>h</m:t>
                      </m:r>
                      <m:r>
                        <w:rPr>
                          <w:rFonts w:ascii="Cambria Math" w:eastAsia="Calibri" w:hAnsi="Cambria Math"/>
                          <w:sz w:val="22"/>
                          <w:szCs w:val="22"/>
                          <w:lang w:eastAsia="en-US"/>
                        </w:rPr>
                        <m:t>mark</m:t>
                      </m:r>
                      <m:r>
                        <w:rPr>
                          <w:rFonts w:ascii="Cambria Math" w:eastAsia="Calibri" w:hAnsi="Cambria Math"/>
                          <w:sz w:val="22"/>
                          <w:szCs w:val="22"/>
                          <w:lang w:val="en-US" w:eastAsia="en-US"/>
                        </w:rPr>
                        <m:t xml:space="preserve"> 2000</m:t>
                      </m:r>
                    </m:sub>
                    <m:sup>
                      <m:r>
                        <w:rPr>
                          <w:rFonts w:ascii="Cambria Math" w:eastAsia="Calibri" w:hAnsi="Cambria Math"/>
                          <w:sz w:val="22"/>
                          <w:szCs w:val="22"/>
                          <w:lang w:eastAsia="en-US"/>
                        </w:rPr>
                        <m:t>i</m:t>
                      </m:r>
                    </m:sup>
                  </m:sSubSup>
                </m:den>
              </m:f>
            </m:e>
          </m:d>
          <m:r>
            <w:rPr>
              <w:rFonts w:ascii="Cambria Math" w:eastAsia="Calibri" w:hAnsi="Cambria Math"/>
              <w:sz w:val="22"/>
              <w:szCs w:val="22"/>
              <w:lang w:val="en-US" w:eastAsia="en-US"/>
            </w:rPr>
            <m:t>&lt;</m:t>
          </m:r>
          <m:r>
            <m:rPr>
              <m:sty m:val="p"/>
            </m:rPr>
            <w:rPr>
              <w:rFonts w:ascii="Cambria Math" w:eastAsia="Calibri" w:hAnsi="Cambria Math"/>
              <w:sz w:val="22"/>
              <w:szCs w:val="22"/>
              <w:lang w:eastAsia="en-US"/>
            </w:rPr>
            <m:t>Δ</m:t>
          </m:r>
        </m:oMath>
      </m:oMathPara>
    </w:p>
    <w:p w14:paraId="654E8105" w14:textId="77777777" w:rsidR="00973D6F" w:rsidRPr="00973D6F" w:rsidRDefault="00E87ADC" w:rsidP="00973D6F">
      <w:pPr>
        <w:spacing w:after="160" w:line="259" w:lineRule="auto"/>
        <w:ind w:left="1440"/>
        <w:contextualSpacing/>
        <w:jc w:val="both"/>
        <w:rPr>
          <w:rFonts w:ascii="Arial" w:eastAsia="Calibri" w:hAnsi="Arial" w:cs="Arial"/>
          <w:szCs w:val="22"/>
          <w:lang w:val="en-US" w:eastAsia="en-US"/>
        </w:rPr>
      </w:pPr>
      <w:r w:rsidRPr="00E87ADC">
        <w:rPr>
          <w:rFonts w:ascii="Arial" w:eastAsia="Calibri" w:hAnsi="Arial" w:cs="Arial"/>
          <w:szCs w:val="22"/>
          <w:lang w:val="en-US" w:eastAsia="en-US"/>
        </w:rPr>
        <w:lastRenderedPageBreak/>
        <w:t>then we keep the quarterly flows previously estimated</w:t>
      </w:r>
      <w:r w:rsidR="00973D6F" w:rsidRPr="00973D6F">
        <w:rPr>
          <w:rFonts w:ascii="Arial" w:eastAsia="Calibri" w:hAnsi="Arial" w:cs="Arial"/>
          <w:szCs w:val="22"/>
          <w:lang w:val="en-US" w:eastAsia="en-US"/>
        </w:rPr>
        <w:t xml:space="preserve"> : </w:t>
      </w:r>
    </w:p>
    <w:p w14:paraId="0FB892D5" w14:textId="17BFB854" w:rsidR="00973D6F" w:rsidRPr="002E5EEE" w:rsidRDefault="00AC496F" w:rsidP="00973D6F">
      <w:pPr>
        <w:spacing w:after="160" w:line="259" w:lineRule="auto"/>
        <w:jc w:val="center"/>
        <w:rPr>
          <w:rFonts w:ascii="Calibri" w:eastAsia="Calibri" w:hAnsi="Calibri"/>
          <w:sz w:val="22"/>
          <w:szCs w:val="22"/>
          <w:lang w:val="en-US" w:eastAsia="en-US"/>
        </w:rPr>
      </w:pPr>
      <m:oMath>
        <m:sSubSup>
          <m:sSubSupPr>
            <m:ctrlPr>
              <w:rPr>
                <w:rFonts w:ascii="Cambria Math" w:eastAsia="Calibri" w:hAnsi="Cambria Math"/>
                <w:i/>
                <w:sz w:val="22"/>
                <w:szCs w:val="22"/>
                <w:lang w:eastAsia="en-US"/>
              </w:rPr>
            </m:ctrlPr>
          </m:sSubSupPr>
          <m:e>
            <m:r>
              <w:rPr>
                <w:rFonts w:ascii="Cambria Math" w:eastAsia="Calibri" w:hAnsi="Cambria Math"/>
                <w:sz w:val="22"/>
                <w:szCs w:val="22"/>
                <w:lang w:eastAsia="en-US"/>
              </w:rPr>
              <m:t>F</m:t>
            </m:r>
          </m:e>
          <m:sub>
            <m:sSub>
              <m:sSubPr>
                <m:ctrlPr>
                  <w:rPr>
                    <w:rFonts w:ascii="Cambria Math" w:eastAsia="Calibri" w:hAnsi="Cambria Math"/>
                    <w:i/>
                    <w:sz w:val="22"/>
                    <w:szCs w:val="22"/>
                    <w:lang w:eastAsia="en-US"/>
                  </w:rPr>
                </m:ctrlPr>
              </m:sSubPr>
              <m:e>
                <m:r>
                  <w:rPr>
                    <w:rFonts w:ascii="Cambria Math" w:eastAsia="Calibri" w:hAnsi="Cambria Math"/>
                    <w:sz w:val="22"/>
                    <w:szCs w:val="22"/>
                    <w:lang w:eastAsia="en-US"/>
                  </w:rPr>
                  <m:t>Q</m:t>
                </m:r>
              </m:e>
              <m:sub>
                <m:r>
                  <w:rPr>
                    <w:rFonts w:ascii="Cambria Math" w:eastAsia="Calibri" w:hAnsi="Cambria Math"/>
                    <w:sz w:val="22"/>
                    <w:szCs w:val="22"/>
                    <w:lang w:eastAsia="en-US"/>
                  </w:rPr>
                  <m:t>p</m:t>
                </m:r>
              </m:sub>
            </m:sSub>
            <m:r>
              <w:rPr>
                <w:rFonts w:ascii="Cambria Math" w:eastAsia="Calibri" w:hAnsi="Cambria Math"/>
                <w:sz w:val="22"/>
                <w:szCs w:val="22"/>
                <w:lang w:val="en-US" w:eastAsia="en-US"/>
              </w:rPr>
              <m:t>,</m:t>
            </m:r>
            <m:r>
              <w:rPr>
                <w:rFonts w:ascii="Cambria Math" w:eastAsia="Calibri" w:hAnsi="Cambria Math"/>
                <w:sz w:val="22"/>
                <w:szCs w:val="22"/>
                <w:lang w:eastAsia="en-US"/>
              </w:rPr>
              <m:t>N</m:t>
            </m:r>
            <m:r>
              <w:rPr>
                <w:rFonts w:ascii="Cambria Math" w:eastAsia="Calibri" w:hAnsi="Cambria Math"/>
                <w:sz w:val="22"/>
                <w:szCs w:val="22"/>
                <w:lang w:val="en-US" w:eastAsia="en-US"/>
              </w:rPr>
              <m:t xml:space="preserve">, </m:t>
            </m:r>
            <m:r>
              <w:rPr>
                <w:rFonts w:ascii="Cambria Math" w:eastAsia="Calibri" w:hAnsi="Cambria Math"/>
                <w:sz w:val="22"/>
                <w:szCs w:val="22"/>
                <w:lang w:eastAsia="en-US"/>
              </w:rPr>
              <m:t>benc</m:t>
            </m:r>
            <m:r>
              <w:rPr>
                <w:rFonts w:ascii="Cambria Math" w:eastAsia="Calibri" w:hAnsi="Cambria Math"/>
                <w:sz w:val="22"/>
                <w:szCs w:val="22"/>
                <w:lang w:val="en-US" w:eastAsia="en-US"/>
              </w:rPr>
              <m:t>h</m:t>
            </m:r>
            <m:r>
              <w:rPr>
                <w:rFonts w:ascii="Cambria Math" w:eastAsia="Calibri" w:hAnsi="Cambria Math"/>
                <w:sz w:val="22"/>
                <w:szCs w:val="22"/>
                <w:lang w:eastAsia="en-US"/>
              </w:rPr>
              <m:t>mark</m:t>
            </m:r>
            <m:r>
              <w:rPr>
                <w:rFonts w:ascii="Cambria Math" w:eastAsia="Calibri" w:hAnsi="Cambria Math"/>
                <w:sz w:val="22"/>
                <w:szCs w:val="22"/>
                <w:lang w:val="en-US" w:eastAsia="en-US"/>
              </w:rPr>
              <m:t xml:space="preserve"> 2014</m:t>
            </m:r>
          </m:sub>
          <m:sup>
            <m:r>
              <w:rPr>
                <w:rFonts w:ascii="Cambria Math" w:eastAsia="Calibri" w:hAnsi="Cambria Math"/>
                <w:sz w:val="22"/>
                <w:szCs w:val="22"/>
                <w:lang w:eastAsia="en-US"/>
              </w:rPr>
              <m:t>i</m:t>
            </m:r>
          </m:sup>
        </m:sSubSup>
        <m:r>
          <w:rPr>
            <w:rFonts w:ascii="Cambria Math" w:eastAsia="Calibri" w:hAnsi="Cambria Math"/>
            <w:sz w:val="22"/>
            <w:szCs w:val="22"/>
            <w:lang w:val="en-US" w:eastAsia="en-US"/>
          </w:rPr>
          <m:t>=</m:t>
        </m:r>
        <m:sSubSup>
          <m:sSubSupPr>
            <m:ctrlPr>
              <w:rPr>
                <w:rFonts w:ascii="Cambria Math" w:eastAsia="Calibri" w:hAnsi="Cambria Math"/>
                <w:i/>
                <w:sz w:val="22"/>
                <w:szCs w:val="22"/>
                <w:lang w:eastAsia="en-US"/>
              </w:rPr>
            </m:ctrlPr>
          </m:sSubSupPr>
          <m:e>
            <m:acc>
              <m:accPr>
                <m:ctrlPr>
                  <w:rPr>
                    <w:rFonts w:ascii="Cambria Math" w:eastAsia="Calibri" w:hAnsi="Cambria Math"/>
                    <w:i/>
                    <w:sz w:val="22"/>
                    <w:szCs w:val="22"/>
                    <w:lang w:eastAsia="en-US"/>
                  </w:rPr>
                </m:ctrlPr>
              </m:accPr>
              <m:e>
                <m:r>
                  <w:rPr>
                    <w:rFonts w:ascii="Cambria Math" w:eastAsia="Calibri" w:hAnsi="Cambria Math"/>
                    <w:sz w:val="22"/>
                    <w:szCs w:val="22"/>
                    <w:lang w:eastAsia="en-US"/>
                  </w:rPr>
                  <m:t>F</m:t>
                </m:r>
              </m:e>
            </m:acc>
          </m:e>
          <m:sub>
            <m:sSub>
              <m:sSubPr>
                <m:ctrlPr>
                  <w:rPr>
                    <w:rFonts w:ascii="Cambria Math" w:eastAsia="Calibri" w:hAnsi="Cambria Math"/>
                    <w:i/>
                    <w:sz w:val="22"/>
                    <w:szCs w:val="22"/>
                    <w:lang w:eastAsia="en-US"/>
                  </w:rPr>
                </m:ctrlPr>
              </m:sSubPr>
              <m:e>
                <m:r>
                  <w:rPr>
                    <w:rFonts w:ascii="Cambria Math" w:eastAsia="Calibri" w:hAnsi="Cambria Math"/>
                    <w:sz w:val="22"/>
                    <w:szCs w:val="22"/>
                    <w:lang w:eastAsia="en-US"/>
                  </w:rPr>
                  <m:t>Q</m:t>
                </m:r>
              </m:e>
              <m:sub>
                <m:r>
                  <w:rPr>
                    <w:rFonts w:ascii="Cambria Math" w:eastAsia="Calibri" w:hAnsi="Cambria Math"/>
                    <w:sz w:val="22"/>
                    <w:szCs w:val="22"/>
                    <w:lang w:eastAsia="en-US"/>
                  </w:rPr>
                  <m:t>p</m:t>
                </m:r>
              </m:sub>
            </m:sSub>
            <m:r>
              <w:rPr>
                <w:rFonts w:ascii="Cambria Math" w:eastAsia="Calibri" w:hAnsi="Cambria Math"/>
                <w:sz w:val="22"/>
                <w:szCs w:val="22"/>
                <w:lang w:val="en-US" w:eastAsia="en-US"/>
              </w:rPr>
              <m:t>,</m:t>
            </m:r>
            <m:r>
              <w:rPr>
                <w:rFonts w:ascii="Cambria Math" w:eastAsia="Calibri" w:hAnsi="Cambria Math"/>
                <w:sz w:val="22"/>
                <w:szCs w:val="22"/>
                <w:lang w:eastAsia="en-US"/>
              </w:rPr>
              <m:t>N</m:t>
            </m:r>
            <m:r>
              <w:rPr>
                <w:rFonts w:ascii="Cambria Math" w:eastAsia="Calibri" w:hAnsi="Cambria Math"/>
                <w:sz w:val="22"/>
                <w:szCs w:val="22"/>
                <w:lang w:val="en-US" w:eastAsia="en-US"/>
              </w:rPr>
              <m:t xml:space="preserve">, </m:t>
            </m:r>
            <m:r>
              <w:rPr>
                <w:rFonts w:ascii="Cambria Math" w:eastAsia="Calibri" w:hAnsi="Cambria Math"/>
                <w:sz w:val="22"/>
                <w:szCs w:val="22"/>
                <w:lang w:eastAsia="en-US"/>
              </w:rPr>
              <m:t>benc</m:t>
            </m:r>
            <m:r>
              <w:rPr>
                <w:rFonts w:ascii="Cambria Math" w:eastAsia="Calibri" w:hAnsi="Cambria Math"/>
                <w:sz w:val="22"/>
                <w:szCs w:val="22"/>
                <w:lang w:val="en-US" w:eastAsia="en-US"/>
              </w:rPr>
              <m:t>h</m:t>
            </m:r>
            <m:r>
              <w:rPr>
                <w:rFonts w:ascii="Cambria Math" w:eastAsia="Calibri" w:hAnsi="Cambria Math"/>
                <w:sz w:val="22"/>
                <w:szCs w:val="22"/>
                <w:lang w:eastAsia="en-US"/>
              </w:rPr>
              <m:t>mark</m:t>
            </m:r>
            <m:r>
              <w:rPr>
                <w:rFonts w:ascii="Cambria Math" w:eastAsia="Calibri" w:hAnsi="Cambria Math"/>
                <w:sz w:val="22"/>
                <w:szCs w:val="22"/>
                <w:lang w:val="en-US" w:eastAsia="en-US"/>
              </w:rPr>
              <m:t xml:space="preserve"> 2014</m:t>
            </m:r>
          </m:sub>
          <m:sup>
            <m:r>
              <w:rPr>
                <w:rFonts w:ascii="Cambria Math" w:eastAsia="Calibri" w:hAnsi="Cambria Math"/>
                <w:sz w:val="22"/>
                <w:szCs w:val="22"/>
                <w:lang w:eastAsia="en-US"/>
              </w:rPr>
              <m:t>i</m:t>
            </m:r>
          </m:sup>
        </m:sSubSup>
      </m:oMath>
      <w:r w:rsidR="00973D6F" w:rsidRPr="002E5EEE">
        <w:rPr>
          <w:rFonts w:ascii="Calibri" w:eastAsia="Calibri" w:hAnsi="Calibri"/>
          <w:sz w:val="22"/>
          <w:szCs w:val="22"/>
          <w:lang w:val="en-US" w:eastAsia="en-US"/>
        </w:rPr>
        <w:t>.</w:t>
      </w:r>
    </w:p>
    <w:p w14:paraId="36E5AC14" w14:textId="77777777" w:rsidR="00973D6F" w:rsidRPr="002E5EEE" w:rsidRDefault="00360873" w:rsidP="00973D6F">
      <w:pPr>
        <w:spacing w:after="160" w:line="259" w:lineRule="auto"/>
        <w:ind w:left="1440"/>
        <w:contextualSpacing/>
        <w:jc w:val="both"/>
        <w:rPr>
          <w:rFonts w:ascii="Arial" w:hAnsi="Arial" w:cs="Arial"/>
          <w:szCs w:val="22"/>
          <w:lang w:val="en-US" w:eastAsia="en-US"/>
        </w:rPr>
      </w:pPr>
      <w:r w:rsidRPr="002E5EEE">
        <w:rPr>
          <w:rFonts w:ascii="Arial" w:eastAsia="Calibri" w:hAnsi="Arial" w:cs="Arial"/>
          <w:szCs w:val="22"/>
          <w:lang w:val="en-US" w:eastAsia="en-US"/>
        </w:rPr>
        <w:t xml:space="preserve">In practice, we have taken a </w:t>
      </w:r>
      <w:r w:rsidRPr="00360873">
        <w:rPr>
          <w:rFonts w:ascii="Arial" w:eastAsia="Calibri" w:hAnsi="Arial" w:cs="Arial"/>
          <w:szCs w:val="22"/>
          <w:lang w:eastAsia="en-US"/>
        </w:rPr>
        <w:t>Δ</w:t>
      </w:r>
      <w:r w:rsidRPr="002E5EEE">
        <w:rPr>
          <w:rFonts w:ascii="Arial" w:eastAsia="Calibri" w:hAnsi="Arial" w:cs="Arial"/>
          <w:szCs w:val="22"/>
          <w:lang w:val="en-US" w:eastAsia="en-US"/>
        </w:rPr>
        <w:t xml:space="preserve"> threshold of 5%.</w:t>
      </w:r>
    </w:p>
    <w:p w14:paraId="240745AC" w14:textId="77777777" w:rsidR="00973D6F" w:rsidRPr="002E5EEE" w:rsidRDefault="00973D6F" w:rsidP="00973D6F">
      <w:pPr>
        <w:spacing w:after="160" w:line="259" w:lineRule="auto"/>
        <w:ind w:left="1440"/>
        <w:contextualSpacing/>
        <w:jc w:val="both"/>
        <w:rPr>
          <w:rFonts w:ascii="Arial" w:eastAsia="Calibri" w:hAnsi="Arial" w:cs="Arial"/>
          <w:szCs w:val="22"/>
          <w:lang w:val="en-US" w:eastAsia="en-US"/>
        </w:rPr>
      </w:pPr>
    </w:p>
    <w:p w14:paraId="4608991F" w14:textId="7EF328D6" w:rsidR="00973D6F" w:rsidRPr="002E5EEE" w:rsidRDefault="00360873" w:rsidP="00973D6F">
      <w:pPr>
        <w:numPr>
          <w:ilvl w:val="0"/>
          <w:numId w:val="39"/>
        </w:numPr>
        <w:spacing w:after="160" w:line="259" w:lineRule="auto"/>
        <w:contextualSpacing/>
        <w:jc w:val="both"/>
        <w:rPr>
          <w:rFonts w:ascii="Arial" w:eastAsia="Calibri" w:hAnsi="Arial" w:cs="Arial"/>
          <w:szCs w:val="22"/>
          <w:lang w:val="en-US" w:eastAsia="en-US"/>
        </w:rPr>
      </w:pPr>
      <w:r w:rsidRPr="002E5EEE">
        <w:rPr>
          <w:rFonts w:ascii="Arial" w:eastAsia="Calibri" w:hAnsi="Arial" w:cs="Arial"/>
          <w:szCs w:val="22"/>
          <w:lang w:val="en-US" w:eastAsia="en-US"/>
        </w:rPr>
        <w:t xml:space="preserve">For the other sectors, as before, we will make the adjustments necessary to achieve the desired equality on the total, by reallocating to the unfrozen series the difference between the total and the sum of the parts </w:t>
      </w:r>
      <m:oMath>
        <m:d>
          <m:dPr>
            <m:ctrlPr>
              <w:rPr>
                <w:rFonts w:ascii="Cambria Math" w:eastAsia="Calibri" w:hAnsi="Cambria Math"/>
                <w:i/>
                <w:sz w:val="22"/>
                <w:szCs w:val="22"/>
                <w:lang w:eastAsia="en-US"/>
              </w:rPr>
            </m:ctrlPr>
          </m:dPr>
          <m:e>
            <m:sSubSup>
              <m:sSubSupPr>
                <m:ctrlPr>
                  <w:rPr>
                    <w:rFonts w:ascii="Cambria Math" w:eastAsia="Calibri" w:hAnsi="Cambria Math"/>
                    <w:i/>
                    <w:sz w:val="22"/>
                    <w:szCs w:val="22"/>
                    <w:lang w:eastAsia="en-US"/>
                  </w:rPr>
                </m:ctrlPr>
              </m:sSubSupPr>
              <m:e>
                <m:r>
                  <w:rPr>
                    <w:rFonts w:ascii="Cambria Math" w:eastAsia="Calibri" w:hAnsi="Cambria Math"/>
                    <w:sz w:val="22"/>
                    <w:szCs w:val="22"/>
                    <w:lang w:eastAsia="en-US"/>
                  </w:rPr>
                  <m:t>F</m:t>
                </m:r>
              </m:e>
              <m:sub>
                <m:sSub>
                  <m:sSubPr>
                    <m:ctrlPr>
                      <w:rPr>
                        <w:rFonts w:ascii="Cambria Math" w:eastAsia="Calibri" w:hAnsi="Cambria Math"/>
                        <w:i/>
                        <w:sz w:val="22"/>
                        <w:szCs w:val="22"/>
                        <w:lang w:eastAsia="en-US"/>
                      </w:rPr>
                    </m:ctrlPr>
                  </m:sSubPr>
                  <m:e>
                    <m:r>
                      <w:rPr>
                        <w:rFonts w:ascii="Cambria Math" w:eastAsia="Calibri" w:hAnsi="Cambria Math"/>
                        <w:sz w:val="22"/>
                        <w:szCs w:val="22"/>
                        <w:lang w:eastAsia="en-US"/>
                      </w:rPr>
                      <m:t>Q</m:t>
                    </m:r>
                  </m:e>
                  <m:sub>
                    <m:r>
                      <w:rPr>
                        <w:rFonts w:ascii="Cambria Math" w:eastAsia="Calibri" w:hAnsi="Cambria Math"/>
                        <w:sz w:val="22"/>
                        <w:szCs w:val="22"/>
                        <w:lang w:eastAsia="en-US"/>
                      </w:rPr>
                      <m:t>p</m:t>
                    </m:r>
                  </m:sub>
                </m:sSub>
                <m:r>
                  <w:rPr>
                    <w:rFonts w:ascii="Cambria Math" w:eastAsia="Calibri" w:hAnsi="Cambria Math"/>
                    <w:sz w:val="22"/>
                    <w:szCs w:val="22"/>
                    <w:lang w:val="en-US" w:eastAsia="en-US"/>
                  </w:rPr>
                  <m:t>,</m:t>
                </m:r>
                <m:r>
                  <w:rPr>
                    <w:rFonts w:ascii="Cambria Math" w:eastAsia="Calibri" w:hAnsi="Cambria Math"/>
                    <w:sz w:val="22"/>
                    <w:szCs w:val="22"/>
                    <w:lang w:eastAsia="en-US"/>
                  </w:rPr>
                  <m:t>N</m:t>
                </m:r>
                <m:r>
                  <w:rPr>
                    <w:rFonts w:ascii="Cambria Math" w:eastAsia="Calibri" w:hAnsi="Cambria Math"/>
                    <w:sz w:val="22"/>
                    <w:szCs w:val="22"/>
                    <w:lang w:val="en-US" w:eastAsia="en-US"/>
                  </w:rPr>
                  <m:t xml:space="preserve">, </m:t>
                </m:r>
                <m:r>
                  <w:rPr>
                    <w:rFonts w:ascii="Cambria Math" w:eastAsia="Calibri" w:hAnsi="Cambria Math"/>
                    <w:sz w:val="22"/>
                    <w:szCs w:val="22"/>
                    <w:lang w:eastAsia="en-US"/>
                  </w:rPr>
                  <m:t>benc</m:t>
                </m:r>
                <m:r>
                  <w:rPr>
                    <w:rFonts w:ascii="Cambria Math" w:eastAsia="Calibri" w:hAnsi="Cambria Math"/>
                    <w:sz w:val="22"/>
                    <w:szCs w:val="22"/>
                    <w:lang w:val="en-US" w:eastAsia="en-US"/>
                  </w:rPr>
                  <m:t>h</m:t>
                </m:r>
                <m:r>
                  <w:rPr>
                    <w:rFonts w:ascii="Cambria Math" w:eastAsia="Calibri" w:hAnsi="Cambria Math"/>
                    <w:sz w:val="22"/>
                    <w:szCs w:val="22"/>
                    <w:lang w:eastAsia="en-US"/>
                  </w:rPr>
                  <m:t>mark</m:t>
                </m:r>
                <m:r>
                  <w:rPr>
                    <w:rFonts w:ascii="Cambria Math" w:eastAsia="Calibri" w:hAnsi="Cambria Math"/>
                    <w:sz w:val="22"/>
                    <w:szCs w:val="22"/>
                    <w:lang w:val="en-US" w:eastAsia="en-US"/>
                  </w:rPr>
                  <m:t xml:space="preserve"> 2014</m:t>
                </m:r>
              </m:sub>
              <m:sup>
                <m:r>
                  <w:rPr>
                    <w:rFonts w:ascii="Cambria Math" w:eastAsia="Calibri" w:hAnsi="Cambria Math"/>
                    <w:sz w:val="22"/>
                    <w:szCs w:val="22"/>
                    <w:lang w:eastAsia="en-US"/>
                  </w:rPr>
                  <m:t>total</m:t>
                </m:r>
              </m:sup>
            </m:sSubSup>
            <m:r>
              <w:rPr>
                <w:rFonts w:ascii="Cambria Math" w:eastAsia="Calibri" w:hAnsi="Cambria Math"/>
                <w:sz w:val="22"/>
                <w:szCs w:val="22"/>
                <w:lang w:val="en-US" w:eastAsia="en-US"/>
              </w:rPr>
              <m:t>-</m:t>
            </m:r>
            <m:nary>
              <m:naryPr>
                <m:chr m:val="∑"/>
                <m:limLoc m:val="undOvr"/>
                <m:supHide m:val="1"/>
                <m:ctrlPr>
                  <w:rPr>
                    <w:rFonts w:ascii="Cambria Math" w:eastAsia="Calibri" w:hAnsi="Cambria Math"/>
                    <w:i/>
                    <w:sz w:val="22"/>
                    <w:szCs w:val="22"/>
                    <w:lang w:eastAsia="en-US"/>
                  </w:rPr>
                </m:ctrlPr>
              </m:naryPr>
              <m:sub>
                <m:r>
                  <w:rPr>
                    <w:rFonts w:ascii="Cambria Math" w:eastAsia="Calibri" w:hAnsi="Cambria Math"/>
                    <w:sz w:val="22"/>
                    <w:szCs w:val="22"/>
                    <w:lang w:eastAsia="en-US"/>
                  </w:rPr>
                  <m:t>i</m:t>
                </m:r>
                <m:r>
                  <w:rPr>
                    <w:rFonts w:ascii="Cambria Math" w:eastAsia="Calibri" w:hAnsi="Cambria Math"/>
                    <w:sz w:val="22"/>
                    <w:szCs w:val="22"/>
                    <w:lang w:val="en-US" w:eastAsia="en-US"/>
                  </w:rPr>
                  <m:t xml:space="preserve"> </m:t>
                </m:r>
              </m:sub>
              <m:sup/>
              <m:e>
                <m:sSubSup>
                  <m:sSubSupPr>
                    <m:ctrlPr>
                      <w:rPr>
                        <w:rFonts w:ascii="Cambria Math" w:eastAsia="Calibri" w:hAnsi="Cambria Math"/>
                        <w:i/>
                        <w:sz w:val="22"/>
                        <w:szCs w:val="22"/>
                        <w:lang w:eastAsia="en-US"/>
                      </w:rPr>
                    </m:ctrlPr>
                  </m:sSubSupPr>
                  <m:e>
                    <m:r>
                      <w:rPr>
                        <w:rFonts w:ascii="Cambria Math" w:eastAsia="Calibri" w:hAnsi="Cambria Math"/>
                        <w:sz w:val="22"/>
                        <w:szCs w:val="22"/>
                        <w:lang w:eastAsia="en-US"/>
                      </w:rPr>
                      <m:t>F</m:t>
                    </m:r>
                  </m:e>
                  <m:sub>
                    <m:sSub>
                      <m:sSubPr>
                        <m:ctrlPr>
                          <w:rPr>
                            <w:rFonts w:ascii="Cambria Math" w:eastAsia="Calibri" w:hAnsi="Cambria Math"/>
                            <w:i/>
                            <w:sz w:val="22"/>
                            <w:szCs w:val="22"/>
                            <w:lang w:eastAsia="en-US"/>
                          </w:rPr>
                        </m:ctrlPr>
                      </m:sSubPr>
                      <m:e>
                        <m:r>
                          <w:rPr>
                            <w:rFonts w:ascii="Cambria Math" w:eastAsia="Calibri" w:hAnsi="Cambria Math"/>
                            <w:sz w:val="22"/>
                            <w:szCs w:val="22"/>
                            <w:lang w:eastAsia="en-US"/>
                          </w:rPr>
                          <m:t>Q</m:t>
                        </m:r>
                      </m:e>
                      <m:sub>
                        <m:r>
                          <w:rPr>
                            <w:rFonts w:ascii="Cambria Math" w:eastAsia="Calibri" w:hAnsi="Cambria Math"/>
                            <w:sz w:val="22"/>
                            <w:szCs w:val="22"/>
                            <w:lang w:eastAsia="en-US"/>
                          </w:rPr>
                          <m:t>p</m:t>
                        </m:r>
                      </m:sub>
                    </m:sSub>
                    <m:r>
                      <w:rPr>
                        <w:rFonts w:ascii="Cambria Math" w:eastAsia="Calibri" w:hAnsi="Cambria Math"/>
                        <w:sz w:val="22"/>
                        <w:szCs w:val="22"/>
                        <w:lang w:val="en-US" w:eastAsia="en-US"/>
                      </w:rPr>
                      <m:t>,</m:t>
                    </m:r>
                    <m:r>
                      <w:rPr>
                        <w:rFonts w:ascii="Cambria Math" w:eastAsia="Calibri" w:hAnsi="Cambria Math"/>
                        <w:sz w:val="22"/>
                        <w:szCs w:val="22"/>
                        <w:lang w:eastAsia="en-US"/>
                      </w:rPr>
                      <m:t>N</m:t>
                    </m:r>
                    <m:r>
                      <w:rPr>
                        <w:rFonts w:ascii="Cambria Math" w:eastAsia="Calibri" w:hAnsi="Cambria Math"/>
                        <w:sz w:val="22"/>
                        <w:szCs w:val="22"/>
                        <w:lang w:val="en-US" w:eastAsia="en-US"/>
                      </w:rPr>
                      <m:t xml:space="preserve">, </m:t>
                    </m:r>
                    <m:r>
                      <w:rPr>
                        <w:rFonts w:ascii="Cambria Math" w:eastAsia="Calibri" w:hAnsi="Cambria Math"/>
                        <w:sz w:val="22"/>
                        <w:szCs w:val="22"/>
                        <w:lang w:eastAsia="en-US"/>
                      </w:rPr>
                      <m:t>benc</m:t>
                    </m:r>
                    <m:r>
                      <w:rPr>
                        <w:rFonts w:ascii="Cambria Math" w:eastAsia="Calibri" w:hAnsi="Cambria Math"/>
                        <w:sz w:val="22"/>
                        <w:szCs w:val="22"/>
                        <w:lang w:val="en-US" w:eastAsia="en-US"/>
                      </w:rPr>
                      <m:t>h</m:t>
                    </m:r>
                    <m:r>
                      <w:rPr>
                        <w:rFonts w:ascii="Cambria Math" w:eastAsia="Calibri" w:hAnsi="Cambria Math"/>
                        <w:sz w:val="22"/>
                        <w:szCs w:val="22"/>
                        <w:lang w:eastAsia="en-US"/>
                      </w:rPr>
                      <m:t>mark</m:t>
                    </m:r>
                    <m:r>
                      <w:rPr>
                        <w:rFonts w:ascii="Cambria Math" w:eastAsia="Calibri" w:hAnsi="Cambria Math"/>
                        <w:sz w:val="22"/>
                        <w:szCs w:val="22"/>
                        <w:lang w:val="en-US" w:eastAsia="en-US"/>
                      </w:rPr>
                      <m:t xml:space="preserve"> 2014</m:t>
                    </m:r>
                  </m:sub>
                  <m:sup>
                    <m:r>
                      <w:rPr>
                        <w:rFonts w:ascii="Cambria Math" w:eastAsia="Calibri" w:hAnsi="Cambria Math"/>
                        <w:sz w:val="22"/>
                        <w:szCs w:val="22"/>
                        <w:lang w:eastAsia="en-US"/>
                      </w:rPr>
                      <m:t>i</m:t>
                    </m:r>
                  </m:sup>
                </m:sSubSup>
              </m:e>
            </m:nary>
          </m:e>
        </m:d>
      </m:oMath>
      <w:r w:rsidR="00973D6F" w:rsidRPr="002E5EEE">
        <w:rPr>
          <w:rFonts w:ascii="Calibri" w:hAnsi="Calibri"/>
          <w:sz w:val="22"/>
          <w:szCs w:val="22"/>
          <w:lang w:val="en-US" w:eastAsia="en-US"/>
        </w:rPr>
        <w:t xml:space="preserve"> </w:t>
      </w:r>
      <w:r w:rsidRPr="002E5EEE">
        <w:rPr>
          <w:rFonts w:ascii="Arial" w:hAnsi="Arial" w:cs="Arial"/>
          <w:szCs w:val="22"/>
          <w:lang w:val="en-US" w:eastAsia="en-US"/>
        </w:rPr>
        <w:t xml:space="preserve">for each quarter Tp and weighting by the weight of flows between non_fixed series </w:t>
      </w:r>
      <m:oMath>
        <m:f>
          <m:fPr>
            <m:ctrlPr>
              <w:rPr>
                <w:rFonts w:ascii="Cambria Math" w:eastAsia="Calibri" w:hAnsi="Cambria Math"/>
                <w:i/>
                <w:sz w:val="22"/>
                <w:szCs w:val="22"/>
                <w:lang w:eastAsia="en-US"/>
              </w:rPr>
            </m:ctrlPr>
          </m:fPr>
          <m:num>
            <m:d>
              <m:dPr>
                <m:begChr m:val="|"/>
                <m:endChr m:val="|"/>
                <m:ctrlPr>
                  <w:rPr>
                    <w:rFonts w:ascii="Cambria Math" w:eastAsia="Calibri" w:hAnsi="Cambria Math"/>
                    <w:i/>
                    <w:sz w:val="22"/>
                    <w:szCs w:val="22"/>
                    <w:lang w:eastAsia="en-US"/>
                  </w:rPr>
                </m:ctrlPr>
              </m:dPr>
              <m:e>
                <m:sSubSup>
                  <m:sSubSupPr>
                    <m:ctrlPr>
                      <w:rPr>
                        <w:rFonts w:ascii="Cambria Math" w:eastAsia="Calibri" w:hAnsi="Cambria Math"/>
                        <w:i/>
                        <w:sz w:val="22"/>
                        <w:szCs w:val="22"/>
                        <w:lang w:eastAsia="en-US"/>
                      </w:rPr>
                    </m:ctrlPr>
                  </m:sSubSupPr>
                  <m:e>
                    <m:r>
                      <w:rPr>
                        <w:rFonts w:ascii="Cambria Math" w:eastAsia="Calibri" w:hAnsi="Cambria Math"/>
                        <w:sz w:val="22"/>
                        <w:szCs w:val="22"/>
                        <w:lang w:eastAsia="en-US"/>
                      </w:rPr>
                      <m:t>F</m:t>
                    </m:r>
                  </m:e>
                  <m:sub>
                    <m:r>
                      <w:rPr>
                        <w:rFonts w:ascii="Cambria Math" w:eastAsia="Calibri" w:hAnsi="Cambria Math"/>
                        <w:sz w:val="22"/>
                        <w:szCs w:val="22"/>
                        <w:lang w:eastAsia="en-US"/>
                      </w:rPr>
                      <m:t>N</m:t>
                    </m:r>
                    <m:r>
                      <w:rPr>
                        <w:rFonts w:ascii="Cambria Math" w:eastAsia="Calibri" w:hAnsi="Cambria Math"/>
                        <w:sz w:val="22"/>
                        <w:szCs w:val="22"/>
                        <w:lang w:val="en-US" w:eastAsia="en-US"/>
                      </w:rPr>
                      <m:t xml:space="preserve">, </m:t>
                    </m:r>
                    <m:r>
                      <w:rPr>
                        <w:rFonts w:ascii="Cambria Math" w:eastAsia="Calibri" w:hAnsi="Cambria Math"/>
                        <w:sz w:val="22"/>
                        <w:szCs w:val="22"/>
                        <w:lang w:eastAsia="en-US"/>
                      </w:rPr>
                      <m:t>benc</m:t>
                    </m:r>
                    <m:r>
                      <w:rPr>
                        <w:rFonts w:ascii="Cambria Math" w:eastAsia="Calibri" w:hAnsi="Cambria Math"/>
                        <w:sz w:val="22"/>
                        <w:szCs w:val="22"/>
                        <w:lang w:val="en-US" w:eastAsia="en-US"/>
                      </w:rPr>
                      <m:t>h</m:t>
                    </m:r>
                    <m:r>
                      <w:rPr>
                        <w:rFonts w:ascii="Cambria Math" w:eastAsia="Calibri" w:hAnsi="Cambria Math"/>
                        <w:sz w:val="22"/>
                        <w:szCs w:val="22"/>
                        <w:lang w:eastAsia="en-US"/>
                      </w:rPr>
                      <m:t>mark</m:t>
                    </m:r>
                    <m:r>
                      <w:rPr>
                        <w:rFonts w:ascii="Cambria Math" w:eastAsia="Calibri" w:hAnsi="Cambria Math"/>
                        <w:sz w:val="22"/>
                        <w:szCs w:val="22"/>
                        <w:lang w:val="en-US" w:eastAsia="en-US"/>
                      </w:rPr>
                      <m:t xml:space="preserve"> 2014</m:t>
                    </m:r>
                  </m:sub>
                  <m:sup>
                    <m:r>
                      <w:rPr>
                        <w:rFonts w:ascii="Cambria Math" w:eastAsia="Calibri" w:hAnsi="Cambria Math"/>
                        <w:sz w:val="22"/>
                        <w:szCs w:val="22"/>
                        <w:lang w:eastAsia="en-US"/>
                      </w:rPr>
                      <m:t>j</m:t>
                    </m:r>
                  </m:sup>
                </m:sSubSup>
              </m:e>
            </m:d>
          </m:num>
          <m:den>
            <m:nary>
              <m:naryPr>
                <m:chr m:val="∑"/>
                <m:limLoc m:val="undOvr"/>
                <m:supHide m:val="1"/>
                <m:ctrlPr>
                  <w:rPr>
                    <w:rFonts w:ascii="Cambria Math" w:eastAsia="Calibri" w:hAnsi="Cambria Math"/>
                    <w:i/>
                    <w:sz w:val="22"/>
                    <w:szCs w:val="22"/>
                    <w:lang w:eastAsia="en-US"/>
                  </w:rPr>
                </m:ctrlPr>
              </m:naryPr>
              <m:sub>
                <m:r>
                  <w:rPr>
                    <w:rFonts w:ascii="Cambria Math" w:eastAsia="Calibri" w:hAnsi="Cambria Math"/>
                    <w:sz w:val="22"/>
                    <w:szCs w:val="22"/>
                    <w:lang w:eastAsia="en-US"/>
                  </w:rPr>
                  <m:t>k</m:t>
                </m:r>
                <m:r>
                  <w:rPr>
                    <w:rFonts w:ascii="Cambria Math" w:eastAsia="Calibri" w:hAnsi="Cambria Math"/>
                    <w:sz w:val="22"/>
                    <w:szCs w:val="22"/>
                    <w:lang w:val="en-US" w:eastAsia="en-US"/>
                  </w:rPr>
                  <m:t xml:space="preserve"> </m:t>
                </m:r>
                <m:r>
                  <w:rPr>
                    <w:rFonts w:ascii="Cambria Math" w:eastAsia="Calibri" w:hAnsi="Cambria Math"/>
                    <w:sz w:val="22"/>
                    <w:szCs w:val="22"/>
                    <w:lang w:eastAsia="en-US"/>
                  </w:rPr>
                  <m:t>non</m:t>
                </m:r>
                <m:r>
                  <w:rPr>
                    <w:rFonts w:ascii="Cambria Math" w:eastAsia="Calibri" w:hAnsi="Cambria Math"/>
                    <w:sz w:val="22"/>
                    <w:szCs w:val="22"/>
                    <w:lang w:val="en-US" w:eastAsia="en-US"/>
                  </w:rPr>
                  <m:t xml:space="preserve"> </m:t>
                </m:r>
                <m:r>
                  <w:rPr>
                    <w:rFonts w:ascii="Cambria Math" w:eastAsia="Calibri" w:hAnsi="Cambria Math"/>
                    <w:sz w:val="22"/>
                    <w:szCs w:val="22"/>
                    <w:lang w:eastAsia="en-US"/>
                  </w:rPr>
                  <m:t>fig</m:t>
                </m:r>
                <m:r>
                  <w:rPr>
                    <w:rFonts w:ascii="Cambria Math" w:eastAsia="Calibri" w:hAnsi="Cambria Math"/>
                    <w:sz w:val="22"/>
                    <w:szCs w:val="22"/>
                    <w:lang w:val="en-US" w:eastAsia="en-US"/>
                  </w:rPr>
                  <m:t>é</m:t>
                </m:r>
                <m:r>
                  <w:rPr>
                    <w:rFonts w:ascii="Cambria Math" w:eastAsia="Calibri" w:hAnsi="Cambria Math"/>
                    <w:sz w:val="22"/>
                    <w:szCs w:val="22"/>
                    <w:lang w:eastAsia="en-US"/>
                  </w:rPr>
                  <m:t>s</m:t>
                </m:r>
              </m:sub>
              <m:sup/>
              <m:e>
                <m:d>
                  <m:dPr>
                    <m:begChr m:val="|"/>
                    <m:endChr m:val="|"/>
                    <m:ctrlPr>
                      <w:rPr>
                        <w:rFonts w:ascii="Cambria Math" w:eastAsia="Calibri" w:hAnsi="Cambria Math"/>
                        <w:i/>
                        <w:sz w:val="22"/>
                        <w:szCs w:val="22"/>
                        <w:lang w:eastAsia="en-US"/>
                      </w:rPr>
                    </m:ctrlPr>
                  </m:dPr>
                  <m:e>
                    <m:sSubSup>
                      <m:sSubSupPr>
                        <m:ctrlPr>
                          <w:rPr>
                            <w:rFonts w:ascii="Cambria Math" w:eastAsia="Calibri" w:hAnsi="Cambria Math"/>
                            <w:i/>
                            <w:sz w:val="22"/>
                            <w:szCs w:val="22"/>
                            <w:lang w:eastAsia="en-US"/>
                          </w:rPr>
                        </m:ctrlPr>
                      </m:sSubSupPr>
                      <m:e>
                        <m:r>
                          <w:rPr>
                            <w:rFonts w:ascii="Cambria Math" w:eastAsia="Calibri" w:hAnsi="Cambria Math"/>
                            <w:sz w:val="22"/>
                            <w:szCs w:val="22"/>
                            <w:lang w:eastAsia="en-US"/>
                          </w:rPr>
                          <m:t>F</m:t>
                        </m:r>
                      </m:e>
                      <m:sub>
                        <m:r>
                          <w:rPr>
                            <w:rFonts w:ascii="Cambria Math" w:eastAsia="Calibri" w:hAnsi="Cambria Math"/>
                            <w:sz w:val="22"/>
                            <w:szCs w:val="22"/>
                            <w:lang w:eastAsia="en-US"/>
                          </w:rPr>
                          <m:t>N</m:t>
                        </m:r>
                        <m:r>
                          <w:rPr>
                            <w:rFonts w:ascii="Cambria Math" w:eastAsia="Calibri" w:hAnsi="Cambria Math"/>
                            <w:sz w:val="22"/>
                            <w:szCs w:val="22"/>
                            <w:lang w:val="en-US" w:eastAsia="en-US"/>
                          </w:rPr>
                          <m:t xml:space="preserve">, </m:t>
                        </m:r>
                        <m:r>
                          <w:rPr>
                            <w:rFonts w:ascii="Cambria Math" w:eastAsia="Calibri" w:hAnsi="Cambria Math"/>
                            <w:sz w:val="22"/>
                            <w:szCs w:val="22"/>
                            <w:lang w:eastAsia="en-US"/>
                          </w:rPr>
                          <m:t>benc</m:t>
                        </m:r>
                        <m:r>
                          <w:rPr>
                            <w:rFonts w:ascii="Cambria Math" w:eastAsia="Calibri" w:hAnsi="Cambria Math"/>
                            <w:sz w:val="22"/>
                            <w:szCs w:val="22"/>
                            <w:lang w:val="en-US" w:eastAsia="en-US"/>
                          </w:rPr>
                          <m:t>h</m:t>
                        </m:r>
                        <m:r>
                          <w:rPr>
                            <w:rFonts w:ascii="Cambria Math" w:eastAsia="Calibri" w:hAnsi="Cambria Math"/>
                            <w:sz w:val="22"/>
                            <w:szCs w:val="22"/>
                            <w:lang w:eastAsia="en-US"/>
                          </w:rPr>
                          <m:t>mark</m:t>
                        </m:r>
                        <m:r>
                          <w:rPr>
                            <w:rFonts w:ascii="Cambria Math" w:eastAsia="Calibri" w:hAnsi="Cambria Math"/>
                            <w:sz w:val="22"/>
                            <w:szCs w:val="22"/>
                            <w:lang w:val="en-US" w:eastAsia="en-US"/>
                          </w:rPr>
                          <m:t xml:space="preserve"> 2014</m:t>
                        </m:r>
                      </m:sub>
                      <m:sup>
                        <m:r>
                          <w:rPr>
                            <w:rFonts w:ascii="Cambria Math" w:eastAsia="Calibri" w:hAnsi="Cambria Math"/>
                            <w:sz w:val="22"/>
                            <w:szCs w:val="22"/>
                            <w:lang w:eastAsia="en-US"/>
                          </w:rPr>
                          <m:t>k</m:t>
                        </m:r>
                      </m:sup>
                    </m:sSubSup>
                  </m:e>
                </m:d>
              </m:e>
            </m:nary>
          </m:den>
        </m:f>
      </m:oMath>
      <w:r w:rsidR="00973D6F" w:rsidRPr="002E5EEE">
        <w:rPr>
          <w:rFonts w:ascii="Calibri" w:eastAsia="Calibri" w:hAnsi="Calibri"/>
          <w:sz w:val="22"/>
          <w:szCs w:val="22"/>
          <w:lang w:val="en-US" w:eastAsia="en-US"/>
        </w:rPr>
        <w:t xml:space="preserve"> </w:t>
      </w:r>
      <w:r w:rsidRPr="002E5EEE">
        <w:rPr>
          <w:rFonts w:ascii="Arial" w:eastAsia="Calibri" w:hAnsi="Arial" w:cs="Arial"/>
          <w:szCs w:val="22"/>
          <w:lang w:val="en-US" w:eastAsia="en-US"/>
        </w:rPr>
        <w:t>(taking absolute values to account for the fact that flows can be negative) :</w:t>
      </w:r>
    </w:p>
    <w:p w14:paraId="52E71898" w14:textId="2C8EC76F" w:rsidR="00973D6F" w:rsidRPr="00973D6F" w:rsidRDefault="00AC496F" w:rsidP="00973D6F">
      <w:pPr>
        <w:spacing w:after="160" w:line="259" w:lineRule="auto"/>
        <w:jc w:val="both"/>
        <w:rPr>
          <w:rFonts w:ascii="Calibri" w:hAnsi="Calibri"/>
          <w:sz w:val="22"/>
          <w:szCs w:val="22"/>
          <w:lang w:eastAsia="en-US"/>
        </w:rPr>
      </w:pPr>
      <m:oMathPara>
        <m:oMath>
          <m:sSubSup>
            <m:sSubSupPr>
              <m:ctrlPr>
                <w:rPr>
                  <w:rFonts w:ascii="Cambria Math" w:eastAsia="Calibri" w:hAnsi="Cambria Math"/>
                  <w:i/>
                  <w:sz w:val="22"/>
                  <w:szCs w:val="22"/>
                  <w:lang w:eastAsia="en-US"/>
                </w:rPr>
              </m:ctrlPr>
            </m:sSubSupPr>
            <m:e>
              <m:r>
                <w:rPr>
                  <w:rFonts w:ascii="Cambria Math" w:eastAsia="Calibri" w:hAnsi="Cambria Math"/>
                  <w:sz w:val="22"/>
                  <w:szCs w:val="22"/>
                  <w:lang w:eastAsia="en-US"/>
                </w:rPr>
                <m:t>F</m:t>
              </m:r>
            </m:e>
            <m:sub>
              <m:sSub>
                <m:sSubPr>
                  <m:ctrlPr>
                    <w:rPr>
                      <w:rFonts w:ascii="Cambria Math" w:eastAsia="Calibri" w:hAnsi="Cambria Math"/>
                      <w:i/>
                      <w:sz w:val="22"/>
                      <w:szCs w:val="22"/>
                      <w:lang w:eastAsia="en-US"/>
                    </w:rPr>
                  </m:ctrlPr>
                </m:sSubPr>
                <m:e>
                  <m:r>
                    <w:rPr>
                      <w:rFonts w:ascii="Cambria Math" w:eastAsia="Calibri" w:hAnsi="Cambria Math"/>
                      <w:sz w:val="22"/>
                      <w:szCs w:val="22"/>
                      <w:lang w:eastAsia="en-US"/>
                    </w:rPr>
                    <m:t>Q</m:t>
                  </m:r>
                </m:e>
                <m:sub>
                  <m:r>
                    <w:rPr>
                      <w:rFonts w:ascii="Cambria Math" w:eastAsia="Calibri" w:hAnsi="Cambria Math"/>
                      <w:sz w:val="22"/>
                      <w:szCs w:val="22"/>
                      <w:lang w:eastAsia="en-US"/>
                    </w:rPr>
                    <m:t>p</m:t>
                  </m:r>
                </m:sub>
              </m:sSub>
              <m:r>
                <w:rPr>
                  <w:rFonts w:ascii="Cambria Math" w:eastAsia="Calibri" w:hAnsi="Cambria Math"/>
                  <w:sz w:val="22"/>
                  <w:szCs w:val="22"/>
                  <w:lang w:eastAsia="en-US"/>
                </w:rPr>
                <m:t>,N, benchmark 2014</m:t>
              </m:r>
            </m:sub>
            <m:sup>
              <m:r>
                <w:rPr>
                  <w:rFonts w:ascii="Cambria Math" w:eastAsia="Calibri" w:hAnsi="Cambria Math"/>
                  <w:sz w:val="22"/>
                  <w:szCs w:val="22"/>
                  <w:lang w:eastAsia="en-US"/>
                </w:rPr>
                <m:t>j</m:t>
              </m:r>
            </m:sup>
          </m:sSubSup>
          <m:r>
            <w:rPr>
              <w:rFonts w:ascii="Cambria Math" w:eastAsia="Calibri" w:hAnsi="Cambria Math"/>
              <w:sz w:val="22"/>
              <w:szCs w:val="22"/>
              <w:lang w:eastAsia="en-US"/>
            </w:rPr>
            <m:t>=</m:t>
          </m:r>
          <m:sSubSup>
            <m:sSubSupPr>
              <m:ctrlPr>
                <w:rPr>
                  <w:rFonts w:ascii="Cambria Math" w:eastAsia="Calibri" w:hAnsi="Cambria Math"/>
                  <w:i/>
                  <w:sz w:val="22"/>
                  <w:szCs w:val="22"/>
                  <w:lang w:eastAsia="en-US"/>
                </w:rPr>
              </m:ctrlPr>
            </m:sSubSupPr>
            <m:e>
              <m:acc>
                <m:accPr>
                  <m:ctrlPr>
                    <w:rPr>
                      <w:rFonts w:ascii="Cambria Math" w:eastAsia="Calibri" w:hAnsi="Cambria Math"/>
                      <w:i/>
                      <w:sz w:val="22"/>
                      <w:szCs w:val="22"/>
                      <w:lang w:eastAsia="en-US"/>
                    </w:rPr>
                  </m:ctrlPr>
                </m:accPr>
                <m:e>
                  <m:r>
                    <w:rPr>
                      <w:rFonts w:ascii="Cambria Math" w:eastAsia="Calibri" w:hAnsi="Cambria Math"/>
                      <w:sz w:val="22"/>
                      <w:szCs w:val="22"/>
                      <w:lang w:eastAsia="en-US"/>
                    </w:rPr>
                    <m:t>F</m:t>
                  </m:r>
                </m:e>
              </m:acc>
            </m:e>
            <m:sub>
              <m:sSub>
                <m:sSubPr>
                  <m:ctrlPr>
                    <w:rPr>
                      <w:rFonts w:ascii="Cambria Math" w:eastAsia="Calibri" w:hAnsi="Cambria Math"/>
                      <w:i/>
                      <w:sz w:val="22"/>
                      <w:szCs w:val="22"/>
                      <w:lang w:eastAsia="en-US"/>
                    </w:rPr>
                  </m:ctrlPr>
                </m:sSubPr>
                <m:e>
                  <m:r>
                    <w:rPr>
                      <w:rFonts w:ascii="Cambria Math" w:eastAsia="Calibri" w:hAnsi="Cambria Math"/>
                      <w:sz w:val="22"/>
                      <w:szCs w:val="22"/>
                      <w:lang w:eastAsia="en-US"/>
                    </w:rPr>
                    <m:t>Q</m:t>
                  </m:r>
                </m:e>
                <m:sub>
                  <m:r>
                    <w:rPr>
                      <w:rFonts w:ascii="Cambria Math" w:eastAsia="Calibri" w:hAnsi="Cambria Math"/>
                      <w:sz w:val="22"/>
                      <w:szCs w:val="22"/>
                      <w:lang w:eastAsia="en-US"/>
                    </w:rPr>
                    <m:t>p</m:t>
                  </m:r>
                </m:sub>
              </m:sSub>
              <m:r>
                <w:rPr>
                  <w:rFonts w:ascii="Cambria Math" w:eastAsia="Calibri" w:hAnsi="Cambria Math"/>
                  <w:sz w:val="22"/>
                  <w:szCs w:val="22"/>
                  <w:lang w:eastAsia="en-US"/>
                </w:rPr>
                <m:t>,N, benchmark 2014</m:t>
              </m:r>
            </m:sub>
            <m:sup>
              <m:r>
                <w:rPr>
                  <w:rFonts w:ascii="Cambria Math" w:eastAsia="Calibri" w:hAnsi="Cambria Math"/>
                  <w:sz w:val="22"/>
                  <w:szCs w:val="22"/>
                  <w:lang w:eastAsia="en-US"/>
                </w:rPr>
                <m:t>j</m:t>
              </m:r>
            </m:sup>
          </m:sSubSup>
          <m:r>
            <w:rPr>
              <w:rFonts w:ascii="Cambria Math" w:eastAsia="Calibri" w:hAnsi="Cambria Math"/>
              <w:sz w:val="22"/>
              <w:szCs w:val="22"/>
              <w:lang w:eastAsia="en-US"/>
            </w:rPr>
            <m:t xml:space="preserve">+ </m:t>
          </m:r>
          <m:f>
            <m:fPr>
              <m:ctrlPr>
                <w:rPr>
                  <w:rFonts w:ascii="Cambria Math" w:eastAsia="Calibri" w:hAnsi="Cambria Math"/>
                  <w:i/>
                  <w:sz w:val="22"/>
                  <w:szCs w:val="22"/>
                  <w:lang w:eastAsia="en-US"/>
                </w:rPr>
              </m:ctrlPr>
            </m:fPr>
            <m:num>
              <m:d>
                <m:dPr>
                  <m:begChr m:val="|"/>
                  <m:endChr m:val="|"/>
                  <m:ctrlPr>
                    <w:rPr>
                      <w:rFonts w:ascii="Cambria Math" w:eastAsia="Calibri" w:hAnsi="Cambria Math"/>
                      <w:i/>
                      <w:sz w:val="22"/>
                      <w:szCs w:val="22"/>
                      <w:lang w:eastAsia="en-US"/>
                    </w:rPr>
                  </m:ctrlPr>
                </m:dPr>
                <m:e>
                  <m:sSubSup>
                    <m:sSubSupPr>
                      <m:ctrlPr>
                        <w:rPr>
                          <w:rFonts w:ascii="Cambria Math" w:eastAsia="Calibri" w:hAnsi="Cambria Math"/>
                          <w:i/>
                          <w:sz w:val="22"/>
                          <w:szCs w:val="22"/>
                          <w:lang w:eastAsia="en-US"/>
                        </w:rPr>
                      </m:ctrlPr>
                    </m:sSubSupPr>
                    <m:e>
                      <m:r>
                        <w:rPr>
                          <w:rFonts w:ascii="Cambria Math" w:eastAsia="Calibri" w:hAnsi="Cambria Math"/>
                          <w:sz w:val="22"/>
                          <w:szCs w:val="22"/>
                          <w:lang w:eastAsia="en-US"/>
                        </w:rPr>
                        <m:t>F</m:t>
                      </m:r>
                    </m:e>
                    <m:sub>
                      <m:r>
                        <w:rPr>
                          <w:rFonts w:ascii="Cambria Math" w:eastAsia="Calibri" w:hAnsi="Cambria Math"/>
                          <w:sz w:val="22"/>
                          <w:szCs w:val="22"/>
                          <w:lang w:eastAsia="en-US"/>
                        </w:rPr>
                        <m:t>N, benchmark 2014</m:t>
                      </m:r>
                    </m:sub>
                    <m:sup>
                      <m:r>
                        <w:rPr>
                          <w:rFonts w:ascii="Cambria Math" w:eastAsia="Calibri" w:hAnsi="Cambria Math"/>
                          <w:sz w:val="22"/>
                          <w:szCs w:val="22"/>
                          <w:lang w:eastAsia="en-US"/>
                        </w:rPr>
                        <m:t>j</m:t>
                      </m:r>
                    </m:sup>
                  </m:sSubSup>
                </m:e>
              </m:d>
            </m:num>
            <m:den>
              <m:nary>
                <m:naryPr>
                  <m:chr m:val="∑"/>
                  <m:limLoc m:val="undOvr"/>
                  <m:supHide m:val="1"/>
                  <m:ctrlPr>
                    <w:rPr>
                      <w:rFonts w:ascii="Cambria Math" w:eastAsia="Calibri" w:hAnsi="Cambria Math"/>
                      <w:i/>
                      <w:sz w:val="22"/>
                      <w:szCs w:val="22"/>
                      <w:lang w:eastAsia="en-US"/>
                    </w:rPr>
                  </m:ctrlPr>
                </m:naryPr>
                <m:sub>
                  <m:r>
                    <w:rPr>
                      <w:rFonts w:ascii="Cambria Math" w:eastAsia="Calibri" w:hAnsi="Cambria Math"/>
                      <w:sz w:val="22"/>
                      <w:szCs w:val="22"/>
                      <w:lang w:eastAsia="en-US"/>
                    </w:rPr>
                    <m:t>k non figés</m:t>
                  </m:r>
                </m:sub>
                <m:sup/>
                <m:e>
                  <m:d>
                    <m:dPr>
                      <m:begChr m:val="|"/>
                      <m:endChr m:val="|"/>
                      <m:ctrlPr>
                        <w:rPr>
                          <w:rFonts w:ascii="Cambria Math" w:eastAsia="Calibri" w:hAnsi="Cambria Math"/>
                          <w:i/>
                          <w:sz w:val="22"/>
                          <w:szCs w:val="22"/>
                          <w:lang w:eastAsia="en-US"/>
                        </w:rPr>
                      </m:ctrlPr>
                    </m:dPr>
                    <m:e>
                      <m:sSubSup>
                        <m:sSubSupPr>
                          <m:ctrlPr>
                            <w:rPr>
                              <w:rFonts w:ascii="Cambria Math" w:eastAsia="Calibri" w:hAnsi="Cambria Math"/>
                              <w:i/>
                              <w:sz w:val="22"/>
                              <w:szCs w:val="22"/>
                              <w:lang w:eastAsia="en-US"/>
                            </w:rPr>
                          </m:ctrlPr>
                        </m:sSubSupPr>
                        <m:e>
                          <m:r>
                            <w:rPr>
                              <w:rFonts w:ascii="Cambria Math" w:eastAsia="Calibri" w:hAnsi="Cambria Math"/>
                              <w:sz w:val="22"/>
                              <w:szCs w:val="22"/>
                              <w:lang w:eastAsia="en-US"/>
                            </w:rPr>
                            <m:t>F</m:t>
                          </m:r>
                        </m:e>
                        <m:sub>
                          <m:r>
                            <w:rPr>
                              <w:rFonts w:ascii="Cambria Math" w:eastAsia="Calibri" w:hAnsi="Cambria Math"/>
                              <w:sz w:val="22"/>
                              <w:szCs w:val="22"/>
                              <w:lang w:eastAsia="en-US"/>
                            </w:rPr>
                            <m:t>N, benchmark 2014</m:t>
                          </m:r>
                        </m:sub>
                        <m:sup>
                          <m:r>
                            <w:rPr>
                              <w:rFonts w:ascii="Cambria Math" w:eastAsia="Calibri" w:hAnsi="Cambria Math"/>
                              <w:sz w:val="22"/>
                              <w:szCs w:val="22"/>
                              <w:lang w:eastAsia="en-US"/>
                            </w:rPr>
                            <m:t>k</m:t>
                          </m:r>
                        </m:sup>
                      </m:sSubSup>
                    </m:e>
                  </m:d>
                </m:e>
              </m:nary>
            </m:den>
          </m:f>
          <m:d>
            <m:dPr>
              <m:ctrlPr>
                <w:rPr>
                  <w:rFonts w:ascii="Cambria Math" w:eastAsia="Calibri" w:hAnsi="Cambria Math"/>
                  <w:i/>
                  <w:sz w:val="22"/>
                  <w:szCs w:val="22"/>
                  <w:lang w:eastAsia="en-US"/>
                </w:rPr>
              </m:ctrlPr>
            </m:dPr>
            <m:e>
              <m:sSubSup>
                <m:sSubSupPr>
                  <m:ctrlPr>
                    <w:rPr>
                      <w:rFonts w:ascii="Cambria Math" w:eastAsia="Calibri" w:hAnsi="Cambria Math"/>
                      <w:i/>
                      <w:sz w:val="22"/>
                      <w:szCs w:val="22"/>
                      <w:lang w:eastAsia="en-US"/>
                    </w:rPr>
                  </m:ctrlPr>
                </m:sSubSupPr>
                <m:e>
                  <m:acc>
                    <m:accPr>
                      <m:ctrlPr>
                        <w:rPr>
                          <w:rFonts w:ascii="Cambria Math" w:eastAsia="Calibri" w:hAnsi="Cambria Math"/>
                          <w:i/>
                          <w:sz w:val="22"/>
                          <w:szCs w:val="22"/>
                          <w:lang w:eastAsia="en-US"/>
                        </w:rPr>
                      </m:ctrlPr>
                    </m:accPr>
                    <m:e>
                      <m:r>
                        <w:rPr>
                          <w:rFonts w:ascii="Cambria Math" w:eastAsia="Calibri" w:hAnsi="Cambria Math"/>
                          <w:sz w:val="22"/>
                          <w:szCs w:val="22"/>
                          <w:lang w:eastAsia="en-US"/>
                        </w:rPr>
                        <m:t>F</m:t>
                      </m:r>
                    </m:e>
                  </m:acc>
                </m:e>
                <m:sub>
                  <m:sSub>
                    <m:sSubPr>
                      <m:ctrlPr>
                        <w:rPr>
                          <w:rFonts w:ascii="Cambria Math" w:eastAsia="Calibri" w:hAnsi="Cambria Math"/>
                          <w:i/>
                          <w:sz w:val="22"/>
                          <w:szCs w:val="22"/>
                          <w:lang w:eastAsia="en-US"/>
                        </w:rPr>
                      </m:ctrlPr>
                    </m:sSubPr>
                    <m:e>
                      <m:r>
                        <w:rPr>
                          <w:rFonts w:ascii="Cambria Math" w:eastAsia="Calibri" w:hAnsi="Cambria Math"/>
                          <w:sz w:val="22"/>
                          <w:szCs w:val="22"/>
                          <w:lang w:eastAsia="en-US"/>
                        </w:rPr>
                        <m:t>Q</m:t>
                      </m:r>
                    </m:e>
                    <m:sub>
                      <m:r>
                        <w:rPr>
                          <w:rFonts w:ascii="Cambria Math" w:eastAsia="Calibri" w:hAnsi="Cambria Math"/>
                          <w:sz w:val="22"/>
                          <w:szCs w:val="22"/>
                          <w:lang w:eastAsia="en-US"/>
                        </w:rPr>
                        <m:t>p</m:t>
                      </m:r>
                    </m:sub>
                  </m:sSub>
                  <m:r>
                    <w:rPr>
                      <w:rFonts w:ascii="Cambria Math" w:eastAsia="Calibri" w:hAnsi="Cambria Math"/>
                      <w:sz w:val="22"/>
                      <w:szCs w:val="22"/>
                      <w:lang w:eastAsia="en-US"/>
                    </w:rPr>
                    <m:t>,N, benchmark 2014</m:t>
                  </m:r>
                </m:sub>
                <m:sup>
                  <m:r>
                    <w:rPr>
                      <w:rFonts w:ascii="Cambria Math" w:eastAsia="Calibri" w:hAnsi="Cambria Math"/>
                      <w:sz w:val="22"/>
                      <w:szCs w:val="22"/>
                      <w:lang w:eastAsia="en-US"/>
                    </w:rPr>
                    <m:t>total</m:t>
                  </m:r>
                </m:sup>
              </m:sSubSup>
              <m:r>
                <w:rPr>
                  <w:rFonts w:ascii="Cambria Math" w:eastAsia="Calibri" w:hAnsi="Cambria Math"/>
                  <w:sz w:val="22"/>
                  <w:szCs w:val="22"/>
                  <w:lang w:eastAsia="en-US"/>
                </w:rPr>
                <m:t>-</m:t>
              </m:r>
              <m:nary>
                <m:naryPr>
                  <m:chr m:val="∑"/>
                  <m:limLoc m:val="undOvr"/>
                  <m:supHide m:val="1"/>
                  <m:ctrlPr>
                    <w:rPr>
                      <w:rFonts w:ascii="Cambria Math" w:eastAsia="Calibri" w:hAnsi="Cambria Math"/>
                      <w:i/>
                      <w:sz w:val="22"/>
                      <w:szCs w:val="22"/>
                      <w:lang w:eastAsia="en-US"/>
                    </w:rPr>
                  </m:ctrlPr>
                </m:naryPr>
                <m:sub>
                  <m:r>
                    <w:rPr>
                      <w:rFonts w:ascii="Cambria Math" w:eastAsia="Calibri" w:hAnsi="Cambria Math"/>
                      <w:sz w:val="22"/>
                      <w:szCs w:val="22"/>
                      <w:lang w:eastAsia="en-US"/>
                    </w:rPr>
                    <m:t xml:space="preserve">i </m:t>
                  </m:r>
                </m:sub>
                <m:sup/>
                <m:e>
                  <m:sSubSup>
                    <m:sSubSupPr>
                      <m:ctrlPr>
                        <w:rPr>
                          <w:rFonts w:ascii="Cambria Math" w:eastAsia="Calibri" w:hAnsi="Cambria Math"/>
                          <w:i/>
                          <w:sz w:val="22"/>
                          <w:szCs w:val="22"/>
                          <w:lang w:eastAsia="en-US"/>
                        </w:rPr>
                      </m:ctrlPr>
                    </m:sSubSupPr>
                    <m:e>
                      <m:acc>
                        <m:accPr>
                          <m:ctrlPr>
                            <w:rPr>
                              <w:rFonts w:ascii="Cambria Math" w:eastAsia="Calibri" w:hAnsi="Cambria Math"/>
                              <w:i/>
                              <w:sz w:val="22"/>
                              <w:szCs w:val="22"/>
                              <w:lang w:eastAsia="en-US"/>
                            </w:rPr>
                          </m:ctrlPr>
                        </m:accPr>
                        <m:e>
                          <m:r>
                            <w:rPr>
                              <w:rFonts w:ascii="Cambria Math" w:eastAsia="Calibri" w:hAnsi="Cambria Math"/>
                              <w:sz w:val="22"/>
                              <w:szCs w:val="22"/>
                              <w:lang w:eastAsia="en-US"/>
                            </w:rPr>
                            <m:t>F</m:t>
                          </m:r>
                        </m:e>
                      </m:acc>
                    </m:e>
                    <m:sub>
                      <m:sSub>
                        <m:sSubPr>
                          <m:ctrlPr>
                            <w:rPr>
                              <w:rFonts w:ascii="Cambria Math" w:eastAsia="Calibri" w:hAnsi="Cambria Math"/>
                              <w:i/>
                              <w:sz w:val="22"/>
                              <w:szCs w:val="22"/>
                              <w:lang w:eastAsia="en-US"/>
                            </w:rPr>
                          </m:ctrlPr>
                        </m:sSubPr>
                        <m:e>
                          <m:r>
                            <w:rPr>
                              <w:rFonts w:ascii="Cambria Math" w:eastAsia="Calibri" w:hAnsi="Cambria Math"/>
                              <w:sz w:val="22"/>
                              <w:szCs w:val="22"/>
                              <w:lang w:eastAsia="en-US"/>
                            </w:rPr>
                            <m:t>Q</m:t>
                          </m:r>
                        </m:e>
                        <m:sub>
                          <m:r>
                            <w:rPr>
                              <w:rFonts w:ascii="Cambria Math" w:eastAsia="Calibri" w:hAnsi="Cambria Math"/>
                              <w:sz w:val="22"/>
                              <w:szCs w:val="22"/>
                              <w:lang w:eastAsia="en-US"/>
                            </w:rPr>
                            <m:t>p</m:t>
                          </m:r>
                        </m:sub>
                      </m:sSub>
                      <m:r>
                        <w:rPr>
                          <w:rFonts w:ascii="Cambria Math" w:eastAsia="Calibri" w:hAnsi="Cambria Math"/>
                          <w:sz w:val="22"/>
                          <w:szCs w:val="22"/>
                          <w:lang w:eastAsia="en-US"/>
                        </w:rPr>
                        <m:t>,N, benchmark 2014</m:t>
                      </m:r>
                    </m:sub>
                    <m:sup>
                      <m:r>
                        <w:rPr>
                          <w:rFonts w:ascii="Cambria Math" w:eastAsia="Calibri" w:hAnsi="Cambria Math"/>
                          <w:sz w:val="22"/>
                          <w:szCs w:val="22"/>
                          <w:lang w:eastAsia="en-US"/>
                        </w:rPr>
                        <m:t>i</m:t>
                      </m:r>
                    </m:sup>
                  </m:sSubSup>
                </m:e>
              </m:nary>
            </m:e>
          </m:d>
        </m:oMath>
      </m:oMathPara>
    </w:p>
    <w:p w14:paraId="06A7735D" w14:textId="77777777" w:rsidR="00973D6F" w:rsidRPr="002E5EEE" w:rsidRDefault="00360873" w:rsidP="00973D6F">
      <w:pPr>
        <w:spacing w:after="160" w:line="259" w:lineRule="auto"/>
        <w:ind w:left="1440"/>
        <w:contextualSpacing/>
        <w:jc w:val="both"/>
        <w:rPr>
          <w:rFonts w:ascii="Arial" w:eastAsia="Calibri" w:hAnsi="Arial" w:cs="Arial"/>
          <w:szCs w:val="22"/>
          <w:lang w:val="en-US" w:eastAsia="en-US"/>
        </w:rPr>
      </w:pPr>
      <w:r w:rsidRPr="002E5EEE">
        <w:rPr>
          <w:rFonts w:ascii="Arial" w:eastAsia="Calibri" w:hAnsi="Arial" w:cs="Arial"/>
          <w:szCs w:val="22"/>
          <w:lang w:val="en-US" w:eastAsia="en-US"/>
        </w:rPr>
        <w:t>For the breakdown between non-fixed series, it should be noted that we have chosen weights based on annual series and not quarterly series, in order to apply the same weight to each quarter and thus not break the equality between annual and quarterly flows, bearing in mind that we naturally have</w:t>
      </w:r>
      <w:r w:rsidR="00973D6F" w:rsidRPr="002E5EEE">
        <w:rPr>
          <w:rFonts w:ascii="Arial" w:eastAsia="Calibri" w:hAnsi="Arial" w:cs="Arial"/>
          <w:szCs w:val="22"/>
          <w:lang w:val="en-US" w:eastAsia="en-US"/>
        </w:rPr>
        <w:t xml:space="preserve"> </w:t>
      </w:r>
    </w:p>
    <w:p w14:paraId="610158BA" w14:textId="3DF20D19" w:rsidR="00973D6F" w:rsidRPr="00973D6F" w:rsidRDefault="00AC496F" w:rsidP="00973D6F">
      <w:pPr>
        <w:spacing w:after="160" w:line="259" w:lineRule="auto"/>
        <w:ind w:left="1440"/>
        <w:contextualSpacing/>
        <w:jc w:val="both"/>
        <w:rPr>
          <w:rFonts w:ascii="Calibri" w:eastAsia="Calibri" w:hAnsi="Calibri"/>
          <w:sz w:val="22"/>
          <w:szCs w:val="22"/>
          <w:lang w:eastAsia="en-US"/>
        </w:rPr>
      </w:pPr>
      <m:oMathPara>
        <m:oMath>
          <m:nary>
            <m:naryPr>
              <m:chr m:val="∑"/>
              <m:limLoc m:val="subSup"/>
              <m:supHide m:val="1"/>
              <m:ctrlPr>
                <w:rPr>
                  <w:rFonts w:ascii="Cambria Math" w:eastAsia="Calibri" w:hAnsi="Cambria Math"/>
                  <w:i/>
                  <w:sz w:val="22"/>
                  <w:szCs w:val="22"/>
                  <w:lang w:eastAsia="en-US"/>
                </w:rPr>
              </m:ctrlPr>
            </m:naryPr>
            <m:sub>
              <m:r>
                <w:rPr>
                  <w:rFonts w:ascii="Cambria Math" w:eastAsia="Calibri" w:hAnsi="Cambria Math"/>
                  <w:sz w:val="22"/>
                  <w:szCs w:val="22"/>
                  <w:lang w:eastAsia="en-US"/>
                </w:rPr>
                <m:t>the 4 quarters p</m:t>
              </m:r>
            </m:sub>
            <m:sup/>
            <m:e>
              <m:d>
                <m:dPr>
                  <m:ctrlPr>
                    <w:rPr>
                      <w:rFonts w:ascii="Cambria Math" w:eastAsia="Calibri" w:hAnsi="Cambria Math"/>
                      <w:i/>
                      <w:sz w:val="22"/>
                      <w:szCs w:val="22"/>
                      <w:lang w:eastAsia="en-US"/>
                    </w:rPr>
                  </m:ctrlPr>
                </m:dPr>
                <m:e>
                  <m:sSubSup>
                    <m:sSubSupPr>
                      <m:ctrlPr>
                        <w:rPr>
                          <w:rFonts w:ascii="Cambria Math" w:eastAsia="Calibri" w:hAnsi="Cambria Math"/>
                          <w:i/>
                          <w:sz w:val="22"/>
                          <w:szCs w:val="22"/>
                          <w:lang w:eastAsia="en-US"/>
                        </w:rPr>
                      </m:ctrlPr>
                    </m:sSubSupPr>
                    <m:e>
                      <m:acc>
                        <m:accPr>
                          <m:ctrlPr>
                            <w:rPr>
                              <w:rFonts w:ascii="Cambria Math" w:eastAsia="Calibri" w:hAnsi="Cambria Math"/>
                              <w:i/>
                              <w:sz w:val="22"/>
                              <w:szCs w:val="22"/>
                              <w:lang w:eastAsia="en-US"/>
                            </w:rPr>
                          </m:ctrlPr>
                        </m:accPr>
                        <m:e>
                          <m:r>
                            <w:rPr>
                              <w:rFonts w:ascii="Cambria Math" w:eastAsia="Calibri" w:hAnsi="Cambria Math"/>
                              <w:sz w:val="22"/>
                              <w:szCs w:val="22"/>
                              <w:lang w:eastAsia="en-US"/>
                            </w:rPr>
                            <m:t>F</m:t>
                          </m:r>
                        </m:e>
                      </m:acc>
                    </m:e>
                    <m:sub>
                      <m:sSub>
                        <m:sSubPr>
                          <m:ctrlPr>
                            <w:rPr>
                              <w:rFonts w:ascii="Cambria Math" w:eastAsia="Calibri" w:hAnsi="Cambria Math"/>
                              <w:i/>
                              <w:sz w:val="22"/>
                              <w:szCs w:val="22"/>
                              <w:lang w:eastAsia="en-US"/>
                            </w:rPr>
                          </m:ctrlPr>
                        </m:sSubPr>
                        <m:e>
                          <m:r>
                            <w:rPr>
                              <w:rFonts w:ascii="Cambria Math" w:eastAsia="Calibri" w:hAnsi="Cambria Math"/>
                              <w:sz w:val="22"/>
                              <w:szCs w:val="22"/>
                              <w:lang w:eastAsia="en-US"/>
                            </w:rPr>
                            <m:t>Q</m:t>
                          </m:r>
                        </m:e>
                        <m:sub>
                          <m:r>
                            <w:rPr>
                              <w:rFonts w:ascii="Cambria Math" w:eastAsia="Calibri" w:hAnsi="Cambria Math"/>
                              <w:sz w:val="22"/>
                              <w:szCs w:val="22"/>
                              <w:lang w:eastAsia="en-US"/>
                            </w:rPr>
                            <m:t>p</m:t>
                          </m:r>
                        </m:sub>
                      </m:sSub>
                      <m:r>
                        <w:rPr>
                          <w:rFonts w:ascii="Cambria Math" w:eastAsia="Calibri" w:hAnsi="Cambria Math"/>
                          <w:sz w:val="22"/>
                          <w:szCs w:val="22"/>
                          <w:lang w:eastAsia="en-US"/>
                        </w:rPr>
                        <m:t>,N, benchmark 2014</m:t>
                      </m:r>
                    </m:sub>
                    <m:sup>
                      <m:r>
                        <w:rPr>
                          <w:rFonts w:ascii="Cambria Math" w:eastAsia="Calibri" w:hAnsi="Cambria Math"/>
                          <w:sz w:val="22"/>
                          <w:szCs w:val="22"/>
                          <w:lang w:eastAsia="en-US"/>
                        </w:rPr>
                        <m:t>total</m:t>
                      </m:r>
                    </m:sup>
                  </m:sSubSup>
                  <m:r>
                    <w:rPr>
                      <w:rFonts w:ascii="Cambria Math" w:eastAsia="Calibri" w:hAnsi="Cambria Math"/>
                      <w:sz w:val="22"/>
                      <w:szCs w:val="22"/>
                      <w:lang w:eastAsia="en-US"/>
                    </w:rPr>
                    <m:t>-</m:t>
                  </m:r>
                  <m:nary>
                    <m:naryPr>
                      <m:chr m:val="∑"/>
                      <m:limLoc m:val="undOvr"/>
                      <m:supHide m:val="1"/>
                      <m:ctrlPr>
                        <w:rPr>
                          <w:rFonts w:ascii="Cambria Math" w:eastAsia="Calibri" w:hAnsi="Cambria Math"/>
                          <w:i/>
                          <w:sz w:val="22"/>
                          <w:szCs w:val="22"/>
                          <w:lang w:eastAsia="en-US"/>
                        </w:rPr>
                      </m:ctrlPr>
                    </m:naryPr>
                    <m:sub>
                      <m:r>
                        <w:rPr>
                          <w:rFonts w:ascii="Cambria Math" w:eastAsia="Calibri" w:hAnsi="Cambria Math"/>
                          <w:sz w:val="22"/>
                          <w:szCs w:val="22"/>
                          <w:lang w:eastAsia="en-US"/>
                        </w:rPr>
                        <m:t xml:space="preserve">i </m:t>
                      </m:r>
                    </m:sub>
                    <m:sup/>
                    <m:e>
                      <m:sSubSup>
                        <m:sSubSupPr>
                          <m:ctrlPr>
                            <w:rPr>
                              <w:rFonts w:ascii="Cambria Math" w:eastAsia="Calibri" w:hAnsi="Cambria Math"/>
                              <w:i/>
                              <w:sz w:val="22"/>
                              <w:szCs w:val="22"/>
                              <w:lang w:eastAsia="en-US"/>
                            </w:rPr>
                          </m:ctrlPr>
                        </m:sSubSupPr>
                        <m:e>
                          <m:acc>
                            <m:accPr>
                              <m:ctrlPr>
                                <w:rPr>
                                  <w:rFonts w:ascii="Cambria Math" w:eastAsia="Calibri" w:hAnsi="Cambria Math"/>
                                  <w:i/>
                                  <w:sz w:val="22"/>
                                  <w:szCs w:val="22"/>
                                  <w:lang w:eastAsia="en-US"/>
                                </w:rPr>
                              </m:ctrlPr>
                            </m:accPr>
                            <m:e>
                              <m:r>
                                <w:rPr>
                                  <w:rFonts w:ascii="Cambria Math" w:eastAsia="Calibri" w:hAnsi="Cambria Math"/>
                                  <w:sz w:val="22"/>
                                  <w:szCs w:val="22"/>
                                  <w:lang w:eastAsia="en-US"/>
                                </w:rPr>
                                <m:t>F</m:t>
                              </m:r>
                            </m:e>
                          </m:acc>
                        </m:e>
                        <m:sub>
                          <m:sSub>
                            <m:sSubPr>
                              <m:ctrlPr>
                                <w:rPr>
                                  <w:rFonts w:ascii="Cambria Math" w:eastAsia="Calibri" w:hAnsi="Cambria Math"/>
                                  <w:i/>
                                  <w:sz w:val="22"/>
                                  <w:szCs w:val="22"/>
                                  <w:lang w:eastAsia="en-US"/>
                                </w:rPr>
                              </m:ctrlPr>
                            </m:sSubPr>
                            <m:e>
                              <m:r>
                                <w:rPr>
                                  <w:rFonts w:ascii="Cambria Math" w:eastAsia="Calibri" w:hAnsi="Cambria Math"/>
                                  <w:sz w:val="22"/>
                                  <w:szCs w:val="22"/>
                                  <w:lang w:eastAsia="en-US"/>
                                </w:rPr>
                                <m:t>Q</m:t>
                              </m:r>
                            </m:e>
                            <m:sub>
                              <m:r>
                                <w:rPr>
                                  <w:rFonts w:ascii="Cambria Math" w:eastAsia="Calibri" w:hAnsi="Cambria Math"/>
                                  <w:sz w:val="22"/>
                                  <w:szCs w:val="22"/>
                                  <w:lang w:eastAsia="en-US"/>
                                </w:rPr>
                                <m:t>p</m:t>
                              </m:r>
                            </m:sub>
                          </m:sSub>
                          <m:r>
                            <w:rPr>
                              <w:rFonts w:ascii="Cambria Math" w:eastAsia="Calibri" w:hAnsi="Cambria Math"/>
                              <w:sz w:val="22"/>
                              <w:szCs w:val="22"/>
                              <w:lang w:eastAsia="en-US"/>
                            </w:rPr>
                            <m:t>,N, benchmark 2014</m:t>
                          </m:r>
                        </m:sub>
                        <m:sup>
                          <m:r>
                            <w:rPr>
                              <w:rFonts w:ascii="Cambria Math" w:eastAsia="Calibri" w:hAnsi="Cambria Math"/>
                              <w:sz w:val="22"/>
                              <w:szCs w:val="22"/>
                              <w:lang w:eastAsia="en-US"/>
                            </w:rPr>
                            <m:t>i</m:t>
                          </m:r>
                        </m:sup>
                      </m:sSubSup>
                    </m:e>
                  </m:nary>
                </m:e>
              </m:d>
              <m:r>
                <w:rPr>
                  <w:rFonts w:ascii="Cambria Math" w:eastAsia="Calibri" w:hAnsi="Cambria Math"/>
                  <w:sz w:val="22"/>
                  <w:szCs w:val="22"/>
                  <w:lang w:eastAsia="en-US"/>
                </w:rPr>
                <m:t>=0</m:t>
              </m:r>
            </m:e>
          </m:nary>
        </m:oMath>
      </m:oMathPara>
    </w:p>
    <w:p w14:paraId="0BB5BC47" w14:textId="09ED4BEE" w:rsidR="00973D6F" w:rsidRPr="002E5EEE" w:rsidRDefault="00360873" w:rsidP="00973D6F">
      <w:pPr>
        <w:spacing w:after="160" w:line="259" w:lineRule="auto"/>
        <w:jc w:val="both"/>
        <w:rPr>
          <w:rFonts w:ascii="Arial" w:eastAsia="Calibri" w:hAnsi="Arial" w:cs="Arial"/>
          <w:szCs w:val="22"/>
          <w:lang w:val="en-US" w:eastAsia="en-US"/>
        </w:rPr>
      </w:pPr>
      <w:r w:rsidRPr="002E5EEE">
        <w:rPr>
          <w:rFonts w:ascii="Arial" w:eastAsia="Calibri" w:hAnsi="Arial" w:cs="Arial"/>
          <w:szCs w:val="22"/>
          <w:lang w:val="en-US" w:eastAsia="en-US"/>
        </w:rPr>
        <w:t xml:space="preserve">Finally, a manual review of the </w:t>
      </w:r>
      <w:r w:rsidR="00740C15" w:rsidRPr="00740C15">
        <w:rPr>
          <w:rFonts w:ascii="Arial" w:eastAsia="Calibri" w:hAnsi="Arial" w:cs="Arial"/>
          <w:szCs w:val="22"/>
          <w:lang w:val="en-US" w:eastAsia="en-US"/>
        </w:rPr>
        <w:t>conversion to quarters</w:t>
      </w:r>
      <w:r w:rsidRPr="002E5EEE">
        <w:rPr>
          <w:rFonts w:ascii="Arial" w:eastAsia="Calibri" w:hAnsi="Arial" w:cs="Arial"/>
          <w:szCs w:val="22"/>
          <w:lang w:val="en-US" w:eastAsia="en-US"/>
        </w:rPr>
        <w:t>was also carried out to ensure the consistency of the choices made.</w:t>
      </w:r>
    </w:p>
    <w:p w14:paraId="5604A810" w14:textId="77777777" w:rsidR="00AF1502" w:rsidRPr="00517BA3" w:rsidRDefault="00973D6F" w:rsidP="00AF1502">
      <w:pPr>
        <w:pStyle w:val="Titre1"/>
        <w:rPr>
          <w:sz w:val="24"/>
          <w:szCs w:val="20"/>
          <w:lang w:val="en-US"/>
        </w:rPr>
      </w:pPr>
      <w:r w:rsidRPr="00517BA3">
        <w:rPr>
          <w:rFonts w:ascii="Calibri" w:eastAsia="Calibri" w:hAnsi="Calibri"/>
          <w:sz w:val="22"/>
          <w:szCs w:val="22"/>
          <w:lang w:val="en-US" w:eastAsia="en-US"/>
        </w:rPr>
        <w:br w:type="page"/>
      </w:r>
      <w:r w:rsidR="001370D0">
        <w:rPr>
          <w:sz w:val="24"/>
          <w:szCs w:val="20"/>
          <w:lang w:val="en-US"/>
        </w:rPr>
        <w:lastRenderedPageBreak/>
        <w:t>Appendix</w:t>
      </w:r>
      <w:r w:rsidR="00AF1502" w:rsidRPr="00517BA3">
        <w:rPr>
          <w:sz w:val="24"/>
          <w:szCs w:val="20"/>
          <w:lang w:val="en-US"/>
        </w:rPr>
        <w:t xml:space="preserve"> </w:t>
      </w:r>
      <w:r w:rsidR="00200144" w:rsidRPr="00517BA3">
        <w:rPr>
          <w:sz w:val="24"/>
          <w:szCs w:val="20"/>
          <w:lang w:val="en-US"/>
        </w:rPr>
        <w:t>1:</w:t>
      </w:r>
      <w:r w:rsidR="00517BA3">
        <w:rPr>
          <w:sz w:val="24"/>
          <w:szCs w:val="20"/>
          <w:lang w:val="en-US"/>
        </w:rPr>
        <w:t xml:space="preserve"> de</w:t>
      </w:r>
      <w:r w:rsidR="00AF1502" w:rsidRPr="00517BA3">
        <w:rPr>
          <w:sz w:val="24"/>
          <w:szCs w:val="20"/>
          <w:lang w:val="en-US"/>
        </w:rPr>
        <w:t>tail</w:t>
      </w:r>
      <w:r w:rsidR="00517BA3" w:rsidRPr="00517BA3">
        <w:rPr>
          <w:sz w:val="24"/>
          <w:szCs w:val="20"/>
          <w:lang w:val="en-US"/>
        </w:rPr>
        <w:t>s of methodological jointing work</w:t>
      </w:r>
    </w:p>
    <w:p w14:paraId="0BB05777" w14:textId="77777777" w:rsidR="00AF1502" w:rsidRPr="00517BA3" w:rsidRDefault="00AF1502" w:rsidP="00AF1502">
      <w:pPr>
        <w:rPr>
          <w:lang w:val="en-US"/>
        </w:rPr>
      </w:pPr>
    </w:p>
    <w:p w14:paraId="0718280E" w14:textId="77777777" w:rsidR="00AF1502" w:rsidRPr="00517BA3" w:rsidRDefault="00AF1502" w:rsidP="00AF1502">
      <w:pPr>
        <w:rPr>
          <w:lang w:val="en-US"/>
        </w:rPr>
      </w:pPr>
    </w:p>
    <w:p w14:paraId="44C560ED" w14:textId="77777777" w:rsidR="00AF1502" w:rsidRPr="002E5EEE" w:rsidRDefault="00360873" w:rsidP="00AF1502">
      <w:pPr>
        <w:pStyle w:val="Sansinterligne"/>
        <w:numPr>
          <w:ilvl w:val="0"/>
          <w:numId w:val="40"/>
        </w:numPr>
        <w:jc w:val="both"/>
        <w:rPr>
          <w:rFonts w:ascii="Arial" w:eastAsiaTheme="majorEastAsia" w:hAnsi="Arial" w:cs="Arial"/>
          <w:sz w:val="20"/>
          <w:szCs w:val="20"/>
          <w:u w:val="single"/>
          <w:lang w:val="en-US"/>
        </w:rPr>
      </w:pPr>
      <w:r w:rsidRPr="002E5EEE">
        <w:rPr>
          <w:rFonts w:ascii="Arial" w:eastAsiaTheme="majorEastAsia" w:hAnsi="Arial" w:cs="Arial"/>
          <w:sz w:val="20"/>
          <w:szCs w:val="20"/>
          <w:u w:val="single"/>
          <w:lang w:val="en-US"/>
        </w:rPr>
        <w:t>The financial instruments joint between ESA 1995 and ESA 2010</w:t>
      </w:r>
    </w:p>
    <w:p w14:paraId="632434A5" w14:textId="77777777" w:rsidR="00AF1502" w:rsidRPr="002E5EEE" w:rsidRDefault="00360873" w:rsidP="00AF1502">
      <w:pPr>
        <w:pStyle w:val="Sansinterligne"/>
        <w:numPr>
          <w:ilvl w:val="1"/>
          <w:numId w:val="41"/>
        </w:numPr>
        <w:jc w:val="both"/>
        <w:rPr>
          <w:rFonts w:ascii="Arial" w:eastAsiaTheme="majorEastAsia" w:hAnsi="Arial" w:cs="Arial"/>
          <w:sz w:val="20"/>
          <w:szCs w:val="20"/>
          <w:u w:val="single"/>
          <w:lang w:val="en-US"/>
        </w:rPr>
      </w:pPr>
      <w:r w:rsidRPr="002E5EEE">
        <w:rPr>
          <w:rFonts w:ascii="Arial" w:eastAsiaTheme="majorEastAsia" w:hAnsi="Arial" w:cs="Arial"/>
          <w:sz w:val="20"/>
          <w:szCs w:val="20"/>
          <w:u w:val="single"/>
          <w:lang w:val="en-US"/>
        </w:rPr>
        <w:t>Breakdown of F.333 into F.32</w:t>
      </w:r>
    </w:p>
    <w:p w14:paraId="7F0481E4" w14:textId="77777777" w:rsidR="00AF1502" w:rsidRPr="002E5EEE" w:rsidRDefault="00AF1502" w:rsidP="00AF1502">
      <w:pPr>
        <w:pStyle w:val="Sansinterligne"/>
        <w:jc w:val="both"/>
        <w:rPr>
          <w:rFonts w:ascii="Arial" w:eastAsiaTheme="majorEastAsia" w:hAnsi="Arial" w:cs="Arial"/>
          <w:sz w:val="20"/>
          <w:szCs w:val="20"/>
          <w:u w:val="single"/>
          <w:lang w:val="en-US"/>
        </w:rPr>
      </w:pPr>
    </w:p>
    <w:p w14:paraId="6AF813DE" w14:textId="6F86A6C0" w:rsidR="00360873" w:rsidRPr="002E5EEE" w:rsidRDefault="00360873" w:rsidP="00360873">
      <w:pPr>
        <w:pStyle w:val="Sansinterligne"/>
        <w:jc w:val="both"/>
        <w:rPr>
          <w:rFonts w:ascii="Arial" w:eastAsiaTheme="majorEastAsia" w:hAnsi="Arial" w:cs="Arial"/>
          <w:sz w:val="20"/>
          <w:szCs w:val="20"/>
          <w:lang w:val="en-US"/>
        </w:rPr>
      </w:pPr>
      <w:r w:rsidRPr="002E5EEE">
        <w:rPr>
          <w:rFonts w:ascii="Arial" w:eastAsiaTheme="majorEastAsia" w:hAnsi="Arial" w:cs="Arial"/>
          <w:sz w:val="20"/>
          <w:szCs w:val="20"/>
          <w:lang w:val="en-US"/>
        </w:rPr>
        <w:t xml:space="preserve">Long-term interbank market securities (F.333) cover transactions in long-term interbank market securities. They include negotiable promissory bills, mortgage bills and bank certificates with compound agios (interest payable in advance) or post-counted agios (interest payable at maturity). In </w:t>
      </w:r>
      <w:r w:rsidR="00ED3D7B">
        <w:rPr>
          <w:rFonts w:ascii="Arial" w:eastAsiaTheme="majorEastAsia" w:hAnsi="Arial" w:cs="Arial"/>
          <w:sz w:val="20"/>
          <w:szCs w:val="20"/>
          <w:lang w:val="en-US"/>
        </w:rPr>
        <w:t>benchmark</w:t>
      </w:r>
      <w:r w:rsidRPr="002E5EEE">
        <w:rPr>
          <w:rFonts w:ascii="Arial" w:eastAsiaTheme="majorEastAsia" w:hAnsi="Arial" w:cs="Arial"/>
          <w:sz w:val="20"/>
          <w:szCs w:val="20"/>
          <w:lang w:val="en-US"/>
        </w:rPr>
        <w:t xml:space="preserve"> 2000, they appeared in an accounting line F.333 separate from long-term debt securities (F.332); only instrument F.332 was available with a breakdown in Euro (EU) and foreign currencies (DV).</w:t>
      </w:r>
    </w:p>
    <w:p w14:paraId="4A1F1838" w14:textId="77777777" w:rsidR="00360873" w:rsidRPr="002E5EEE" w:rsidRDefault="00360873" w:rsidP="00360873">
      <w:pPr>
        <w:pStyle w:val="Sansinterligne"/>
        <w:jc w:val="both"/>
        <w:rPr>
          <w:rFonts w:ascii="Arial" w:eastAsiaTheme="majorEastAsia" w:hAnsi="Arial" w:cs="Arial"/>
          <w:sz w:val="20"/>
          <w:szCs w:val="20"/>
          <w:lang w:val="en-US"/>
        </w:rPr>
      </w:pPr>
    </w:p>
    <w:p w14:paraId="25F0FDD4" w14:textId="3A6D6728" w:rsidR="00AF1502" w:rsidRPr="001D0E62" w:rsidRDefault="00360873" w:rsidP="00360873">
      <w:pPr>
        <w:pStyle w:val="Sansinterligne"/>
        <w:jc w:val="both"/>
        <w:rPr>
          <w:rFonts w:ascii="Arial" w:eastAsiaTheme="majorEastAsia" w:hAnsi="Arial" w:cs="Arial"/>
          <w:sz w:val="20"/>
          <w:szCs w:val="20"/>
          <w:lang w:val="en-US"/>
        </w:rPr>
      </w:pPr>
      <w:r w:rsidRPr="002E5EEE">
        <w:rPr>
          <w:rFonts w:ascii="Arial" w:eastAsiaTheme="majorEastAsia" w:hAnsi="Arial" w:cs="Arial"/>
          <w:sz w:val="20"/>
          <w:szCs w:val="20"/>
          <w:lang w:val="en-US"/>
        </w:rPr>
        <w:t xml:space="preserve">In 2014, long-term interbank market securities (F.333) are reintegrated into long-term debt securities (F.32) according to the breakdown in Euro (EU) and foreign currencies (DV). In view of the low relative weight of F.333 compared with F.32, it was decided to assume a similar EU/DV breakdown between F.333 and F.32, and therefore to calculate </w:t>
      </w:r>
      <w:r w:rsidR="00AB2BC6">
        <w:rPr>
          <w:rFonts w:ascii="Arial" w:eastAsiaTheme="majorEastAsia" w:hAnsi="Arial" w:cs="Arial"/>
          <w:sz w:val="20"/>
          <w:szCs w:val="20"/>
          <w:lang w:val="en-US"/>
        </w:rPr>
        <w:t>a breakdown coefficient</w:t>
      </w:r>
      <w:r w:rsidRPr="002E5EEE">
        <w:rPr>
          <w:rFonts w:ascii="Arial" w:eastAsiaTheme="majorEastAsia" w:hAnsi="Arial" w:cs="Arial"/>
          <w:sz w:val="20"/>
          <w:szCs w:val="20"/>
          <w:lang w:val="en-US"/>
        </w:rPr>
        <w:t xml:space="preserve"> for F.32 over the period 1977/1994 on a 2000 </w:t>
      </w:r>
      <w:r w:rsidR="00A1406A">
        <w:rPr>
          <w:rFonts w:ascii="Arial" w:eastAsiaTheme="majorEastAsia" w:hAnsi="Arial" w:cs="Arial"/>
          <w:sz w:val="20"/>
          <w:szCs w:val="20"/>
          <w:lang w:val="en-US"/>
        </w:rPr>
        <w:t>benchmark</w:t>
      </w:r>
      <w:r w:rsidRPr="002E5EEE">
        <w:rPr>
          <w:rFonts w:ascii="Arial" w:eastAsiaTheme="majorEastAsia" w:hAnsi="Arial" w:cs="Arial"/>
          <w:sz w:val="20"/>
          <w:szCs w:val="20"/>
          <w:lang w:val="en-US"/>
        </w:rPr>
        <w:t xml:space="preserve"> for each sector (non-resident, credit institutions, other financial intermediaries), on the assets and liabilities sides, and to apply th</w:t>
      </w:r>
      <w:r w:rsidR="00AB2BC6">
        <w:rPr>
          <w:rFonts w:ascii="Arial" w:eastAsiaTheme="majorEastAsia" w:hAnsi="Arial" w:cs="Arial"/>
          <w:sz w:val="20"/>
          <w:szCs w:val="20"/>
          <w:lang w:val="en-US"/>
        </w:rPr>
        <w:t>i</w:t>
      </w:r>
      <w:r w:rsidRPr="002E5EEE">
        <w:rPr>
          <w:rFonts w:ascii="Arial" w:eastAsiaTheme="majorEastAsia" w:hAnsi="Arial" w:cs="Arial"/>
          <w:sz w:val="20"/>
          <w:szCs w:val="20"/>
          <w:lang w:val="en-US"/>
        </w:rPr>
        <w:t xml:space="preserve">s </w:t>
      </w:r>
      <w:r w:rsidR="00AB2BC6">
        <w:rPr>
          <w:rFonts w:ascii="Arial" w:eastAsiaTheme="majorEastAsia" w:hAnsi="Arial" w:cs="Arial"/>
          <w:sz w:val="20"/>
          <w:szCs w:val="20"/>
          <w:lang w:val="en-US"/>
        </w:rPr>
        <w:t>coefficient</w:t>
      </w:r>
      <w:r w:rsidR="00AB2BC6" w:rsidRPr="002E5EEE">
        <w:rPr>
          <w:rFonts w:ascii="Arial" w:eastAsiaTheme="majorEastAsia" w:hAnsi="Arial" w:cs="Arial"/>
          <w:sz w:val="20"/>
          <w:szCs w:val="20"/>
          <w:lang w:val="en-US"/>
        </w:rPr>
        <w:t xml:space="preserve"> </w:t>
      </w:r>
      <w:r w:rsidRPr="002E5EEE">
        <w:rPr>
          <w:rFonts w:ascii="Arial" w:eastAsiaTheme="majorEastAsia" w:hAnsi="Arial" w:cs="Arial"/>
          <w:sz w:val="20"/>
          <w:szCs w:val="20"/>
          <w:lang w:val="en-US"/>
        </w:rPr>
        <w:t xml:space="preserve">to F.333 all currencies (TT) over the period 1977/1994. </w:t>
      </w:r>
      <w:r w:rsidRPr="001D0E62">
        <w:rPr>
          <w:rFonts w:ascii="Arial" w:eastAsiaTheme="majorEastAsia" w:hAnsi="Arial" w:cs="Arial"/>
          <w:sz w:val="20"/>
          <w:szCs w:val="20"/>
          <w:lang w:val="en-US"/>
        </w:rPr>
        <w:t>This method also gives good results for the period 1995-2009.</w:t>
      </w:r>
      <w:r w:rsidR="00AF1502" w:rsidRPr="001D0E62">
        <w:rPr>
          <w:rFonts w:ascii="Arial" w:eastAsiaTheme="majorEastAsia" w:hAnsi="Arial" w:cs="Arial"/>
          <w:sz w:val="20"/>
          <w:szCs w:val="20"/>
          <w:lang w:val="en-US"/>
        </w:rPr>
        <w:t xml:space="preserve"> </w:t>
      </w:r>
    </w:p>
    <w:p w14:paraId="29466D8E" w14:textId="77777777" w:rsidR="00AF1502" w:rsidRPr="001D0E62" w:rsidRDefault="00AF1502" w:rsidP="00AF1502">
      <w:pPr>
        <w:pStyle w:val="Sansinterligne"/>
        <w:jc w:val="both"/>
        <w:rPr>
          <w:rFonts w:ascii="Arial" w:eastAsiaTheme="majorEastAsia" w:hAnsi="Arial" w:cs="Arial"/>
          <w:sz w:val="20"/>
          <w:szCs w:val="20"/>
          <w:lang w:val="en-US"/>
        </w:rPr>
      </w:pPr>
    </w:p>
    <w:p w14:paraId="0DE5BBA1" w14:textId="77777777" w:rsidR="00AF1502" w:rsidRPr="001D0E62" w:rsidRDefault="00AF1502" w:rsidP="00AF1502">
      <w:pPr>
        <w:pStyle w:val="Sansinterligne"/>
        <w:jc w:val="both"/>
        <w:rPr>
          <w:rFonts w:ascii="Arial" w:eastAsiaTheme="majorEastAsia" w:hAnsi="Arial" w:cs="Arial"/>
          <w:sz w:val="20"/>
          <w:szCs w:val="20"/>
          <w:lang w:val="en-US"/>
        </w:rPr>
      </w:pPr>
      <w:r w:rsidRPr="001D0E62">
        <w:rPr>
          <w:rFonts w:ascii="Arial" w:eastAsiaTheme="majorEastAsia" w:hAnsi="Arial" w:cs="Arial"/>
          <w:sz w:val="20"/>
          <w:szCs w:val="20"/>
          <w:lang w:val="en-US"/>
        </w:rPr>
        <w:tab/>
      </w:r>
      <w:r w:rsidRPr="001D0E62">
        <w:rPr>
          <w:rFonts w:ascii="Arial" w:eastAsiaTheme="majorEastAsia" w:hAnsi="Arial" w:cs="Arial"/>
          <w:sz w:val="20"/>
          <w:szCs w:val="20"/>
          <w:lang w:val="en-US"/>
        </w:rPr>
        <w:tab/>
      </w:r>
    </w:p>
    <w:p w14:paraId="415BB733" w14:textId="77777777" w:rsidR="00AF1502" w:rsidRPr="001D0E62" w:rsidRDefault="00AF1502" w:rsidP="00AF1502">
      <w:pPr>
        <w:pStyle w:val="Sansinterligne"/>
        <w:jc w:val="both"/>
        <w:rPr>
          <w:rFonts w:ascii="Arial" w:eastAsiaTheme="majorEastAsia" w:hAnsi="Arial" w:cs="Arial"/>
          <w:sz w:val="20"/>
          <w:szCs w:val="20"/>
          <w:lang w:val="en-US"/>
        </w:rPr>
      </w:pPr>
    </w:p>
    <w:p w14:paraId="769003B4" w14:textId="77777777" w:rsidR="00AF1502" w:rsidRPr="002E5EEE" w:rsidRDefault="00360873" w:rsidP="00AF1502">
      <w:pPr>
        <w:pStyle w:val="Sansinterligne"/>
        <w:numPr>
          <w:ilvl w:val="1"/>
          <w:numId w:val="41"/>
        </w:numPr>
        <w:jc w:val="both"/>
        <w:rPr>
          <w:rFonts w:ascii="Arial" w:eastAsiaTheme="majorEastAsia" w:hAnsi="Arial" w:cs="Arial"/>
          <w:sz w:val="20"/>
          <w:szCs w:val="20"/>
          <w:u w:val="single"/>
          <w:lang w:val="en-US"/>
        </w:rPr>
      </w:pPr>
      <w:r w:rsidRPr="002E5EEE">
        <w:rPr>
          <w:rFonts w:ascii="Arial" w:eastAsiaTheme="majorEastAsia" w:hAnsi="Arial" w:cs="Arial"/>
          <w:sz w:val="20"/>
          <w:szCs w:val="20"/>
          <w:u w:val="single"/>
          <w:lang w:val="en-US"/>
        </w:rPr>
        <w:t>Breakdown of</w:t>
      </w:r>
      <w:r w:rsidR="00AF1502" w:rsidRPr="002E5EEE">
        <w:rPr>
          <w:rFonts w:ascii="Arial" w:eastAsiaTheme="majorEastAsia" w:hAnsi="Arial" w:cs="Arial"/>
          <w:sz w:val="20"/>
          <w:szCs w:val="20"/>
          <w:u w:val="single"/>
          <w:lang w:val="en-US"/>
        </w:rPr>
        <w:t xml:space="preserve"> F.380 </w:t>
      </w:r>
      <w:r w:rsidRPr="002E5EEE">
        <w:rPr>
          <w:rFonts w:ascii="Arial" w:eastAsiaTheme="majorEastAsia" w:hAnsi="Arial" w:cs="Arial"/>
          <w:sz w:val="20"/>
          <w:szCs w:val="20"/>
          <w:u w:val="single"/>
          <w:lang w:val="en-US"/>
        </w:rPr>
        <w:t>into</w:t>
      </w:r>
      <w:r w:rsidR="00AF1502" w:rsidRPr="002E5EEE">
        <w:rPr>
          <w:rFonts w:ascii="Arial" w:eastAsiaTheme="majorEastAsia" w:hAnsi="Arial" w:cs="Arial"/>
          <w:sz w:val="20"/>
          <w:szCs w:val="20"/>
          <w:u w:val="single"/>
          <w:lang w:val="en-US"/>
        </w:rPr>
        <w:t xml:space="preserve"> F.31</w:t>
      </w:r>
    </w:p>
    <w:p w14:paraId="0DEB0AFA" w14:textId="77777777" w:rsidR="00AF1502" w:rsidRPr="002E5EEE" w:rsidRDefault="00AF1502" w:rsidP="00AF1502">
      <w:pPr>
        <w:pStyle w:val="Sansinterligne"/>
        <w:jc w:val="both"/>
        <w:rPr>
          <w:rFonts w:ascii="Arial" w:eastAsiaTheme="majorEastAsia" w:hAnsi="Arial" w:cs="Arial"/>
          <w:sz w:val="20"/>
          <w:szCs w:val="20"/>
          <w:lang w:val="en-US"/>
        </w:rPr>
      </w:pPr>
    </w:p>
    <w:p w14:paraId="0D10D298" w14:textId="77777777" w:rsidR="00360873" w:rsidRPr="002E5EEE" w:rsidRDefault="00360873" w:rsidP="00360873">
      <w:pPr>
        <w:pStyle w:val="Sansinterligne"/>
        <w:jc w:val="both"/>
        <w:rPr>
          <w:rFonts w:ascii="Arial" w:eastAsiaTheme="majorEastAsia" w:hAnsi="Arial" w:cs="Arial"/>
          <w:sz w:val="20"/>
          <w:szCs w:val="20"/>
          <w:lang w:val="en-US"/>
        </w:rPr>
      </w:pPr>
      <w:r w:rsidRPr="002E5EEE">
        <w:rPr>
          <w:rFonts w:ascii="Arial" w:eastAsiaTheme="majorEastAsia" w:hAnsi="Arial" w:cs="Arial"/>
          <w:sz w:val="20"/>
          <w:szCs w:val="20"/>
          <w:lang w:val="en-US"/>
        </w:rPr>
        <w:t xml:space="preserve">Accrued interest not yet due on negotiable debt securities (F.38) represents interest already generated by a negotiable debt security but not yet paid. </w:t>
      </w:r>
    </w:p>
    <w:p w14:paraId="596BC66B" w14:textId="121B46D2" w:rsidR="00360873" w:rsidRPr="002E5EEE" w:rsidRDefault="00360873" w:rsidP="00360873">
      <w:pPr>
        <w:pStyle w:val="Sansinterligne"/>
        <w:jc w:val="both"/>
        <w:rPr>
          <w:rFonts w:ascii="Arial" w:eastAsiaTheme="majorEastAsia" w:hAnsi="Arial" w:cs="Arial"/>
          <w:sz w:val="20"/>
          <w:szCs w:val="20"/>
          <w:lang w:val="en-US"/>
        </w:rPr>
      </w:pPr>
      <w:r w:rsidRPr="002E5EEE">
        <w:rPr>
          <w:rFonts w:ascii="Arial" w:eastAsiaTheme="majorEastAsia" w:hAnsi="Arial" w:cs="Arial"/>
          <w:sz w:val="20"/>
          <w:szCs w:val="20"/>
          <w:lang w:val="en-US"/>
        </w:rPr>
        <w:t xml:space="preserve">In </w:t>
      </w:r>
      <w:r w:rsidR="00ED3D7B">
        <w:rPr>
          <w:rFonts w:ascii="Arial" w:eastAsiaTheme="majorEastAsia" w:hAnsi="Arial" w:cs="Arial"/>
          <w:sz w:val="20"/>
          <w:szCs w:val="20"/>
          <w:lang w:val="en-US"/>
        </w:rPr>
        <w:t>benchmark</w:t>
      </w:r>
      <w:r w:rsidRPr="002E5EEE">
        <w:rPr>
          <w:rFonts w:ascii="Arial" w:eastAsiaTheme="majorEastAsia" w:hAnsi="Arial" w:cs="Arial"/>
          <w:sz w:val="20"/>
          <w:szCs w:val="20"/>
          <w:lang w:val="en-US"/>
        </w:rPr>
        <w:t xml:space="preserve"> 2000, while accrued interest not yet due on bonds is already included in its holder (F.332), accrued interest not yet due on negotiable debt securities is recorded in an accounting line (F.380) separate from F.331.</w:t>
      </w:r>
      <w:r w:rsidRPr="002E5EEE">
        <w:rPr>
          <w:rFonts w:ascii="Arial" w:eastAsiaTheme="majorEastAsia" w:hAnsi="Arial" w:cs="Arial"/>
          <w:sz w:val="20"/>
          <w:szCs w:val="20"/>
          <w:lang w:val="en-US"/>
        </w:rPr>
        <w:tab/>
      </w:r>
    </w:p>
    <w:p w14:paraId="16A7CF5D" w14:textId="77777777" w:rsidR="00360873" w:rsidRPr="002E5EEE" w:rsidRDefault="00360873" w:rsidP="00360873">
      <w:pPr>
        <w:pStyle w:val="Sansinterligne"/>
        <w:jc w:val="both"/>
        <w:rPr>
          <w:rFonts w:ascii="Arial" w:eastAsiaTheme="majorEastAsia" w:hAnsi="Arial" w:cs="Arial"/>
          <w:sz w:val="20"/>
          <w:szCs w:val="20"/>
          <w:lang w:val="en-US"/>
        </w:rPr>
      </w:pPr>
    </w:p>
    <w:p w14:paraId="3ECAEA1E" w14:textId="694F53A0" w:rsidR="00AF1502" w:rsidRPr="002E5EEE" w:rsidRDefault="00360873" w:rsidP="00360873">
      <w:pPr>
        <w:pStyle w:val="Sansinterligne"/>
        <w:jc w:val="both"/>
        <w:rPr>
          <w:rFonts w:ascii="Arial" w:eastAsiaTheme="majorEastAsia" w:hAnsi="Arial" w:cs="Arial"/>
          <w:color w:val="365F91" w:themeColor="accent1" w:themeShade="BF"/>
          <w:sz w:val="20"/>
          <w:szCs w:val="20"/>
          <w:lang w:val="en-US"/>
        </w:rPr>
      </w:pPr>
      <w:r w:rsidRPr="002E5EEE">
        <w:rPr>
          <w:rFonts w:ascii="Arial" w:eastAsiaTheme="majorEastAsia" w:hAnsi="Arial" w:cs="Arial"/>
          <w:sz w:val="20"/>
          <w:szCs w:val="20"/>
          <w:lang w:val="en-US"/>
        </w:rPr>
        <w:t>Instrument F.38 (</w:t>
      </w:r>
      <w:r w:rsidR="00ED3D7B">
        <w:rPr>
          <w:rFonts w:ascii="Arial" w:eastAsiaTheme="majorEastAsia" w:hAnsi="Arial" w:cs="Arial"/>
          <w:sz w:val="20"/>
          <w:szCs w:val="20"/>
          <w:lang w:val="en-US"/>
        </w:rPr>
        <w:t>benchmark</w:t>
      </w:r>
      <w:r w:rsidRPr="002E5EEE">
        <w:rPr>
          <w:rFonts w:ascii="Arial" w:eastAsiaTheme="majorEastAsia" w:hAnsi="Arial" w:cs="Arial"/>
          <w:sz w:val="20"/>
          <w:szCs w:val="20"/>
          <w:lang w:val="en-US"/>
        </w:rPr>
        <w:t xml:space="preserve"> 2000) is reintegrated into short-term debt securities (F.31) and, here again, a breakdown must be made between euros and foreign currencies. The same type of breakdown </w:t>
      </w:r>
      <w:r w:rsidR="00AB2BC6">
        <w:rPr>
          <w:rFonts w:ascii="Arial" w:eastAsiaTheme="majorEastAsia" w:hAnsi="Arial" w:cs="Arial"/>
          <w:sz w:val="20"/>
          <w:szCs w:val="20"/>
          <w:lang w:val="en-US"/>
        </w:rPr>
        <w:t>coefficient</w:t>
      </w:r>
      <w:r w:rsidRPr="002E5EEE">
        <w:rPr>
          <w:rFonts w:ascii="Arial" w:eastAsiaTheme="majorEastAsia" w:hAnsi="Arial" w:cs="Arial"/>
          <w:sz w:val="20"/>
          <w:szCs w:val="20"/>
          <w:lang w:val="en-US"/>
        </w:rPr>
        <w:t xml:space="preserve"> is applied (calculation of the breakdown of F.31 EU/DV over 1977/1994 on the </w:t>
      </w:r>
      <w:r w:rsidR="00A1406A">
        <w:rPr>
          <w:rFonts w:ascii="Arial" w:eastAsiaTheme="majorEastAsia" w:hAnsi="Arial" w:cs="Arial"/>
          <w:sz w:val="20"/>
          <w:szCs w:val="20"/>
          <w:lang w:val="en-US"/>
        </w:rPr>
        <w:t>benchmark</w:t>
      </w:r>
      <w:r w:rsidRPr="002E5EEE">
        <w:rPr>
          <w:rFonts w:ascii="Arial" w:eastAsiaTheme="majorEastAsia" w:hAnsi="Arial" w:cs="Arial"/>
          <w:sz w:val="20"/>
          <w:szCs w:val="20"/>
          <w:lang w:val="en-US"/>
        </w:rPr>
        <w:t xml:space="preserve"> 2000 and application of the </w:t>
      </w:r>
      <w:r w:rsidR="00AB2BC6">
        <w:rPr>
          <w:rFonts w:ascii="Arial" w:eastAsiaTheme="majorEastAsia" w:hAnsi="Arial" w:cs="Arial"/>
          <w:sz w:val="20"/>
          <w:szCs w:val="20"/>
          <w:lang w:val="en-US"/>
        </w:rPr>
        <w:t>coefficients</w:t>
      </w:r>
      <w:r w:rsidR="00AB2BC6" w:rsidRPr="002E5EEE">
        <w:rPr>
          <w:rFonts w:ascii="Arial" w:eastAsiaTheme="majorEastAsia" w:hAnsi="Arial" w:cs="Arial"/>
          <w:sz w:val="20"/>
          <w:szCs w:val="20"/>
          <w:lang w:val="en-US"/>
        </w:rPr>
        <w:t xml:space="preserve"> </w:t>
      </w:r>
      <w:r w:rsidRPr="002E5EEE">
        <w:rPr>
          <w:rFonts w:ascii="Arial" w:eastAsiaTheme="majorEastAsia" w:hAnsi="Arial" w:cs="Arial"/>
          <w:sz w:val="20"/>
          <w:szCs w:val="20"/>
          <w:lang w:val="en-US"/>
        </w:rPr>
        <w:t xml:space="preserve">to F.380 TT over the period 1977/1994), this time with the added justification that the breakdown of accrued interest not yet due is roughly proportional to that of </w:t>
      </w:r>
      <w:r w:rsidR="00033658">
        <w:rPr>
          <w:rFonts w:ascii="Arial" w:eastAsiaTheme="majorEastAsia" w:hAnsi="Arial" w:cs="Arial"/>
          <w:sz w:val="20"/>
          <w:szCs w:val="20"/>
          <w:lang w:val="en-US"/>
        </w:rPr>
        <w:t>stocks</w:t>
      </w:r>
      <w:r w:rsidRPr="002E5EEE">
        <w:rPr>
          <w:rFonts w:ascii="Arial" w:eastAsiaTheme="majorEastAsia" w:hAnsi="Arial" w:cs="Arial"/>
          <w:sz w:val="20"/>
          <w:szCs w:val="20"/>
          <w:lang w:val="en-US"/>
        </w:rPr>
        <w:t xml:space="preserve"> (with the limitation that the level of interest rates may nevertheless differ between currencies).</w:t>
      </w:r>
      <w:r w:rsidR="00AF1502" w:rsidRPr="002E5EEE">
        <w:rPr>
          <w:rFonts w:ascii="Arial" w:eastAsiaTheme="majorEastAsia" w:hAnsi="Arial" w:cs="Arial"/>
          <w:sz w:val="20"/>
          <w:szCs w:val="20"/>
          <w:lang w:val="en-US"/>
        </w:rPr>
        <w:tab/>
      </w:r>
      <w:r w:rsidR="00AF1502" w:rsidRPr="002E5EEE">
        <w:rPr>
          <w:rFonts w:ascii="Arial" w:eastAsiaTheme="majorEastAsia" w:hAnsi="Arial" w:cs="Arial"/>
          <w:color w:val="365F91" w:themeColor="accent1" w:themeShade="BF"/>
          <w:sz w:val="20"/>
          <w:szCs w:val="20"/>
          <w:lang w:val="en-US"/>
        </w:rPr>
        <w:tab/>
      </w:r>
      <w:r w:rsidR="00AF1502" w:rsidRPr="002E5EEE">
        <w:rPr>
          <w:rFonts w:ascii="Arial" w:eastAsiaTheme="majorEastAsia" w:hAnsi="Arial" w:cs="Arial"/>
          <w:color w:val="365F91" w:themeColor="accent1" w:themeShade="BF"/>
          <w:sz w:val="20"/>
          <w:szCs w:val="20"/>
          <w:lang w:val="en-US"/>
        </w:rPr>
        <w:tab/>
      </w:r>
      <w:r w:rsidR="00AF1502" w:rsidRPr="002E5EEE">
        <w:rPr>
          <w:rFonts w:ascii="Arial" w:eastAsiaTheme="majorEastAsia" w:hAnsi="Arial" w:cs="Arial"/>
          <w:color w:val="365F91" w:themeColor="accent1" w:themeShade="BF"/>
          <w:sz w:val="20"/>
          <w:szCs w:val="20"/>
          <w:lang w:val="en-US"/>
        </w:rPr>
        <w:tab/>
      </w:r>
      <w:r w:rsidR="00AF1502" w:rsidRPr="002E5EEE">
        <w:rPr>
          <w:rFonts w:ascii="Arial" w:eastAsiaTheme="majorEastAsia" w:hAnsi="Arial" w:cs="Arial"/>
          <w:color w:val="365F91" w:themeColor="accent1" w:themeShade="BF"/>
          <w:sz w:val="20"/>
          <w:szCs w:val="20"/>
          <w:lang w:val="en-US"/>
        </w:rPr>
        <w:tab/>
      </w:r>
      <w:r w:rsidR="00AF1502" w:rsidRPr="002E5EEE">
        <w:rPr>
          <w:rFonts w:ascii="Arial" w:eastAsiaTheme="majorEastAsia" w:hAnsi="Arial" w:cs="Arial"/>
          <w:color w:val="365F91" w:themeColor="accent1" w:themeShade="BF"/>
          <w:sz w:val="20"/>
          <w:szCs w:val="20"/>
          <w:lang w:val="en-US"/>
        </w:rPr>
        <w:tab/>
      </w:r>
      <w:r w:rsidR="00AF1502" w:rsidRPr="002E5EEE">
        <w:rPr>
          <w:rFonts w:ascii="Arial" w:eastAsiaTheme="majorEastAsia" w:hAnsi="Arial" w:cs="Arial"/>
          <w:color w:val="365F91" w:themeColor="accent1" w:themeShade="BF"/>
          <w:sz w:val="20"/>
          <w:szCs w:val="20"/>
          <w:lang w:val="en-US"/>
        </w:rPr>
        <w:tab/>
      </w:r>
      <w:r w:rsidR="00AF1502" w:rsidRPr="002E5EEE">
        <w:rPr>
          <w:rFonts w:ascii="Arial" w:eastAsiaTheme="majorEastAsia" w:hAnsi="Arial" w:cs="Arial"/>
          <w:color w:val="365F91" w:themeColor="accent1" w:themeShade="BF"/>
          <w:sz w:val="20"/>
          <w:szCs w:val="20"/>
          <w:lang w:val="en-US"/>
        </w:rPr>
        <w:tab/>
      </w:r>
      <w:r w:rsidR="00AF1502" w:rsidRPr="002E5EEE">
        <w:rPr>
          <w:rFonts w:ascii="Arial" w:eastAsiaTheme="majorEastAsia" w:hAnsi="Arial" w:cs="Arial"/>
          <w:color w:val="365F91" w:themeColor="accent1" w:themeShade="BF"/>
          <w:sz w:val="20"/>
          <w:szCs w:val="20"/>
          <w:lang w:val="en-US"/>
        </w:rPr>
        <w:tab/>
      </w:r>
      <w:r w:rsidR="00AF1502" w:rsidRPr="002E5EEE">
        <w:rPr>
          <w:rFonts w:ascii="Arial" w:eastAsiaTheme="majorEastAsia" w:hAnsi="Arial" w:cs="Arial"/>
          <w:color w:val="365F91" w:themeColor="accent1" w:themeShade="BF"/>
          <w:sz w:val="20"/>
          <w:szCs w:val="20"/>
          <w:lang w:val="en-US"/>
        </w:rPr>
        <w:tab/>
      </w:r>
      <w:r w:rsidR="00AF1502" w:rsidRPr="002E5EEE">
        <w:rPr>
          <w:rFonts w:ascii="Arial" w:eastAsiaTheme="majorEastAsia" w:hAnsi="Arial" w:cs="Arial"/>
          <w:color w:val="365F91" w:themeColor="accent1" w:themeShade="BF"/>
          <w:sz w:val="20"/>
          <w:szCs w:val="20"/>
          <w:lang w:val="en-US"/>
        </w:rPr>
        <w:tab/>
      </w:r>
    </w:p>
    <w:p w14:paraId="098457BE" w14:textId="77777777" w:rsidR="00AF1502" w:rsidRPr="002E5EEE" w:rsidRDefault="00AF1502" w:rsidP="00AF1502">
      <w:pPr>
        <w:pStyle w:val="Sansinterligne"/>
        <w:jc w:val="both"/>
        <w:rPr>
          <w:rFonts w:ascii="Arial" w:eastAsiaTheme="majorEastAsia" w:hAnsi="Arial" w:cs="Arial"/>
          <w:color w:val="365F91" w:themeColor="accent1" w:themeShade="BF"/>
          <w:sz w:val="20"/>
          <w:szCs w:val="20"/>
          <w:lang w:val="en-US"/>
        </w:rPr>
      </w:pPr>
    </w:p>
    <w:p w14:paraId="3526DB82" w14:textId="77777777" w:rsidR="00AF1502" w:rsidRPr="002E5EEE" w:rsidRDefault="00AF1502" w:rsidP="00AF1502">
      <w:pPr>
        <w:pStyle w:val="Sansinterligne"/>
        <w:jc w:val="both"/>
        <w:rPr>
          <w:rFonts w:ascii="Arial" w:eastAsiaTheme="majorEastAsia" w:hAnsi="Arial" w:cs="Arial"/>
          <w:color w:val="365F91" w:themeColor="accent1" w:themeShade="BF"/>
          <w:sz w:val="20"/>
          <w:szCs w:val="20"/>
          <w:lang w:val="en-US"/>
        </w:rPr>
      </w:pPr>
    </w:p>
    <w:p w14:paraId="2EBFC8A5" w14:textId="77777777" w:rsidR="00AF1502" w:rsidRPr="002E5EEE" w:rsidRDefault="00AF1502" w:rsidP="00AF1502">
      <w:pPr>
        <w:pStyle w:val="Sansinterligne"/>
        <w:jc w:val="both"/>
        <w:rPr>
          <w:rFonts w:ascii="Arial" w:eastAsiaTheme="majorEastAsia" w:hAnsi="Arial" w:cs="Arial"/>
          <w:color w:val="365F91" w:themeColor="accent1" w:themeShade="BF"/>
          <w:sz w:val="20"/>
          <w:szCs w:val="20"/>
          <w:lang w:val="en-US"/>
        </w:rPr>
      </w:pPr>
    </w:p>
    <w:p w14:paraId="0E81212F" w14:textId="77777777" w:rsidR="00AF1502" w:rsidRPr="002E5EEE" w:rsidRDefault="00AF1502" w:rsidP="00AF1502">
      <w:pPr>
        <w:pStyle w:val="Sansinterligne"/>
        <w:jc w:val="both"/>
        <w:rPr>
          <w:rFonts w:ascii="Arial" w:eastAsiaTheme="majorEastAsia" w:hAnsi="Arial" w:cs="Arial"/>
          <w:color w:val="365F91" w:themeColor="accent1" w:themeShade="BF"/>
          <w:sz w:val="20"/>
          <w:szCs w:val="20"/>
          <w:lang w:val="en-US"/>
        </w:rPr>
      </w:pPr>
      <w:r w:rsidRPr="002E5EEE">
        <w:rPr>
          <w:rFonts w:ascii="Arial" w:eastAsiaTheme="majorEastAsia" w:hAnsi="Arial" w:cs="Arial"/>
          <w:color w:val="365F91" w:themeColor="accent1" w:themeShade="BF"/>
          <w:sz w:val="20"/>
          <w:szCs w:val="20"/>
          <w:lang w:val="en-US"/>
        </w:rPr>
        <w:tab/>
      </w:r>
      <w:r w:rsidRPr="002E5EEE">
        <w:rPr>
          <w:rFonts w:ascii="Arial" w:eastAsiaTheme="majorEastAsia" w:hAnsi="Arial" w:cs="Arial"/>
          <w:color w:val="365F91" w:themeColor="accent1" w:themeShade="BF"/>
          <w:sz w:val="20"/>
          <w:szCs w:val="20"/>
          <w:lang w:val="en-US"/>
        </w:rPr>
        <w:tab/>
      </w:r>
    </w:p>
    <w:p w14:paraId="0AE2C73E" w14:textId="77777777" w:rsidR="00AF1502" w:rsidRPr="002E5EEE" w:rsidRDefault="00AF1502" w:rsidP="00AF1502">
      <w:pPr>
        <w:pStyle w:val="Sansinterligne"/>
        <w:jc w:val="both"/>
        <w:rPr>
          <w:rFonts w:ascii="Arial" w:eastAsiaTheme="majorEastAsia" w:hAnsi="Arial" w:cs="Arial"/>
          <w:color w:val="365F91" w:themeColor="accent1" w:themeShade="BF"/>
          <w:sz w:val="20"/>
          <w:szCs w:val="20"/>
          <w:lang w:val="en-US"/>
        </w:rPr>
      </w:pPr>
    </w:p>
    <w:p w14:paraId="39024DB8" w14:textId="77777777" w:rsidR="00AF1502" w:rsidRPr="002E5EEE" w:rsidRDefault="00360873" w:rsidP="00AF1502">
      <w:pPr>
        <w:pStyle w:val="Sansinterligne"/>
        <w:numPr>
          <w:ilvl w:val="1"/>
          <w:numId w:val="41"/>
        </w:numPr>
        <w:jc w:val="both"/>
        <w:rPr>
          <w:rFonts w:ascii="Arial" w:eastAsiaTheme="majorEastAsia" w:hAnsi="Arial" w:cs="Arial"/>
          <w:sz w:val="20"/>
          <w:szCs w:val="20"/>
          <w:u w:val="single"/>
          <w:lang w:val="en-US"/>
        </w:rPr>
      </w:pPr>
      <w:r w:rsidRPr="002E5EEE">
        <w:rPr>
          <w:rFonts w:ascii="Arial" w:eastAsiaTheme="majorEastAsia" w:hAnsi="Arial" w:cs="Arial"/>
          <w:sz w:val="20"/>
          <w:szCs w:val="20"/>
          <w:u w:val="single"/>
          <w:lang w:val="en-US"/>
        </w:rPr>
        <w:t xml:space="preserve">Breakdown of </w:t>
      </w:r>
      <w:r w:rsidR="00AF1502" w:rsidRPr="002E5EEE">
        <w:rPr>
          <w:rFonts w:ascii="Arial" w:eastAsiaTheme="majorEastAsia" w:hAnsi="Arial" w:cs="Arial"/>
          <w:sz w:val="20"/>
          <w:szCs w:val="20"/>
          <w:u w:val="single"/>
          <w:lang w:val="en-US"/>
        </w:rPr>
        <w:t xml:space="preserve">F.512 (SEC 1995) </w:t>
      </w:r>
      <w:r w:rsidRPr="002E5EEE">
        <w:rPr>
          <w:rFonts w:ascii="Arial" w:eastAsiaTheme="majorEastAsia" w:hAnsi="Arial" w:cs="Arial"/>
          <w:sz w:val="20"/>
          <w:szCs w:val="20"/>
          <w:u w:val="single"/>
          <w:lang w:val="en-US"/>
        </w:rPr>
        <w:t xml:space="preserve">into </w:t>
      </w:r>
      <w:r w:rsidR="00AF1502" w:rsidRPr="002E5EEE">
        <w:rPr>
          <w:rFonts w:ascii="Arial" w:eastAsiaTheme="majorEastAsia" w:hAnsi="Arial" w:cs="Arial"/>
          <w:sz w:val="20"/>
          <w:szCs w:val="20"/>
          <w:u w:val="single"/>
          <w:lang w:val="en-US"/>
        </w:rPr>
        <w:t xml:space="preserve">F.512 </w:t>
      </w:r>
      <w:r w:rsidRPr="002E5EEE">
        <w:rPr>
          <w:rFonts w:ascii="Arial" w:eastAsiaTheme="majorEastAsia" w:hAnsi="Arial" w:cs="Arial"/>
          <w:sz w:val="20"/>
          <w:szCs w:val="20"/>
          <w:u w:val="single"/>
          <w:lang w:val="en-US"/>
        </w:rPr>
        <w:t>and</w:t>
      </w:r>
      <w:r w:rsidR="00AF1502" w:rsidRPr="002E5EEE">
        <w:rPr>
          <w:rFonts w:ascii="Arial" w:eastAsiaTheme="majorEastAsia" w:hAnsi="Arial" w:cs="Arial"/>
          <w:sz w:val="20"/>
          <w:szCs w:val="20"/>
          <w:u w:val="single"/>
          <w:lang w:val="en-US"/>
        </w:rPr>
        <w:t xml:space="preserve"> F519 (SEC 2010)</w:t>
      </w:r>
    </w:p>
    <w:p w14:paraId="286C6E87" w14:textId="77777777" w:rsidR="00360873" w:rsidRPr="002E5EEE" w:rsidRDefault="00360873" w:rsidP="00360873">
      <w:pPr>
        <w:pStyle w:val="Sansinterligne"/>
        <w:ind w:left="1080"/>
        <w:jc w:val="both"/>
        <w:rPr>
          <w:rFonts w:ascii="Arial" w:eastAsiaTheme="majorEastAsia" w:hAnsi="Arial" w:cs="Arial"/>
          <w:sz w:val="20"/>
          <w:szCs w:val="20"/>
          <w:u w:val="single"/>
          <w:lang w:val="en-US"/>
        </w:rPr>
      </w:pPr>
    </w:p>
    <w:p w14:paraId="62D8ECFC" w14:textId="234817AA" w:rsidR="00360873" w:rsidRPr="002E5EEE" w:rsidRDefault="00360873" w:rsidP="00360873">
      <w:pPr>
        <w:jc w:val="both"/>
        <w:rPr>
          <w:rFonts w:ascii="Arial" w:hAnsi="Arial" w:cs="Arial"/>
          <w:lang w:val="en-US"/>
        </w:rPr>
      </w:pPr>
      <w:r w:rsidRPr="002E5EEE">
        <w:rPr>
          <w:rFonts w:ascii="Arial" w:hAnsi="Arial" w:cs="Arial"/>
          <w:lang w:val="en-US"/>
        </w:rPr>
        <w:t xml:space="preserve">Unlisted shares (F.512) were grouped with other holdings (F.513) in F.512 in the 2000 </w:t>
      </w:r>
      <w:r w:rsidR="00740C15">
        <w:rPr>
          <w:rFonts w:ascii="Arial" w:eastAsiaTheme="majorEastAsia" w:hAnsi="Arial" w:cs="Arial"/>
          <w:szCs w:val="30"/>
          <w:lang w:val="en-US"/>
        </w:rPr>
        <w:t>benchmark</w:t>
      </w:r>
      <w:r w:rsidRPr="002E5EEE">
        <w:rPr>
          <w:rFonts w:ascii="Arial" w:hAnsi="Arial" w:cs="Arial"/>
          <w:lang w:val="en-US"/>
        </w:rPr>
        <w:t>.</w:t>
      </w:r>
    </w:p>
    <w:p w14:paraId="37086560" w14:textId="77777777" w:rsidR="00360873" w:rsidRPr="002E5EEE" w:rsidRDefault="00360873" w:rsidP="00360873">
      <w:pPr>
        <w:jc w:val="both"/>
        <w:rPr>
          <w:rFonts w:ascii="Arial" w:hAnsi="Arial" w:cs="Arial"/>
          <w:lang w:val="en-US"/>
        </w:rPr>
      </w:pPr>
    </w:p>
    <w:p w14:paraId="5825E7F2" w14:textId="1F671816" w:rsidR="00AF1502" w:rsidRPr="002E5EEE" w:rsidRDefault="00360873" w:rsidP="00360873">
      <w:pPr>
        <w:jc w:val="both"/>
        <w:rPr>
          <w:rFonts w:ascii="Arial" w:hAnsi="Arial" w:cs="Arial"/>
          <w:lang w:val="en-US"/>
        </w:rPr>
      </w:pPr>
      <w:r w:rsidRPr="002E5EEE">
        <w:rPr>
          <w:rFonts w:ascii="Arial" w:hAnsi="Arial" w:cs="Arial"/>
          <w:lang w:val="en-US"/>
        </w:rPr>
        <w:t xml:space="preserve">To provide this distinction between unlisted shares (F.152) and other holdings (F.519) present in </w:t>
      </w:r>
      <w:r w:rsidR="00ED3D7B">
        <w:rPr>
          <w:rFonts w:ascii="Arial" w:hAnsi="Arial" w:cs="Arial"/>
          <w:lang w:val="en-US"/>
        </w:rPr>
        <w:t>benchmark</w:t>
      </w:r>
      <w:r w:rsidRPr="002E5EEE">
        <w:rPr>
          <w:rFonts w:ascii="Arial" w:hAnsi="Arial" w:cs="Arial"/>
          <w:lang w:val="en-US"/>
        </w:rPr>
        <w:t xml:space="preserve"> 2014 but absent from </w:t>
      </w:r>
      <w:r w:rsidR="00ED3D7B">
        <w:rPr>
          <w:rFonts w:ascii="Arial" w:hAnsi="Arial" w:cs="Arial"/>
          <w:lang w:val="en-US"/>
        </w:rPr>
        <w:t>benchmark</w:t>
      </w:r>
      <w:r w:rsidRPr="002E5EEE">
        <w:rPr>
          <w:rFonts w:ascii="Arial" w:hAnsi="Arial" w:cs="Arial"/>
          <w:lang w:val="en-US"/>
        </w:rPr>
        <w:t xml:space="preserve"> 2000, we have calculated, for each sector, the average distribution observed in </w:t>
      </w:r>
      <w:r w:rsidR="00ED3D7B">
        <w:rPr>
          <w:rFonts w:ascii="Arial" w:hAnsi="Arial" w:cs="Arial"/>
          <w:lang w:val="en-US"/>
        </w:rPr>
        <w:t>benchmark</w:t>
      </w:r>
      <w:r w:rsidRPr="002E5EEE">
        <w:rPr>
          <w:rFonts w:ascii="Arial" w:hAnsi="Arial" w:cs="Arial"/>
          <w:lang w:val="en-US"/>
        </w:rPr>
        <w:t xml:space="preserve"> 2014 between 1995 and 2009 and applied this distribution to the period 1977-1994.</w:t>
      </w:r>
    </w:p>
    <w:p w14:paraId="4140011C" w14:textId="77777777" w:rsidR="00AF1502" w:rsidRPr="002E5EEE" w:rsidRDefault="00AF1502" w:rsidP="00AF1502">
      <w:pPr>
        <w:jc w:val="both"/>
        <w:rPr>
          <w:rFonts w:ascii="Arial" w:hAnsi="Arial" w:cs="Arial"/>
          <w:lang w:val="en-US"/>
        </w:rPr>
      </w:pPr>
    </w:p>
    <w:p w14:paraId="4F7772FA" w14:textId="77777777" w:rsidR="00AF1502" w:rsidRPr="00AF1502" w:rsidRDefault="000F2FC9" w:rsidP="00AF1502">
      <w:pPr>
        <w:pStyle w:val="Sansinterligne"/>
        <w:jc w:val="both"/>
        <w:rPr>
          <w:rFonts w:ascii="Arial" w:eastAsiaTheme="majorEastAsia" w:hAnsi="Arial" w:cs="Arial"/>
          <w:color w:val="365F91" w:themeColor="accent1" w:themeShade="BF"/>
          <w:sz w:val="20"/>
          <w:szCs w:val="20"/>
        </w:rPr>
      </w:pPr>
      <w:r w:rsidRPr="000F2FC9">
        <w:rPr>
          <w:rFonts w:ascii="Arial" w:eastAsiaTheme="majorEastAsia" w:hAnsi="Arial" w:cs="Arial"/>
          <w:noProof/>
          <w:color w:val="365F91" w:themeColor="accent1" w:themeShade="BF"/>
          <w:sz w:val="20"/>
          <w:szCs w:val="20"/>
          <w:lang w:eastAsia="fr-FR"/>
        </w:rPr>
        <w:lastRenderedPageBreak/>
        <w:drawing>
          <wp:inline distT="0" distB="0" distL="0" distR="0" wp14:anchorId="129D5BA0" wp14:editId="39D0CFC8">
            <wp:extent cx="4934639" cy="6611273"/>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34639" cy="6611273"/>
                    </a:xfrm>
                    <a:prstGeom prst="rect">
                      <a:avLst/>
                    </a:prstGeom>
                  </pic:spPr>
                </pic:pic>
              </a:graphicData>
            </a:graphic>
          </wp:inline>
        </w:drawing>
      </w:r>
    </w:p>
    <w:p w14:paraId="3482B890" w14:textId="5113C9AD" w:rsidR="00AF1502" w:rsidRPr="002E5EEE" w:rsidRDefault="00360873" w:rsidP="00AF1502">
      <w:pPr>
        <w:pStyle w:val="Sansinterligne"/>
        <w:jc w:val="both"/>
        <w:rPr>
          <w:rFonts w:ascii="Arial" w:eastAsiaTheme="majorEastAsia" w:hAnsi="Arial" w:cs="Arial"/>
          <w:sz w:val="20"/>
          <w:szCs w:val="20"/>
          <w:lang w:val="en-US"/>
        </w:rPr>
      </w:pPr>
      <w:r w:rsidRPr="002E5EEE">
        <w:rPr>
          <w:rFonts w:ascii="Arial" w:eastAsiaTheme="majorEastAsia" w:hAnsi="Arial" w:cs="Arial"/>
          <w:sz w:val="20"/>
          <w:szCs w:val="20"/>
          <w:lang w:val="en-US"/>
        </w:rPr>
        <w:t xml:space="preserve">In the vast majority of cases, the volatility of the split between F.512 and F.519 is relatively contained. Moreover, cases with higher volatilities generally concern sectors with low </w:t>
      </w:r>
      <w:r w:rsidR="00033658">
        <w:rPr>
          <w:rFonts w:ascii="Arial" w:eastAsiaTheme="majorEastAsia" w:hAnsi="Arial" w:cs="Arial"/>
          <w:sz w:val="20"/>
          <w:szCs w:val="20"/>
          <w:lang w:val="en-US"/>
        </w:rPr>
        <w:t>stocks</w:t>
      </w:r>
      <w:r w:rsidRPr="002E5EEE">
        <w:rPr>
          <w:rFonts w:ascii="Arial" w:eastAsiaTheme="majorEastAsia" w:hAnsi="Arial" w:cs="Arial"/>
          <w:sz w:val="20"/>
          <w:szCs w:val="20"/>
          <w:lang w:val="en-US"/>
        </w:rPr>
        <w:t>, which makes the approximation acceptable.</w:t>
      </w:r>
    </w:p>
    <w:p w14:paraId="15EF3AB1" w14:textId="77777777" w:rsidR="00AF1502" w:rsidRPr="002E5EEE" w:rsidRDefault="00AF1502" w:rsidP="00AF1502">
      <w:pPr>
        <w:pStyle w:val="Sansinterligne"/>
        <w:jc w:val="both"/>
        <w:rPr>
          <w:rFonts w:ascii="Arial" w:eastAsiaTheme="majorEastAsia" w:hAnsi="Arial" w:cs="Arial"/>
          <w:sz w:val="20"/>
          <w:szCs w:val="20"/>
          <w:lang w:val="en-US"/>
        </w:rPr>
      </w:pPr>
    </w:p>
    <w:p w14:paraId="15AB4BA1" w14:textId="77777777" w:rsidR="00AF1502" w:rsidRPr="00AF1502" w:rsidRDefault="00360873" w:rsidP="00AF1502">
      <w:pPr>
        <w:pStyle w:val="Sansinterligne"/>
        <w:numPr>
          <w:ilvl w:val="1"/>
          <w:numId w:val="41"/>
        </w:numPr>
        <w:jc w:val="both"/>
        <w:rPr>
          <w:rFonts w:ascii="Arial" w:eastAsiaTheme="majorEastAsia" w:hAnsi="Arial" w:cs="Arial"/>
          <w:sz w:val="20"/>
          <w:szCs w:val="20"/>
          <w:u w:val="single"/>
        </w:rPr>
      </w:pPr>
      <w:r w:rsidRPr="00360873">
        <w:rPr>
          <w:rFonts w:ascii="Arial" w:eastAsiaTheme="majorEastAsia" w:hAnsi="Arial" w:cs="Arial"/>
          <w:sz w:val="20"/>
          <w:szCs w:val="20"/>
          <w:u w:val="single"/>
        </w:rPr>
        <w:t>Adding F.523 to F.522</w:t>
      </w:r>
    </w:p>
    <w:p w14:paraId="67812339" w14:textId="77777777" w:rsidR="00AF1502" w:rsidRPr="00AF1502" w:rsidRDefault="00AF1502" w:rsidP="00AF1502">
      <w:pPr>
        <w:pStyle w:val="Sansinterligne"/>
        <w:jc w:val="both"/>
        <w:rPr>
          <w:rFonts w:ascii="Arial" w:eastAsiaTheme="majorEastAsia" w:hAnsi="Arial" w:cs="Arial"/>
          <w:color w:val="365F91" w:themeColor="accent1" w:themeShade="BF"/>
          <w:sz w:val="20"/>
          <w:szCs w:val="20"/>
        </w:rPr>
      </w:pPr>
    </w:p>
    <w:p w14:paraId="60312356" w14:textId="7F2CC8D6" w:rsidR="00360873" w:rsidRPr="002E5EEE" w:rsidRDefault="00360873" w:rsidP="00360873">
      <w:pPr>
        <w:pStyle w:val="Sansinterligne"/>
        <w:jc w:val="both"/>
        <w:rPr>
          <w:rFonts w:ascii="Arial" w:eastAsiaTheme="majorEastAsia" w:hAnsi="Arial" w:cs="Arial"/>
          <w:sz w:val="20"/>
          <w:szCs w:val="20"/>
          <w:lang w:val="en-US"/>
        </w:rPr>
      </w:pPr>
      <w:r w:rsidRPr="002E5EEE">
        <w:rPr>
          <w:rFonts w:ascii="Arial" w:eastAsiaTheme="majorEastAsia" w:hAnsi="Arial" w:cs="Arial"/>
          <w:sz w:val="20"/>
          <w:szCs w:val="20"/>
          <w:lang w:val="en-US"/>
        </w:rPr>
        <w:t xml:space="preserve">In </w:t>
      </w:r>
      <w:r w:rsidR="00ED3D7B">
        <w:rPr>
          <w:rFonts w:ascii="Arial" w:eastAsiaTheme="majorEastAsia" w:hAnsi="Arial" w:cs="Arial"/>
          <w:sz w:val="20"/>
          <w:szCs w:val="20"/>
          <w:lang w:val="en-US"/>
        </w:rPr>
        <w:t>benchmark</w:t>
      </w:r>
      <w:r w:rsidRPr="002E5EEE">
        <w:rPr>
          <w:rFonts w:ascii="Arial" w:eastAsiaTheme="majorEastAsia" w:hAnsi="Arial" w:cs="Arial"/>
          <w:sz w:val="20"/>
          <w:szCs w:val="20"/>
          <w:lang w:val="en-US"/>
        </w:rPr>
        <w:t xml:space="preserve"> 2000, subheading F.523 covers transactions in shares of various investment funds, including units in venture capital mutual funds (FCPR), company mutual funds (FCPE), futures market mutual funds, real estate investment trusts (SCPI) and foreign mutual funds.</w:t>
      </w:r>
    </w:p>
    <w:p w14:paraId="58258E15" w14:textId="77777777" w:rsidR="00360873" w:rsidRPr="002E5EEE" w:rsidRDefault="00360873" w:rsidP="00360873">
      <w:pPr>
        <w:pStyle w:val="Sansinterligne"/>
        <w:jc w:val="both"/>
        <w:rPr>
          <w:rFonts w:ascii="Arial" w:eastAsiaTheme="majorEastAsia" w:hAnsi="Arial" w:cs="Arial"/>
          <w:sz w:val="20"/>
          <w:szCs w:val="20"/>
          <w:lang w:val="en-US"/>
        </w:rPr>
      </w:pPr>
    </w:p>
    <w:p w14:paraId="33C88E6D" w14:textId="77777777" w:rsidR="00AF1502" w:rsidRPr="002E5EEE" w:rsidRDefault="00360873" w:rsidP="00360873">
      <w:pPr>
        <w:pStyle w:val="Sansinterligne"/>
        <w:jc w:val="both"/>
        <w:rPr>
          <w:rFonts w:ascii="Arial" w:eastAsiaTheme="majorEastAsia" w:hAnsi="Arial" w:cs="Arial"/>
          <w:sz w:val="20"/>
          <w:szCs w:val="20"/>
          <w:lang w:val="en-US"/>
        </w:rPr>
      </w:pPr>
      <w:r w:rsidRPr="002E5EEE">
        <w:rPr>
          <w:rFonts w:ascii="Arial" w:eastAsiaTheme="majorEastAsia" w:hAnsi="Arial" w:cs="Arial"/>
          <w:sz w:val="20"/>
          <w:szCs w:val="20"/>
          <w:lang w:val="en-US"/>
        </w:rPr>
        <w:t>This F.523 instrument is fully included in non-money-market mutual fund units (F.522), and no additional methodological problems are to be noted.</w:t>
      </w:r>
      <w:r w:rsidR="00AF1502" w:rsidRPr="002E5EEE">
        <w:rPr>
          <w:rFonts w:ascii="Arial" w:eastAsiaTheme="majorEastAsia" w:hAnsi="Arial" w:cs="Arial"/>
          <w:sz w:val="20"/>
          <w:szCs w:val="20"/>
          <w:lang w:val="en-US"/>
        </w:rPr>
        <w:t xml:space="preserve"> </w:t>
      </w:r>
    </w:p>
    <w:p w14:paraId="300CBA6C" w14:textId="77777777" w:rsidR="00AF1502" w:rsidRPr="002E5EEE" w:rsidRDefault="00AF1502" w:rsidP="00AF1502">
      <w:pPr>
        <w:pStyle w:val="Sansinterligne"/>
        <w:jc w:val="both"/>
        <w:rPr>
          <w:rFonts w:ascii="Arial" w:eastAsiaTheme="majorEastAsia" w:hAnsi="Arial" w:cs="Arial"/>
          <w:sz w:val="20"/>
          <w:szCs w:val="20"/>
          <w:lang w:val="en-US"/>
        </w:rPr>
      </w:pPr>
    </w:p>
    <w:p w14:paraId="73589E5E" w14:textId="77777777" w:rsidR="00AF1502" w:rsidRPr="002E5EEE" w:rsidRDefault="00AF1502" w:rsidP="00AF1502">
      <w:pPr>
        <w:pStyle w:val="Sansinterligne"/>
        <w:jc w:val="both"/>
        <w:rPr>
          <w:rFonts w:ascii="Arial" w:eastAsiaTheme="majorEastAsia" w:hAnsi="Arial" w:cs="Arial"/>
          <w:sz w:val="20"/>
          <w:szCs w:val="20"/>
          <w:lang w:val="en-US"/>
        </w:rPr>
      </w:pPr>
    </w:p>
    <w:p w14:paraId="29C073E3" w14:textId="77777777" w:rsidR="00AF1502" w:rsidRPr="002E5EEE" w:rsidRDefault="00AF1502" w:rsidP="00AF1502">
      <w:pPr>
        <w:pStyle w:val="Sansinterligne"/>
        <w:jc w:val="both"/>
        <w:rPr>
          <w:rFonts w:ascii="Arial" w:eastAsiaTheme="majorEastAsia" w:hAnsi="Arial" w:cs="Arial"/>
          <w:sz w:val="20"/>
          <w:szCs w:val="20"/>
          <w:lang w:val="en-US"/>
        </w:rPr>
      </w:pPr>
    </w:p>
    <w:p w14:paraId="572A8921" w14:textId="77777777" w:rsidR="00AF1502" w:rsidRPr="002E5EEE" w:rsidRDefault="00AF1502" w:rsidP="00AF1502">
      <w:pPr>
        <w:pStyle w:val="Sansinterligne"/>
        <w:jc w:val="both"/>
        <w:rPr>
          <w:rFonts w:ascii="Arial" w:eastAsiaTheme="majorEastAsia" w:hAnsi="Arial" w:cs="Arial"/>
          <w:sz w:val="20"/>
          <w:szCs w:val="20"/>
          <w:lang w:val="en-US"/>
        </w:rPr>
      </w:pPr>
    </w:p>
    <w:p w14:paraId="15DBA3A3" w14:textId="77777777" w:rsidR="00AF1502" w:rsidRPr="002E5EEE" w:rsidRDefault="00AF1502" w:rsidP="00AF1502">
      <w:pPr>
        <w:pStyle w:val="Sansinterligne"/>
        <w:jc w:val="both"/>
        <w:rPr>
          <w:rFonts w:ascii="Arial" w:eastAsiaTheme="majorEastAsia" w:hAnsi="Arial" w:cs="Arial"/>
          <w:sz w:val="20"/>
          <w:szCs w:val="20"/>
          <w:lang w:val="en-US"/>
        </w:rPr>
      </w:pPr>
    </w:p>
    <w:p w14:paraId="2621663B" w14:textId="77777777" w:rsidR="00AF1502" w:rsidRPr="002E5EEE" w:rsidRDefault="00360873" w:rsidP="00AF1502">
      <w:pPr>
        <w:pStyle w:val="Sansinterligne"/>
        <w:numPr>
          <w:ilvl w:val="1"/>
          <w:numId w:val="41"/>
        </w:numPr>
        <w:jc w:val="both"/>
        <w:rPr>
          <w:rFonts w:ascii="Arial" w:eastAsiaTheme="majorEastAsia" w:hAnsi="Arial" w:cs="Arial"/>
          <w:sz w:val="20"/>
          <w:szCs w:val="20"/>
          <w:u w:val="single"/>
          <w:lang w:val="en-US"/>
        </w:rPr>
      </w:pPr>
      <w:r w:rsidRPr="002E5EEE">
        <w:rPr>
          <w:rFonts w:ascii="Arial" w:eastAsiaTheme="majorEastAsia" w:hAnsi="Arial" w:cs="Arial"/>
          <w:sz w:val="20"/>
          <w:szCs w:val="20"/>
          <w:u w:val="single"/>
          <w:lang w:val="en-US"/>
        </w:rPr>
        <w:lastRenderedPageBreak/>
        <w:t>Breakdown of</w:t>
      </w:r>
      <w:r w:rsidR="00AF1502" w:rsidRPr="002E5EEE">
        <w:rPr>
          <w:rFonts w:ascii="Arial" w:eastAsiaTheme="majorEastAsia" w:hAnsi="Arial" w:cs="Arial"/>
          <w:sz w:val="20"/>
          <w:szCs w:val="20"/>
          <w:u w:val="single"/>
          <w:lang w:val="en-US"/>
        </w:rPr>
        <w:t xml:space="preserve"> F.611 </w:t>
      </w:r>
      <w:r w:rsidRPr="002E5EEE">
        <w:rPr>
          <w:rFonts w:ascii="Arial" w:eastAsiaTheme="majorEastAsia" w:hAnsi="Arial" w:cs="Arial"/>
          <w:sz w:val="20"/>
          <w:szCs w:val="20"/>
          <w:u w:val="single"/>
          <w:lang w:val="en-US"/>
        </w:rPr>
        <w:t>into</w:t>
      </w:r>
      <w:r w:rsidR="00AF1502" w:rsidRPr="002E5EEE">
        <w:rPr>
          <w:rFonts w:ascii="Arial" w:eastAsiaTheme="majorEastAsia" w:hAnsi="Arial" w:cs="Arial"/>
          <w:sz w:val="20"/>
          <w:szCs w:val="20"/>
          <w:u w:val="single"/>
          <w:lang w:val="en-US"/>
        </w:rPr>
        <w:t xml:space="preserve"> F.621 </w:t>
      </w:r>
      <w:r w:rsidRPr="002E5EEE">
        <w:rPr>
          <w:rFonts w:ascii="Arial" w:eastAsiaTheme="majorEastAsia" w:hAnsi="Arial" w:cs="Arial"/>
          <w:sz w:val="20"/>
          <w:szCs w:val="20"/>
          <w:u w:val="single"/>
          <w:lang w:val="en-US"/>
        </w:rPr>
        <w:t>and</w:t>
      </w:r>
      <w:r w:rsidR="00AF1502" w:rsidRPr="002E5EEE">
        <w:rPr>
          <w:rFonts w:ascii="Arial" w:eastAsiaTheme="majorEastAsia" w:hAnsi="Arial" w:cs="Arial"/>
          <w:sz w:val="20"/>
          <w:szCs w:val="20"/>
          <w:u w:val="single"/>
          <w:lang w:val="en-US"/>
        </w:rPr>
        <w:t xml:space="preserve"> F.622</w:t>
      </w:r>
    </w:p>
    <w:p w14:paraId="6A5B99E2" w14:textId="77777777" w:rsidR="00AF1502" w:rsidRPr="002E5EEE" w:rsidRDefault="00AF1502" w:rsidP="00AF1502">
      <w:pPr>
        <w:pStyle w:val="Sansinterligne"/>
        <w:jc w:val="both"/>
        <w:rPr>
          <w:rFonts w:ascii="Arial" w:eastAsiaTheme="majorEastAsia" w:hAnsi="Arial" w:cs="Arial"/>
          <w:i/>
          <w:sz w:val="20"/>
          <w:szCs w:val="20"/>
          <w:lang w:val="en-US"/>
        </w:rPr>
      </w:pPr>
    </w:p>
    <w:p w14:paraId="572B52A2" w14:textId="4C3DB237" w:rsidR="00360873" w:rsidRPr="001D0E62" w:rsidRDefault="00360873" w:rsidP="00360873">
      <w:pPr>
        <w:jc w:val="both"/>
        <w:rPr>
          <w:rFonts w:ascii="Arial" w:eastAsiaTheme="majorEastAsia" w:hAnsi="Arial" w:cs="Arial"/>
          <w:lang w:val="en-US" w:eastAsia="en-US"/>
        </w:rPr>
      </w:pPr>
      <w:r w:rsidRPr="002E5EEE">
        <w:rPr>
          <w:rFonts w:ascii="Arial" w:eastAsiaTheme="majorEastAsia" w:hAnsi="Arial" w:cs="Arial"/>
          <w:lang w:val="en-US" w:eastAsia="en-US"/>
        </w:rPr>
        <w:t xml:space="preserve">The breakdown provided for in ESA 1995 between net equity of households in life insurance technical reserves (F.611) and net equity of households in pension funds (F.612) was not applied in the 2000 </w:t>
      </w:r>
      <w:r w:rsidR="00740C15">
        <w:rPr>
          <w:rFonts w:ascii="Arial" w:eastAsiaTheme="majorEastAsia" w:hAnsi="Arial" w:cs="Arial"/>
          <w:szCs w:val="30"/>
          <w:lang w:val="en-US"/>
        </w:rPr>
        <w:t>benchmark</w:t>
      </w:r>
      <w:r w:rsidRPr="002E5EEE">
        <w:rPr>
          <w:rFonts w:ascii="Arial" w:eastAsiaTheme="majorEastAsia" w:hAnsi="Arial" w:cs="Arial"/>
          <w:lang w:val="en-US" w:eastAsia="en-US"/>
        </w:rPr>
        <w:t xml:space="preserve">. </w:t>
      </w:r>
      <w:r w:rsidRPr="001D0E62">
        <w:rPr>
          <w:rFonts w:ascii="Arial" w:eastAsiaTheme="majorEastAsia" w:hAnsi="Arial" w:cs="Arial"/>
          <w:lang w:val="en-US" w:eastAsia="en-US"/>
        </w:rPr>
        <w:t xml:space="preserve">Both were grouped together in accounting </w:t>
      </w:r>
      <w:r w:rsidR="00AB2BC6">
        <w:rPr>
          <w:rFonts w:ascii="Arial" w:eastAsiaTheme="majorEastAsia" w:hAnsi="Arial" w:cs="Arial"/>
          <w:lang w:val="en-US" w:eastAsia="en-US"/>
        </w:rPr>
        <w:t>item</w:t>
      </w:r>
      <w:r w:rsidR="00AB2BC6" w:rsidRPr="001D0E62">
        <w:rPr>
          <w:rFonts w:ascii="Arial" w:eastAsiaTheme="majorEastAsia" w:hAnsi="Arial" w:cs="Arial"/>
          <w:lang w:val="en-US" w:eastAsia="en-US"/>
        </w:rPr>
        <w:t xml:space="preserve"> </w:t>
      </w:r>
      <w:r w:rsidRPr="001D0E62">
        <w:rPr>
          <w:rFonts w:ascii="Arial" w:eastAsiaTheme="majorEastAsia" w:hAnsi="Arial" w:cs="Arial"/>
          <w:lang w:val="en-US" w:eastAsia="en-US"/>
        </w:rPr>
        <w:t>F.611.</w:t>
      </w:r>
    </w:p>
    <w:p w14:paraId="340E0165" w14:textId="77777777" w:rsidR="00360873" w:rsidRPr="001D0E62" w:rsidRDefault="00360873" w:rsidP="00360873">
      <w:pPr>
        <w:jc w:val="both"/>
        <w:rPr>
          <w:rFonts w:ascii="Arial" w:eastAsiaTheme="majorEastAsia" w:hAnsi="Arial" w:cs="Arial"/>
          <w:lang w:val="en-US" w:eastAsia="en-US"/>
        </w:rPr>
      </w:pPr>
    </w:p>
    <w:p w14:paraId="185852CA" w14:textId="0678251C" w:rsidR="00AF1502" w:rsidRPr="002E5EEE" w:rsidRDefault="00360873" w:rsidP="00360873">
      <w:pPr>
        <w:jc w:val="both"/>
        <w:rPr>
          <w:rFonts w:ascii="Arial" w:hAnsi="Arial" w:cs="Arial"/>
          <w:lang w:val="en-US"/>
        </w:rPr>
      </w:pPr>
      <w:r w:rsidRPr="002E5EEE">
        <w:rPr>
          <w:rFonts w:ascii="Arial" w:eastAsiaTheme="majorEastAsia" w:hAnsi="Arial" w:cs="Arial"/>
          <w:lang w:val="en-US" w:eastAsia="en-US"/>
        </w:rPr>
        <w:t xml:space="preserve">To provide this distinction, which is present in </w:t>
      </w:r>
      <w:r w:rsidR="00ED3D7B">
        <w:rPr>
          <w:rFonts w:ascii="Arial" w:eastAsiaTheme="majorEastAsia" w:hAnsi="Arial" w:cs="Arial"/>
          <w:lang w:val="en-US" w:eastAsia="en-US"/>
        </w:rPr>
        <w:t>benchmark</w:t>
      </w:r>
      <w:r w:rsidRPr="002E5EEE">
        <w:rPr>
          <w:rFonts w:ascii="Arial" w:eastAsiaTheme="majorEastAsia" w:hAnsi="Arial" w:cs="Arial"/>
          <w:lang w:val="en-US" w:eastAsia="en-US"/>
        </w:rPr>
        <w:t xml:space="preserve"> 2014 but absent from </w:t>
      </w:r>
      <w:r w:rsidR="00ED3D7B">
        <w:rPr>
          <w:rFonts w:ascii="Arial" w:eastAsiaTheme="majorEastAsia" w:hAnsi="Arial" w:cs="Arial"/>
          <w:lang w:val="en-US" w:eastAsia="en-US"/>
        </w:rPr>
        <w:t>benchmark</w:t>
      </w:r>
      <w:r w:rsidRPr="002E5EEE">
        <w:rPr>
          <w:rFonts w:ascii="Arial" w:eastAsiaTheme="majorEastAsia" w:hAnsi="Arial" w:cs="Arial"/>
          <w:lang w:val="en-US" w:eastAsia="en-US"/>
        </w:rPr>
        <w:t xml:space="preserve"> 2000, we have calculated the average breakdown observed in </w:t>
      </w:r>
      <w:r w:rsidR="00ED3D7B">
        <w:rPr>
          <w:rFonts w:ascii="Arial" w:eastAsiaTheme="majorEastAsia" w:hAnsi="Arial" w:cs="Arial"/>
          <w:lang w:val="en-US" w:eastAsia="en-US"/>
        </w:rPr>
        <w:t>benchmark</w:t>
      </w:r>
      <w:r w:rsidRPr="002E5EEE">
        <w:rPr>
          <w:rFonts w:ascii="Arial" w:eastAsiaTheme="majorEastAsia" w:hAnsi="Arial" w:cs="Arial"/>
          <w:lang w:val="en-US" w:eastAsia="en-US"/>
        </w:rPr>
        <w:t xml:space="preserve"> 2014 between 1995 and 2009 and applied this breakdown to the period 1997-1994. </w:t>
      </w:r>
      <w:r w:rsidR="00AB2BC6">
        <w:rPr>
          <w:rFonts w:ascii="Arial" w:eastAsiaTheme="majorEastAsia" w:hAnsi="Arial" w:cs="Arial"/>
          <w:lang w:val="en-US" w:eastAsia="en-US"/>
        </w:rPr>
        <w:t>However, t</w:t>
      </w:r>
      <w:r w:rsidRPr="002E5EEE">
        <w:rPr>
          <w:rFonts w:ascii="Arial" w:eastAsiaTheme="majorEastAsia" w:hAnsi="Arial" w:cs="Arial"/>
          <w:lang w:val="en-US" w:eastAsia="en-US"/>
        </w:rPr>
        <w:t xml:space="preserve">his methodological choice remains very fragile, given that a fixed </w:t>
      </w:r>
      <w:r w:rsidR="00AB2BC6">
        <w:rPr>
          <w:rFonts w:ascii="Arial" w:eastAsiaTheme="majorEastAsia" w:hAnsi="Arial" w:cs="Arial"/>
          <w:lang w:val="en-US"/>
        </w:rPr>
        <w:t>coefficient</w:t>
      </w:r>
      <w:r w:rsidRPr="002E5EEE">
        <w:rPr>
          <w:rFonts w:ascii="Arial" w:eastAsiaTheme="majorEastAsia" w:hAnsi="Arial" w:cs="Arial"/>
          <w:lang w:val="en-US" w:eastAsia="en-US"/>
        </w:rPr>
        <w:t xml:space="preserve"> had already been used to estimate these series before 2009, </w:t>
      </w:r>
      <w:r w:rsidR="00AB2BC6">
        <w:rPr>
          <w:rFonts w:ascii="Arial" w:eastAsiaTheme="majorEastAsia" w:hAnsi="Arial" w:cs="Arial"/>
          <w:lang w:val="en-US" w:eastAsia="en-US"/>
        </w:rPr>
        <w:t>(</w:t>
      </w:r>
      <w:r w:rsidRPr="002E5EEE">
        <w:rPr>
          <w:rFonts w:ascii="Arial" w:eastAsiaTheme="majorEastAsia" w:hAnsi="Arial" w:cs="Arial"/>
          <w:lang w:val="en-US" w:eastAsia="en-US"/>
        </w:rPr>
        <w:t>and we assume that there were far fewer pensions in the 80s and 90s</w:t>
      </w:r>
      <w:r w:rsidR="00AB2BC6">
        <w:rPr>
          <w:rFonts w:ascii="Arial" w:eastAsiaTheme="majorEastAsia" w:hAnsi="Arial" w:cs="Arial"/>
          <w:lang w:val="en-US" w:eastAsia="en-US"/>
        </w:rPr>
        <w:t>)</w:t>
      </w:r>
      <w:r w:rsidRPr="002E5EEE">
        <w:rPr>
          <w:rFonts w:ascii="Arial" w:eastAsiaTheme="majorEastAsia" w:hAnsi="Arial" w:cs="Arial"/>
          <w:lang w:val="en-US" w:eastAsia="en-US"/>
        </w:rPr>
        <w:t>. The construction of these series will be the subject of a specific study and will be reviewed at a later date.</w:t>
      </w:r>
    </w:p>
    <w:p w14:paraId="0F6CD3B9" w14:textId="77777777" w:rsidR="00AF1502" w:rsidRPr="002E5EEE" w:rsidRDefault="00AF1502" w:rsidP="00AF1502">
      <w:pPr>
        <w:pStyle w:val="Sansinterligne"/>
        <w:jc w:val="both"/>
        <w:rPr>
          <w:rFonts w:ascii="Arial" w:eastAsiaTheme="majorEastAsia" w:hAnsi="Arial" w:cs="Arial"/>
          <w:color w:val="365F91" w:themeColor="accent1" w:themeShade="BF"/>
          <w:sz w:val="20"/>
          <w:szCs w:val="20"/>
          <w:lang w:val="en-US"/>
        </w:rPr>
      </w:pPr>
    </w:p>
    <w:p w14:paraId="5D03067E" w14:textId="77777777" w:rsidR="00AF1502" w:rsidRPr="00AF1502" w:rsidRDefault="00AF1502" w:rsidP="00AF1502">
      <w:pPr>
        <w:pStyle w:val="Sansinterligne"/>
        <w:jc w:val="both"/>
        <w:rPr>
          <w:rFonts w:ascii="Arial" w:eastAsiaTheme="majorEastAsia" w:hAnsi="Arial" w:cs="Arial"/>
          <w:color w:val="365F91" w:themeColor="accent1" w:themeShade="BF"/>
          <w:sz w:val="20"/>
          <w:szCs w:val="20"/>
        </w:rPr>
      </w:pPr>
      <w:r w:rsidRPr="00AF1502">
        <w:rPr>
          <w:rFonts w:ascii="Arial" w:eastAsiaTheme="majorEastAsia" w:hAnsi="Arial" w:cs="Arial"/>
          <w:noProof/>
          <w:color w:val="365F91" w:themeColor="accent1" w:themeShade="BF"/>
          <w:sz w:val="20"/>
          <w:szCs w:val="20"/>
          <w:lang w:eastAsia="fr-FR"/>
        </w:rPr>
        <w:drawing>
          <wp:inline distT="0" distB="0" distL="0" distR="0" wp14:anchorId="1AC01083" wp14:editId="554637CC">
            <wp:extent cx="4922947" cy="1226926"/>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922947" cy="1226926"/>
                    </a:xfrm>
                    <a:prstGeom prst="rect">
                      <a:avLst/>
                    </a:prstGeom>
                  </pic:spPr>
                </pic:pic>
              </a:graphicData>
            </a:graphic>
          </wp:inline>
        </w:drawing>
      </w:r>
    </w:p>
    <w:p w14:paraId="581D0902" w14:textId="77777777" w:rsidR="00AF1502" w:rsidRPr="00AF1502" w:rsidRDefault="00AF1502" w:rsidP="00AF1502">
      <w:pPr>
        <w:pStyle w:val="Sansinterligne"/>
        <w:jc w:val="both"/>
        <w:rPr>
          <w:rFonts w:ascii="Arial" w:eastAsiaTheme="majorEastAsia" w:hAnsi="Arial" w:cs="Arial"/>
          <w:color w:val="365F91" w:themeColor="accent1" w:themeShade="BF"/>
          <w:sz w:val="20"/>
          <w:szCs w:val="20"/>
        </w:rPr>
      </w:pPr>
    </w:p>
    <w:p w14:paraId="6CEF6784" w14:textId="77777777" w:rsidR="00AF1502" w:rsidRPr="00AF1502" w:rsidRDefault="00AF1502" w:rsidP="00AF1502">
      <w:pPr>
        <w:pStyle w:val="Sansinterligne"/>
        <w:jc w:val="both"/>
        <w:rPr>
          <w:rFonts w:ascii="Arial" w:eastAsiaTheme="majorEastAsia" w:hAnsi="Arial" w:cs="Arial"/>
          <w:color w:val="365F91" w:themeColor="accent1" w:themeShade="BF"/>
          <w:sz w:val="20"/>
          <w:szCs w:val="20"/>
        </w:rPr>
      </w:pPr>
    </w:p>
    <w:p w14:paraId="37633255" w14:textId="77777777" w:rsidR="00AF1502" w:rsidRPr="00AF1502" w:rsidRDefault="00360873" w:rsidP="00AF1502">
      <w:pPr>
        <w:pStyle w:val="Sansinterligne"/>
        <w:numPr>
          <w:ilvl w:val="1"/>
          <w:numId w:val="41"/>
        </w:numPr>
        <w:jc w:val="both"/>
        <w:rPr>
          <w:rFonts w:ascii="Arial" w:eastAsiaTheme="majorEastAsia" w:hAnsi="Arial" w:cs="Arial"/>
          <w:sz w:val="20"/>
          <w:szCs w:val="20"/>
          <w:u w:val="single"/>
        </w:rPr>
      </w:pPr>
      <w:r w:rsidRPr="00360873">
        <w:rPr>
          <w:rFonts w:ascii="Arial" w:eastAsiaTheme="majorEastAsia" w:hAnsi="Arial" w:cs="Arial"/>
          <w:sz w:val="20"/>
          <w:szCs w:val="20"/>
          <w:u w:val="single"/>
        </w:rPr>
        <w:t>Processing standard warranties (F.66)</w:t>
      </w:r>
    </w:p>
    <w:p w14:paraId="738EB89F" w14:textId="77777777" w:rsidR="00AF1502" w:rsidRPr="00AF1502" w:rsidRDefault="00AF1502" w:rsidP="00AF1502">
      <w:pPr>
        <w:pStyle w:val="Sansinterligne"/>
        <w:jc w:val="both"/>
        <w:rPr>
          <w:rFonts w:ascii="Arial" w:eastAsiaTheme="majorEastAsia" w:hAnsi="Arial" w:cs="Arial"/>
          <w:color w:val="365F91" w:themeColor="accent1" w:themeShade="BF"/>
          <w:sz w:val="20"/>
          <w:szCs w:val="20"/>
        </w:rPr>
      </w:pPr>
    </w:p>
    <w:p w14:paraId="454DB27C" w14:textId="5617E287" w:rsidR="00AF1502" w:rsidRPr="002E5EEE" w:rsidRDefault="00360873" w:rsidP="00AF1502">
      <w:pPr>
        <w:pStyle w:val="Sansinterligne"/>
        <w:jc w:val="both"/>
        <w:rPr>
          <w:rFonts w:ascii="Arial" w:eastAsiaTheme="majorEastAsia" w:hAnsi="Arial" w:cs="Arial"/>
          <w:sz w:val="20"/>
          <w:szCs w:val="20"/>
          <w:lang w:val="en-US"/>
        </w:rPr>
      </w:pPr>
      <w:r w:rsidRPr="002E5EEE">
        <w:rPr>
          <w:rFonts w:ascii="Arial" w:eastAsiaTheme="majorEastAsia" w:hAnsi="Arial" w:cs="Arial"/>
          <w:sz w:val="20"/>
          <w:szCs w:val="20"/>
          <w:lang w:val="en-US"/>
        </w:rPr>
        <w:t xml:space="preserve">As the amounts in F.66 are very low, or even zero, in </w:t>
      </w:r>
      <w:r w:rsidR="00ED3D7B">
        <w:rPr>
          <w:rFonts w:ascii="Arial" w:eastAsiaTheme="majorEastAsia" w:hAnsi="Arial" w:cs="Arial"/>
          <w:sz w:val="20"/>
          <w:szCs w:val="20"/>
          <w:lang w:val="en-US"/>
        </w:rPr>
        <w:t>benchmark</w:t>
      </w:r>
      <w:r w:rsidRPr="002E5EEE">
        <w:rPr>
          <w:rFonts w:ascii="Arial" w:eastAsiaTheme="majorEastAsia" w:hAnsi="Arial" w:cs="Arial"/>
          <w:sz w:val="20"/>
          <w:szCs w:val="20"/>
          <w:lang w:val="en-US"/>
        </w:rPr>
        <w:t xml:space="preserve"> 2014, this series has not been back</w:t>
      </w:r>
      <w:r w:rsidR="00AB2BC6">
        <w:rPr>
          <w:rFonts w:ascii="Arial" w:eastAsiaTheme="majorEastAsia" w:hAnsi="Arial" w:cs="Arial"/>
          <w:sz w:val="20"/>
          <w:szCs w:val="20"/>
          <w:lang w:val="en-US"/>
        </w:rPr>
        <w:t>casted</w:t>
      </w:r>
      <w:r w:rsidRPr="002E5EEE">
        <w:rPr>
          <w:rFonts w:ascii="Arial" w:eastAsiaTheme="majorEastAsia" w:hAnsi="Arial" w:cs="Arial"/>
          <w:sz w:val="20"/>
          <w:szCs w:val="20"/>
          <w:lang w:val="en-US"/>
        </w:rPr>
        <w:t>.</w:t>
      </w:r>
    </w:p>
    <w:p w14:paraId="50C5094D" w14:textId="77777777" w:rsidR="00AF1502" w:rsidRPr="002E5EEE" w:rsidRDefault="00AF1502" w:rsidP="00AF1502">
      <w:pPr>
        <w:pStyle w:val="Sansinterligne"/>
        <w:jc w:val="both"/>
        <w:rPr>
          <w:rFonts w:ascii="Arial" w:eastAsiaTheme="majorEastAsia" w:hAnsi="Arial" w:cs="Arial"/>
          <w:sz w:val="20"/>
          <w:szCs w:val="20"/>
          <w:lang w:val="en-US"/>
        </w:rPr>
      </w:pPr>
    </w:p>
    <w:p w14:paraId="3202A90A" w14:textId="77777777" w:rsidR="00AF1502" w:rsidRPr="002E5EEE" w:rsidRDefault="00AF1502" w:rsidP="00AF1502">
      <w:pPr>
        <w:pStyle w:val="Sansinterligne"/>
        <w:jc w:val="both"/>
        <w:rPr>
          <w:rFonts w:ascii="Arial" w:eastAsiaTheme="majorEastAsia" w:hAnsi="Arial" w:cs="Arial"/>
          <w:sz w:val="20"/>
          <w:szCs w:val="20"/>
          <w:lang w:val="en-US"/>
        </w:rPr>
      </w:pPr>
    </w:p>
    <w:p w14:paraId="2B1BA4D9" w14:textId="77777777" w:rsidR="00AF1502" w:rsidRPr="002E5EEE" w:rsidRDefault="00360873" w:rsidP="00AF1502">
      <w:pPr>
        <w:pStyle w:val="Sansinterligne"/>
        <w:numPr>
          <w:ilvl w:val="0"/>
          <w:numId w:val="40"/>
        </w:numPr>
        <w:jc w:val="both"/>
        <w:rPr>
          <w:rFonts w:ascii="Arial" w:eastAsiaTheme="majorEastAsia" w:hAnsi="Arial" w:cs="Arial"/>
          <w:sz w:val="20"/>
          <w:szCs w:val="20"/>
          <w:u w:val="single"/>
          <w:lang w:val="en-US"/>
        </w:rPr>
      </w:pPr>
      <w:r w:rsidRPr="002E5EEE">
        <w:rPr>
          <w:rFonts w:ascii="Arial" w:eastAsiaTheme="majorEastAsia" w:hAnsi="Arial" w:cs="Arial"/>
          <w:sz w:val="20"/>
          <w:szCs w:val="20"/>
          <w:u w:val="single"/>
          <w:lang w:val="en-US"/>
        </w:rPr>
        <w:t>Joining institutional sectors between ESA 1995 and ESA 2010</w:t>
      </w:r>
    </w:p>
    <w:p w14:paraId="5E8FE5DB" w14:textId="77777777" w:rsidR="00AF1502" w:rsidRPr="002E5EEE" w:rsidRDefault="00AF1502" w:rsidP="00AF1502">
      <w:pPr>
        <w:pStyle w:val="Sansinterligne"/>
        <w:jc w:val="both"/>
        <w:rPr>
          <w:rFonts w:ascii="Arial" w:eastAsiaTheme="majorEastAsia" w:hAnsi="Arial" w:cs="Arial"/>
          <w:sz w:val="20"/>
          <w:szCs w:val="20"/>
          <w:u w:val="single"/>
          <w:lang w:val="en-US"/>
        </w:rPr>
      </w:pPr>
    </w:p>
    <w:p w14:paraId="5171F845" w14:textId="77777777" w:rsidR="00AF1502" w:rsidRPr="002E5EEE" w:rsidRDefault="00360873" w:rsidP="00AF1502">
      <w:pPr>
        <w:pStyle w:val="Sansinterligne"/>
        <w:jc w:val="both"/>
        <w:rPr>
          <w:rFonts w:ascii="Arial" w:eastAsiaTheme="majorEastAsia" w:hAnsi="Arial" w:cs="Arial"/>
          <w:sz w:val="20"/>
          <w:szCs w:val="20"/>
          <w:u w:val="single"/>
          <w:lang w:val="en-US"/>
        </w:rPr>
      </w:pPr>
      <w:r w:rsidRPr="002E5EEE">
        <w:rPr>
          <w:rFonts w:ascii="Arial" w:eastAsiaTheme="majorEastAsia" w:hAnsi="Arial" w:cs="Arial"/>
          <w:sz w:val="20"/>
          <w:szCs w:val="20"/>
          <w:u w:val="single"/>
          <w:lang w:val="en-US"/>
        </w:rPr>
        <w:t>Estimation of series in S.127</w:t>
      </w:r>
    </w:p>
    <w:p w14:paraId="1C4E569F" w14:textId="77777777" w:rsidR="00AF1502" w:rsidRPr="002E5EEE" w:rsidRDefault="00AF1502" w:rsidP="00AF1502">
      <w:pPr>
        <w:pStyle w:val="Sansinterligne"/>
        <w:ind w:firstLine="708"/>
        <w:jc w:val="both"/>
        <w:rPr>
          <w:rFonts w:ascii="Arial" w:eastAsiaTheme="majorEastAsia" w:hAnsi="Arial" w:cs="Arial"/>
          <w:sz w:val="20"/>
          <w:szCs w:val="20"/>
          <w:u w:val="single"/>
          <w:lang w:val="en-US"/>
        </w:rPr>
      </w:pPr>
    </w:p>
    <w:p w14:paraId="045DC64A" w14:textId="6D5A27D6" w:rsidR="00360873" w:rsidRPr="002E5EEE" w:rsidRDefault="00360873" w:rsidP="00360873">
      <w:pPr>
        <w:pStyle w:val="Sansinterligne"/>
        <w:jc w:val="both"/>
        <w:rPr>
          <w:rFonts w:ascii="Arial" w:hAnsi="Arial" w:cs="Arial"/>
          <w:sz w:val="20"/>
          <w:szCs w:val="20"/>
          <w:lang w:val="en-US"/>
        </w:rPr>
      </w:pPr>
      <w:r w:rsidRPr="002E5EEE">
        <w:rPr>
          <w:rFonts w:ascii="Arial" w:hAnsi="Arial" w:cs="Arial"/>
          <w:sz w:val="20"/>
          <w:szCs w:val="20"/>
          <w:lang w:val="en-US"/>
        </w:rPr>
        <w:t xml:space="preserve">Series on captive financial institutions and non-institutional lenders (sector S.127) are not available in </w:t>
      </w:r>
      <w:r w:rsidR="00ED3D7B">
        <w:rPr>
          <w:rFonts w:ascii="Arial" w:hAnsi="Arial" w:cs="Arial"/>
          <w:sz w:val="20"/>
          <w:szCs w:val="20"/>
          <w:lang w:val="en-US"/>
        </w:rPr>
        <w:t>benchmark</w:t>
      </w:r>
      <w:r w:rsidRPr="002E5EEE">
        <w:rPr>
          <w:rFonts w:ascii="Arial" w:hAnsi="Arial" w:cs="Arial"/>
          <w:sz w:val="20"/>
          <w:szCs w:val="20"/>
          <w:lang w:val="en-US"/>
        </w:rPr>
        <w:t xml:space="preserve"> 2000 for the years 1977-1994. </w:t>
      </w:r>
    </w:p>
    <w:p w14:paraId="1C8CC506" w14:textId="2D035499" w:rsidR="00AF1502" w:rsidRPr="002E5EEE" w:rsidRDefault="00360873" w:rsidP="00360873">
      <w:pPr>
        <w:pStyle w:val="Sansinterligne"/>
        <w:jc w:val="both"/>
        <w:rPr>
          <w:rFonts w:ascii="Arial" w:eastAsia="+mn-ea" w:hAnsi="Arial" w:cs="Arial"/>
          <w:kern w:val="24"/>
          <w:sz w:val="20"/>
          <w:szCs w:val="20"/>
          <w:lang w:val="en-US" w:eastAsia="fr-FR"/>
        </w:rPr>
      </w:pPr>
      <w:r w:rsidRPr="002E5EEE">
        <w:rPr>
          <w:rFonts w:ascii="Arial" w:hAnsi="Arial" w:cs="Arial"/>
          <w:sz w:val="20"/>
          <w:szCs w:val="20"/>
          <w:lang w:val="en-US"/>
        </w:rPr>
        <w:t xml:space="preserve">Only 13 series, non-zero in </w:t>
      </w:r>
      <w:r w:rsidR="00ED3D7B">
        <w:rPr>
          <w:rFonts w:ascii="Arial" w:hAnsi="Arial" w:cs="Arial"/>
          <w:sz w:val="20"/>
          <w:szCs w:val="20"/>
          <w:lang w:val="en-US"/>
        </w:rPr>
        <w:t>benchmark</w:t>
      </w:r>
      <w:r w:rsidRPr="002E5EEE">
        <w:rPr>
          <w:rFonts w:ascii="Arial" w:hAnsi="Arial" w:cs="Arial"/>
          <w:sz w:val="20"/>
          <w:szCs w:val="20"/>
          <w:lang w:val="en-US"/>
        </w:rPr>
        <w:t xml:space="preserve"> 2014, can be back</w:t>
      </w:r>
      <w:r w:rsidR="00AB2BC6">
        <w:rPr>
          <w:rFonts w:ascii="Arial" w:hAnsi="Arial" w:cs="Arial"/>
          <w:sz w:val="20"/>
          <w:szCs w:val="20"/>
          <w:lang w:val="en-US"/>
        </w:rPr>
        <w:t>casted</w:t>
      </w:r>
      <w:r w:rsidRPr="002E5EEE">
        <w:rPr>
          <w:rFonts w:ascii="Arial" w:hAnsi="Arial" w:cs="Arial"/>
          <w:sz w:val="20"/>
          <w:szCs w:val="20"/>
          <w:lang w:val="en-US"/>
        </w:rPr>
        <w:t>:</w:t>
      </w:r>
    </w:p>
    <w:p w14:paraId="5F6F3D3C" w14:textId="77777777" w:rsidR="00AF1502" w:rsidRPr="002E5EEE" w:rsidRDefault="00AF1502" w:rsidP="00AF1502">
      <w:pPr>
        <w:pStyle w:val="Sansinterligne"/>
        <w:jc w:val="both"/>
        <w:rPr>
          <w:rFonts w:ascii="Arial" w:eastAsia="+mn-ea" w:hAnsi="Arial" w:cs="Arial"/>
          <w:kern w:val="24"/>
          <w:sz w:val="20"/>
          <w:szCs w:val="20"/>
          <w:lang w:val="en-US" w:eastAsia="fr-FR"/>
        </w:rPr>
      </w:pPr>
    </w:p>
    <w:p w14:paraId="498D20A1" w14:textId="77777777" w:rsidR="00AF1502" w:rsidRPr="00AF1502" w:rsidRDefault="00F3379E" w:rsidP="00AF1502">
      <w:pPr>
        <w:pStyle w:val="Sansinterligne"/>
        <w:jc w:val="both"/>
        <w:rPr>
          <w:rFonts w:ascii="Arial" w:eastAsiaTheme="majorEastAsia" w:hAnsi="Arial" w:cs="Arial"/>
          <w:color w:val="365F91" w:themeColor="accent1" w:themeShade="BF"/>
          <w:sz w:val="20"/>
          <w:szCs w:val="20"/>
        </w:rPr>
      </w:pPr>
      <w:r w:rsidRPr="00F3379E">
        <w:rPr>
          <w:rFonts w:ascii="Arial" w:eastAsiaTheme="majorEastAsia" w:hAnsi="Arial" w:cs="Arial"/>
          <w:noProof/>
          <w:color w:val="365F91" w:themeColor="accent1" w:themeShade="BF"/>
          <w:sz w:val="20"/>
          <w:szCs w:val="20"/>
          <w:lang w:eastAsia="fr-FR"/>
        </w:rPr>
        <w:drawing>
          <wp:inline distT="0" distB="0" distL="0" distR="0" wp14:anchorId="01D76E85" wp14:editId="40B79CE3">
            <wp:extent cx="4328535" cy="2286198"/>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28535" cy="2286198"/>
                    </a:xfrm>
                    <a:prstGeom prst="rect">
                      <a:avLst/>
                    </a:prstGeom>
                  </pic:spPr>
                </pic:pic>
              </a:graphicData>
            </a:graphic>
          </wp:inline>
        </w:drawing>
      </w:r>
    </w:p>
    <w:p w14:paraId="4629A7AA" w14:textId="77777777" w:rsidR="00AF1502" w:rsidRPr="00AF1502" w:rsidRDefault="00AF1502" w:rsidP="00AF1502">
      <w:pPr>
        <w:pStyle w:val="Sansinterligne"/>
        <w:jc w:val="both"/>
        <w:rPr>
          <w:rFonts w:ascii="Arial" w:hAnsi="Arial" w:cs="Arial"/>
          <w:sz w:val="20"/>
          <w:szCs w:val="20"/>
        </w:rPr>
      </w:pPr>
    </w:p>
    <w:p w14:paraId="4712032B" w14:textId="77777777" w:rsidR="00AF1502" w:rsidRPr="00AF1502" w:rsidRDefault="00AF1502" w:rsidP="00AF1502">
      <w:pPr>
        <w:pStyle w:val="Sansinterligne"/>
        <w:jc w:val="both"/>
        <w:rPr>
          <w:rFonts w:ascii="Arial" w:hAnsi="Arial" w:cs="Arial"/>
          <w:sz w:val="20"/>
          <w:szCs w:val="20"/>
        </w:rPr>
      </w:pPr>
    </w:p>
    <w:p w14:paraId="19105D5E" w14:textId="77777777" w:rsidR="00360873" w:rsidRPr="002E5EEE" w:rsidRDefault="00360873" w:rsidP="00360873">
      <w:pPr>
        <w:pStyle w:val="Sansinterligne"/>
        <w:jc w:val="both"/>
        <w:rPr>
          <w:rFonts w:ascii="Arial" w:hAnsi="Arial" w:cs="Arial"/>
          <w:bCs/>
          <w:sz w:val="20"/>
          <w:szCs w:val="20"/>
          <w:lang w:val="en-US"/>
        </w:rPr>
      </w:pPr>
      <w:r w:rsidRPr="002E5EEE">
        <w:rPr>
          <w:rFonts w:ascii="Arial" w:hAnsi="Arial" w:cs="Arial"/>
          <w:bCs/>
          <w:sz w:val="20"/>
          <w:szCs w:val="20"/>
          <w:lang w:val="en-US"/>
        </w:rPr>
        <w:t xml:space="preserve">To estimate them over this period, we have opted for a simple estimation method. </w:t>
      </w:r>
    </w:p>
    <w:p w14:paraId="23DAA356" w14:textId="77777777" w:rsidR="00360873" w:rsidRPr="002E5EEE" w:rsidRDefault="00360873" w:rsidP="00360873">
      <w:pPr>
        <w:pStyle w:val="Sansinterligne"/>
        <w:jc w:val="both"/>
        <w:rPr>
          <w:rFonts w:ascii="Arial" w:hAnsi="Arial" w:cs="Arial"/>
          <w:bCs/>
          <w:sz w:val="20"/>
          <w:szCs w:val="20"/>
          <w:lang w:val="en-US"/>
        </w:rPr>
      </w:pPr>
    </w:p>
    <w:p w14:paraId="15B8D8F6" w14:textId="7E56C319" w:rsidR="00AF1502" w:rsidRPr="002E5EEE" w:rsidRDefault="00360873" w:rsidP="00360873">
      <w:pPr>
        <w:pStyle w:val="Sansinterligne"/>
        <w:jc w:val="both"/>
        <w:rPr>
          <w:rFonts w:ascii="Arial" w:eastAsiaTheme="majorEastAsia" w:hAnsi="Arial" w:cs="Arial"/>
          <w:sz w:val="20"/>
          <w:szCs w:val="20"/>
          <w:lang w:val="en-US"/>
        </w:rPr>
      </w:pPr>
      <w:r w:rsidRPr="002E5EEE">
        <w:rPr>
          <w:rFonts w:ascii="Arial" w:hAnsi="Arial" w:cs="Arial"/>
          <w:bCs/>
          <w:sz w:val="20"/>
          <w:szCs w:val="20"/>
          <w:lang w:val="en-US"/>
        </w:rPr>
        <w:t xml:space="preserve">In the absence of accounting information, the assumption made is identical to that used for the transition from the 2000 </w:t>
      </w:r>
      <w:r w:rsidR="00ED3D7B">
        <w:rPr>
          <w:rFonts w:ascii="Arial" w:hAnsi="Arial" w:cs="Arial"/>
          <w:bCs/>
          <w:sz w:val="20"/>
          <w:szCs w:val="20"/>
          <w:lang w:val="en-US"/>
        </w:rPr>
        <w:t>benchmark</w:t>
      </w:r>
      <w:r w:rsidRPr="002E5EEE">
        <w:rPr>
          <w:rFonts w:ascii="Arial" w:hAnsi="Arial" w:cs="Arial"/>
          <w:bCs/>
          <w:sz w:val="20"/>
          <w:szCs w:val="20"/>
          <w:lang w:val="en-US"/>
        </w:rPr>
        <w:t xml:space="preserve"> to the 2005 </w:t>
      </w:r>
      <w:r w:rsidR="00ED3D7B">
        <w:rPr>
          <w:rFonts w:ascii="Arial" w:hAnsi="Arial" w:cs="Arial"/>
          <w:bCs/>
          <w:sz w:val="20"/>
          <w:szCs w:val="20"/>
          <w:lang w:val="en-US"/>
        </w:rPr>
        <w:t>benchmark</w:t>
      </w:r>
      <w:r w:rsidRPr="002E5EEE">
        <w:rPr>
          <w:rFonts w:ascii="Arial" w:hAnsi="Arial" w:cs="Arial"/>
          <w:bCs/>
          <w:sz w:val="20"/>
          <w:szCs w:val="20"/>
          <w:lang w:val="en-US"/>
        </w:rPr>
        <w:t>. An initial estimate of the S.127 series is made using the S.126 series for the period 1995/2001, with which there is a strong correlation. An estimation coefficient for S.127 is then deduced on the average of this period. The table below shows the correlation coefficients and estimation coefficients used</w:t>
      </w:r>
      <w:r w:rsidR="00AF1502" w:rsidRPr="002E5EEE">
        <w:rPr>
          <w:rFonts w:ascii="Arial" w:eastAsiaTheme="majorEastAsia" w:hAnsi="Arial" w:cs="Arial"/>
          <w:sz w:val="20"/>
          <w:szCs w:val="20"/>
          <w:lang w:val="en-US"/>
        </w:rPr>
        <w:t xml:space="preserve">: </w:t>
      </w:r>
    </w:p>
    <w:p w14:paraId="6F680A1D" w14:textId="77777777" w:rsidR="00AF1502" w:rsidRPr="002E5EEE" w:rsidRDefault="00AF1502" w:rsidP="00AF1502">
      <w:pPr>
        <w:pStyle w:val="Sansinterligne"/>
        <w:jc w:val="both"/>
        <w:rPr>
          <w:rFonts w:ascii="Arial" w:hAnsi="Arial" w:cs="Arial"/>
          <w:bCs/>
          <w:sz w:val="20"/>
          <w:szCs w:val="20"/>
          <w:lang w:val="en-US"/>
        </w:rPr>
      </w:pPr>
    </w:p>
    <w:p w14:paraId="0558F5F2" w14:textId="77777777" w:rsidR="00AF1502" w:rsidRPr="00AF1502" w:rsidRDefault="00282CCF" w:rsidP="00AF1502">
      <w:pPr>
        <w:pStyle w:val="Sansinterligne"/>
        <w:jc w:val="both"/>
        <w:rPr>
          <w:rFonts w:ascii="Arial" w:hAnsi="Arial" w:cs="Arial"/>
          <w:bCs/>
          <w:sz w:val="20"/>
          <w:szCs w:val="20"/>
        </w:rPr>
      </w:pPr>
      <w:r w:rsidRPr="00282CCF">
        <w:rPr>
          <w:rFonts w:ascii="Arial" w:hAnsi="Arial" w:cs="Arial"/>
          <w:bCs/>
          <w:noProof/>
          <w:sz w:val="20"/>
          <w:szCs w:val="20"/>
          <w:lang w:eastAsia="fr-FR"/>
        </w:rPr>
        <w:drawing>
          <wp:inline distT="0" distB="0" distL="0" distR="0" wp14:anchorId="5F0A8FA0" wp14:editId="3334D1D4">
            <wp:extent cx="4054191" cy="4016088"/>
            <wp:effectExtent l="0" t="0" r="3810"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54191" cy="4016088"/>
                    </a:xfrm>
                    <a:prstGeom prst="rect">
                      <a:avLst/>
                    </a:prstGeom>
                  </pic:spPr>
                </pic:pic>
              </a:graphicData>
            </a:graphic>
          </wp:inline>
        </w:drawing>
      </w:r>
    </w:p>
    <w:p w14:paraId="40DFFEAF" w14:textId="77777777" w:rsidR="00AF1502" w:rsidRPr="00AF1502" w:rsidRDefault="00AF1502" w:rsidP="00AF1502">
      <w:pPr>
        <w:pStyle w:val="Sansinterligne"/>
        <w:jc w:val="both"/>
        <w:rPr>
          <w:rFonts w:ascii="Arial" w:hAnsi="Arial" w:cs="Arial"/>
          <w:bCs/>
          <w:sz w:val="20"/>
          <w:szCs w:val="20"/>
        </w:rPr>
      </w:pPr>
    </w:p>
    <w:p w14:paraId="6C3A5B22" w14:textId="77777777" w:rsidR="00360873" w:rsidRPr="002E5EEE" w:rsidRDefault="00360873" w:rsidP="00360873">
      <w:pPr>
        <w:pStyle w:val="Sansinterligne"/>
        <w:jc w:val="both"/>
        <w:rPr>
          <w:rFonts w:ascii="Arial" w:hAnsi="Arial" w:cs="Arial"/>
          <w:bCs/>
          <w:sz w:val="20"/>
          <w:szCs w:val="20"/>
          <w:lang w:val="en-US"/>
        </w:rPr>
      </w:pPr>
      <w:r w:rsidRPr="002E5EEE">
        <w:rPr>
          <w:rFonts w:ascii="Arial" w:hAnsi="Arial" w:cs="Arial"/>
          <w:bCs/>
          <w:sz w:val="20"/>
          <w:szCs w:val="20"/>
          <w:lang w:val="en-US"/>
        </w:rPr>
        <w:t>Secondly, we assume that the amount of the S.127 series was included in the respective S.126 and S.11 series. We have therefore chosen to remove 92% of the estimated S.127 amount from S.126, and to proceed in the same way with S.11, to the extent of 8%.</w:t>
      </w:r>
    </w:p>
    <w:p w14:paraId="15C72635" w14:textId="77777777" w:rsidR="00AF1502" w:rsidRPr="002E5EEE" w:rsidRDefault="00360873" w:rsidP="00360873">
      <w:pPr>
        <w:pStyle w:val="Sansinterligne"/>
        <w:jc w:val="both"/>
        <w:rPr>
          <w:rFonts w:ascii="Arial" w:hAnsi="Arial" w:cs="Arial"/>
          <w:bCs/>
          <w:sz w:val="20"/>
          <w:szCs w:val="20"/>
          <w:lang w:val="en-US"/>
        </w:rPr>
      </w:pPr>
      <w:r w:rsidRPr="002E5EEE">
        <w:rPr>
          <w:rFonts w:ascii="Arial" w:hAnsi="Arial" w:cs="Arial"/>
          <w:bCs/>
          <w:sz w:val="20"/>
          <w:szCs w:val="20"/>
          <w:lang w:val="en-US"/>
        </w:rPr>
        <w:t>To respect the proportions of S127 to S.126 shown in the table above, we have the following relationship</w:t>
      </w:r>
    </w:p>
    <w:p w14:paraId="141186AA" w14:textId="1FB433A7" w:rsidR="00AF1502" w:rsidRPr="00AF1502" w:rsidRDefault="00AC496F" w:rsidP="00AF1502">
      <w:pPr>
        <w:pStyle w:val="Sansinterligne"/>
        <w:jc w:val="both"/>
        <w:rPr>
          <w:rFonts w:ascii="Arial" w:hAnsi="Arial" w:cs="Arial"/>
          <w:bCs/>
          <w:sz w:val="20"/>
          <w:szCs w:val="20"/>
        </w:rPr>
      </w:pPr>
      <m:oMathPara>
        <m:oMath>
          <m:sSubSup>
            <m:sSubSupPr>
              <m:ctrlPr>
                <w:rPr>
                  <w:rFonts w:ascii="Cambria Math" w:hAnsi="Cambria Math" w:cs="Arial"/>
                  <w:i/>
                  <w:szCs w:val="20"/>
                </w:rPr>
              </m:ctrlPr>
            </m:sSubSupPr>
            <m:e>
              <m:acc>
                <m:accPr>
                  <m:ctrlPr>
                    <w:rPr>
                      <w:rFonts w:ascii="Cambria Math" w:hAnsi="Cambria Math" w:cs="Arial"/>
                      <w:i/>
                      <w:szCs w:val="20"/>
                    </w:rPr>
                  </m:ctrlPr>
                </m:accPr>
                <m:e>
                  <m:r>
                    <w:rPr>
                      <w:rFonts w:ascii="Cambria Math" w:hAnsi="Cambria Math" w:cs="Arial"/>
                      <w:szCs w:val="20"/>
                    </w:rPr>
                    <m:t>S127</m:t>
                  </m:r>
                </m:e>
              </m:acc>
            </m:e>
            <m:sub>
              <m:r>
                <w:rPr>
                  <w:rFonts w:ascii="Cambria Math" w:hAnsi="Cambria Math" w:cs="Arial"/>
                  <w:szCs w:val="20"/>
                </w:rPr>
                <m:t xml:space="preserve">N,retropolated </m:t>
              </m:r>
              <m:r>
                <w:rPr>
                  <w:rFonts w:ascii="Cambria Math" w:eastAsia="Calibri" w:hAnsi="Cambria Math"/>
                </w:rPr>
                <m:t xml:space="preserve">benchmark </m:t>
              </m:r>
            </m:sub>
            <m:sup>
              <m:r>
                <w:rPr>
                  <w:rFonts w:ascii="Cambria Math" w:hAnsi="Cambria Math" w:cs="Arial"/>
                  <w:szCs w:val="20"/>
                </w:rPr>
                <m:t>i</m:t>
              </m:r>
            </m:sup>
          </m:sSubSup>
          <m:r>
            <w:rPr>
              <w:rFonts w:ascii="Cambria Math" w:hAnsi="Cambria Math" w:cs="Arial"/>
              <w:szCs w:val="20"/>
            </w:rPr>
            <m:t>=</m:t>
          </m:r>
          <m:sSubSup>
            <m:sSubSupPr>
              <m:ctrlPr>
                <w:rPr>
                  <w:rFonts w:ascii="Cambria Math" w:hAnsi="Cambria Math" w:cs="Arial"/>
                  <w:i/>
                  <w:szCs w:val="20"/>
                </w:rPr>
              </m:ctrlPr>
            </m:sSubSupPr>
            <m:e>
              <m:r>
                <w:rPr>
                  <w:rFonts w:ascii="Cambria Math" w:hAnsi="Cambria Math" w:cs="Arial"/>
                  <w:szCs w:val="20"/>
                </w:rPr>
                <m:t>Coef</m:t>
              </m:r>
              <m:sSub>
                <m:sSubPr>
                  <m:ctrlPr>
                    <w:rPr>
                      <w:rFonts w:ascii="Cambria Math" w:hAnsi="Cambria Math" w:cs="Arial"/>
                      <w:i/>
                      <w:szCs w:val="20"/>
                    </w:rPr>
                  </m:ctrlPr>
                </m:sSubPr>
                <m:e>
                  <m:r>
                    <w:rPr>
                      <w:rFonts w:ascii="Cambria Math" w:hAnsi="Cambria Math" w:cs="Arial"/>
                      <w:szCs w:val="20"/>
                    </w:rPr>
                    <m:t>f</m:t>
                  </m:r>
                </m:e>
                <m:sub>
                  <m:r>
                    <w:rPr>
                      <w:rFonts w:ascii="Cambria Math" w:hAnsi="Cambria Math" w:cs="Arial"/>
                      <w:sz w:val="24"/>
                      <w:szCs w:val="20"/>
                    </w:rPr>
                    <m:t>S127</m:t>
                  </m:r>
                </m:sub>
              </m:sSub>
            </m:e>
            <m:sub>
              <m:r>
                <w:rPr>
                  <w:rFonts w:ascii="Cambria Math" w:hAnsi="Cambria Math" w:cs="Arial"/>
                  <w:szCs w:val="20"/>
                </w:rPr>
                <m:t xml:space="preserve">N, </m:t>
              </m:r>
              <m:r>
                <w:rPr>
                  <w:rFonts w:ascii="Cambria Math" w:eastAsia="Calibri" w:hAnsi="Cambria Math"/>
                </w:rPr>
                <m:t xml:space="preserve">benchmark </m:t>
              </m:r>
              <m:r>
                <w:rPr>
                  <w:rFonts w:ascii="Cambria Math" w:hAnsi="Cambria Math" w:cs="Arial"/>
                  <w:szCs w:val="20"/>
                </w:rPr>
                <m:t>2014</m:t>
              </m:r>
            </m:sub>
            <m:sup>
              <m:r>
                <w:rPr>
                  <w:rFonts w:ascii="Cambria Math" w:hAnsi="Cambria Math" w:cs="Arial"/>
                  <w:szCs w:val="20"/>
                </w:rPr>
                <m:t>i</m:t>
              </m:r>
            </m:sup>
          </m:sSubSup>
          <m:r>
            <w:rPr>
              <w:rFonts w:ascii="Cambria Math" w:hAnsi="Cambria Math" w:cs="Arial"/>
              <w:szCs w:val="20"/>
            </w:rPr>
            <m:t>*</m:t>
          </m:r>
          <m:sSubSup>
            <m:sSubSupPr>
              <m:ctrlPr>
                <w:rPr>
                  <w:rFonts w:ascii="Cambria Math" w:hAnsi="Cambria Math" w:cs="Arial"/>
                  <w:i/>
                  <w:szCs w:val="20"/>
                </w:rPr>
              </m:ctrlPr>
            </m:sSubSupPr>
            <m:e>
              <m:acc>
                <m:accPr>
                  <m:ctrlPr>
                    <w:rPr>
                      <w:rFonts w:ascii="Cambria Math" w:hAnsi="Cambria Math" w:cs="Arial"/>
                      <w:i/>
                      <w:szCs w:val="20"/>
                    </w:rPr>
                  </m:ctrlPr>
                </m:accPr>
                <m:e>
                  <m:r>
                    <w:rPr>
                      <w:rFonts w:ascii="Cambria Math" w:hAnsi="Cambria Math" w:cs="Arial"/>
                      <w:szCs w:val="20"/>
                    </w:rPr>
                    <m:t>S126</m:t>
                  </m:r>
                </m:e>
              </m:acc>
            </m:e>
            <m:sub>
              <m:r>
                <w:rPr>
                  <w:rFonts w:ascii="Cambria Math" w:hAnsi="Cambria Math" w:cs="Arial"/>
                  <w:szCs w:val="20"/>
                </w:rPr>
                <m:t xml:space="preserve">N, </m:t>
              </m:r>
              <m:r>
                <w:rPr>
                  <w:rFonts w:ascii="Cambria Math" w:eastAsia="Calibri" w:hAnsi="Cambria Math"/>
                </w:rPr>
                <m:t xml:space="preserve">benchmark </m:t>
              </m:r>
              <m:r>
                <w:rPr>
                  <w:rFonts w:ascii="Cambria Math" w:hAnsi="Cambria Math" w:cs="Arial"/>
                  <w:szCs w:val="20"/>
                </w:rPr>
                <m:t>basis</m:t>
              </m:r>
            </m:sub>
            <m:sup>
              <m:r>
                <w:rPr>
                  <w:rFonts w:ascii="Cambria Math" w:hAnsi="Cambria Math" w:cs="Arial"/>
                  <w:szCs w:val="20"/>
                </w:rPr>
                <m:t>i</m:t>
              </m:r>
            </m:sup>
          </m:sSubSup>
          <m:r>
            <m:rPr>
              <m:sty m:val="p"/>
            </m:rPr>
            <w:rPr>
              <w:rFonts w:ascii="Cambria Math" w:hAnsi="Cambria Math" w:cs="Arial"/>
              <w:szCs w:val="20"/>
            </w:rPr>
            <w:br/>
          </m:r>
        </m:oMath>
        <m:oMath>
          <m:r>
            <w:rPr>
              <w:rFonts w:ascii="Cambria Math" w:hAnsi="Cambria Math" w:cs="Arial"/>
              <w:szCs w:val="20"/>
            </w:rPr>
            <m:t xml:space="preserve">                                        =</m:t>
          </m:r>
          <m:sSubSup>
            <m:sSubSupPr>
              <m:ctrlPr>
                <w:rPr>
                  <w:rFonts w:ascii="Cambria Math" w:hAnsi="Cambria Math" w:cs="Arial"/>
                  <w:i/>
                  <w:szCs w:val="20"/>
                </w:rPr>
              </m:ctrlPr>
            </m:sSubSupPr>
            <m:e>
              <m:r>
                <w:rPr>
                  <w:rFonts w:ascii="Cambria Math" w:hAnsi="Cambria Math" w:cs="Arial"/>
                  <w:szCs w:val="20"/>
                </w:rPr>
                <m:t>Coef</m:t>
              </m:r>
              <m:sSub>
                <m:sSubPr>
                  <m:ctrlPr>
                    <w:rPr>
                      <w:rFonts w:ascii="Cambria Math" w:hAnsi="Cambria Math" w:cs="Arial"/>
                      <w:i/>
                      <w:szCs w:val="20"/>
                    </w:rPr>
                  </m:ctrlPr>
                </m:sSubPr>
                <m:e>
                  <m:r>
                    <w:rPr>
                      <w:rFonts w:ascii="Cambria Math" w:hAnsi="Cambria Math" w:cs="Arial"/>
                      <w:szCs w:val="20"/>
                    </w:rPr>
                    <m:t>f</m:t>
                  </m:r>
                </m:e>
                <m:sub>
                  <m:r>
                    <w:rPr>
                      <w:rFonts w:ascii="Cambria Math" w:hAnsi="Cambria Math" w:cs="Arial"/>
                      <w:szCs w:val="20"/>
                    </w:rPr>
                    <m:t>S127</m:t>
                  </m:r>
                </m:sub>
              </m:sSub>
            </m:e>
            <m:sub>
              <m:r>
                <w:rPr>
                  <w:rFonts w:ascii="Cambria Math" w:hAnsi="Cambria Math" w:cs="Arial"/>
                  <w:szCs w:val="20"/>
                </w:rPr>
                <m:t xml:space="preserve">N, </m:t>
              </m:r>
              <m:r>
                <w:rPr>
                  <w:rFonts w:ascii="Cambria Math" w:eastAsia="Calibri" w:hAnsi="Cambria Math"/>
                </w:rPr>
                <m:t xml:space="preserve">benchmark </m:t>
              </m:r>
              <m:r>
                <w:rPr>
                  <w:rFonts w:ascii="Cambria Math" w:hAnsi="Cambria Math" w:cs="Arial"/>
                  <w:szCs w:val="20"/>
                </w:rPr>
                <m:t>2014</m:t>
              </m:r>
            </m:sub>
            <m:sup>
              <m:r>
                <w:rPr>
                  <w:rFonts w:ascii="Cambria Math" w:hAnsi="Cambria Math" w:cs="Arial"/>
                  <w:szCs w:val="20"/>
                </w:rPr>
                <m:t>i</m:t>
              </m:r>
            </m:sup>
          </m:sSubSup>
          <m:r>
            <w:rPr>
              <w:rFonts w:ascii="Cambria Math" w:eastAsiaTheme="minorEastAsia" w:hAnsi="Cambria Math" w:cs="Arial"/>
              <w:szCs w:val="20"/>
            </w:rPr>
            <m:t>*</m:t>
          </m:r>
          <m:d>
            <m:dPr>
              <m:ctrlPr>
                <w:rPr>
                  <w:rFonts w:ascii="Cambria Math" w:eastAsiaTheme="minorEastAsia" w:hAnsi="Cambria Math" w:cs="Arial"/>
                  <w:bCs/>
                  <w:i/>
                  <w:szCs w:val="20"/>
                </w:rPr>
              </m:ctrlPr>
            </m:dPr>
            <m:e>
              <m:sSubSup>
                <m:sSubSupPr>
                  <m:ctrlPr>
                    <w:rPr>
                      <w:rFonts w:ascii="Cambria Math" w:hAnsi="Cambria Math" w:cs="Arial"/>
                      <w:i/>
                      <w:szCs w:val="20"/>
                    </w:rPr>
                  </m:ctrlPr>
                </m:sSubSupPr>
                <m:e>
                  <m:r>
                    <w:rPr>
                      <w:rFonts w:ascii="Cambria Math" w:hAnsi="Cambria Math" w:cs="Arial"/>
                      <w:szCs w:val="20"/>
                    </w:rPr>
                    <m:t>S126</m:t>
                  </m:r>
                </m:e>
                <m:sub>
                  <m:r>
                    <w:rPr>
                      <w:rFonts w:ascii="Cambria Math" w:hAnsi="Cambria Math" w:cs="Arial"/>
                      <w:szCs w:val="20"/>
                    </w:rPr>
                    <m:t xml:space="preserve">N, </m:t>
                  </m:r>
                  <m:r>
                    <w:rPr>
                      <w:rFonts w:ascii="Cambria Math" w:eastAsia="Calibri" w:hAnsi="Cambria Math"/>
                    </w:rPr>
                    <m:t xml:space="preserve">benchmark </m:t>
                  </m:r>
                  <m:r>
                    <w:rPr>
                      <w:rFonts w:ascii="Cambria Math" w:hAnsi="Cambria Math" w:cs="Arial"/>
                      <w:szCs w:val="20"/>
                    </w:rPr>
                    <m:t>2000</m:t>
                  </m:r>
                </m:sub>
                <m:sup>
                  <m:r>
                    <w:rPr>
                      <w:rFonts w:ascii="Cambria Math" w:hAnsi="Cambria Math" w:cs="Arial"/>
                      <w:szCs w:val="20"/>
                    </w:rPr>
                    <m:t>i</m:t>
                  </m:r>
                </m:sup>
              </m:sSubSup>
              <m:r>
                <w:rPr>
                  <w:rFonts w:ascii="Cambria Math" w:hAnsi="Cambria Math" w:cs="Arial"/>
                  <w:szCs w:val="20"/>
                </w:rPr>
                <m:t>-0.92</m:t>
              </m:r>
              <m:r>
                <m:rPr>
                  <m:sty m:val="p"/>
                </m:rPr>
                <w:rPr>
                  <w:rFonts w:ascii="Cambria Math" w:eastAsiaTheme="minorEastAsia" w:hAnsi="Cambria Math" w:cs="Arial"/>
                  <w:szCs w:val="20"/>
                </w:rPr>
                <m:t>*</m:t>
              </m:r>
              <m:sSubSup>
                <m:sSubSupPr>
                  <m:ctrlPr>
                    <w:rPr>
                      <w:rFonts w:ascii="Cambria Math" w:hAnsi="Cambria Math" w:cs="Arial"/>
                      <w:i/>
                      <w:szCs w:val="20"/>
                    </w:rPr>
                  </m:ctrlPr>
                </m:sSubSupPr>
                <m:e>
                  <m:acc>
                    <m:accPr>
                      <m:ctrlPr>
                        <w:rPr>
                          <w:rFonts w:ascii="Cambria Math" w:hAnsi="Cambria Math" w:cs="Arial"/>
                          <w:i/>
                          <w:szCs w:val="20"/>
                        </w:rPr>
                      </m:ctrlPr>
                    </m:accPr>
                    <m:e>
                      <m:r>
                        <w:rPr>
                          <w:rFonts w:ascii="Cambria Math" w:hAnsi="Cambria Math" w:cs="Arial"/>
                          <w:szCs w:val="20"/>
                        </w:rPr>
                        <m:t>S127</m:t>
                      </m:r>
                    </m:e>
                  </m:acc>
                </m:e>
                <m:sub>
                  <m:r>
                    <w:rPr>
                      <w:rFonts w:ascii="Cambria Math" w:hAnsi="Cambria Math" w:cs="Arial"/>
                      <w:szCs w:val="20"/>
                    </w:rPr>
                    <m:t xml:space="preserve">N, retropolated </m:t>
                  </m:r>
                  <m:r>
                    <w:rPr>
                      <w:rFonts w:ascii="Cambria Math" w:eastAsia="Calibri" w:hAnsi="Cambria Math"/>
                    </w:rPr>
                    <m:t xml:space="preserve">benchmark </m:t>
                  </m:r>
                </m:sub>
                <m:sup>
                  <m:r>
                    <w:rPr>
                      <w:rFonts w:ascii="Cambria Math" w:hAnsi="Cambria Math" w:cs="Arial"/>
                      <w:szCs w:val="20"/>
                    </w:rPr>
                    <m:t>i</m:t>
                  </m:r>
                </m:sup>
              </m:sSubSup>
            </m:e>
          </m:d>
          <m:r>
            <w:rPr>
              <w:rFonts w:ascii="Cambria Math" w:eastAsiaTheme="minorEastAsia" w:hAnsi="Cambria Math" w:cs="Arial"/>
              <w:szCs w:val="20"/>
            </w:rPr>
            <m:t xml:space="preserve"> </m:t>
          </m:r>
        </m:oMath>
      </m:oMathPara>
    </w:p>
    <w:p w14:paraId="7F67DF34" w14:textId="77777777" w:rsidR="00AF1502" w:rsidRPr="00AF1502" w:rsidRDefault="00AF1502" w:rsidP="00AF1502">
      <w:pPr>
        <w:pStyle w:val="Sansinterligne"/>
        <w:jc w:val="both"/>
        <w:rPr>
          <w:rFonts w:ascii="Arial" w:hAnsi="Arial" w:cs="Arial"/>
          <w:bCs/>
          <w:sz w:val="20"/>
          <w:szCs w:val="20"/>
        </w:rPr>
      </w:pPr>
    </w:p>
    <w:p w14:paraId="4EEAB79D" w14:textId="77777777" w:rsidR="00AF1502" w:rsidRPr="002E5EEE" w:rsidRDefault="00360873" w:rsidP="00AF1502">
      <w:pPr>
        <w:pStyle w:val="Sansinterligne"/>
        <w:jc w:val="both"/>
        <w:rPr>
          <w:rFonts w:ascii="Arial" w:hAnsi="Arial" w:cs="Arial"/>
          <w:bCs/>
          <w:sz w:val="20"/>
          <w:szCs w:val="20"/>
          <w:lang w:val="en-US"/>
        </w:rPr>
      </w:pPr>
      <w:r w:rsidRPr="002E5EEE">
        <w:rPr>
          <w:rFonts w:ascii="Arial" w:hAnsi="Arial" w:cs="Arial"/>
          <w:bCs/>
          <w:sz w:val="20"/>
          <w:szCs w:val="20"/>
          <w:lang w:val="en-US"/>
        </w:rPr>
        <w:t>and we derive the following formula for estimating the S.127 series</w:t>
      </w:r>
      <w:r w:rsidR="00AF1502" w:rsidRPr="002E5EEE">
        <w:rPr>
          <w:rFonts w:ascii="Arial" w:hAnsi="Arial" w:cs="Arial"/>
          <w:bCs/>
          <w:sz w:val="20"/>
          <w:szCs w:val="20"/>
          <w:lang w:val="en-US"/>
        </w:rPr>
        <w:t>:</w:t>
      </w:r>
    </w:p>
    <w:p w14:paraId="1D92E744" w14:textId="2A2BAE87" w:rsidR="00AF1502" w:rsidRPr="00AF1502" w:rsidRDefault="00AC496F" w:rsidP="00AF1502">
      <w:pPr>
        <w:pStyle w:val="Sansinterligne"/>
        <w:ind w:left="720"/>
        <w:jc w:val="both"/>
        <w:rPr>
          <w:rFonts w:ascii="Arial" w:eastAsiaTheme="minorEastAsia" w:hAnsi="Arial" w:cs="Arial"/>
          <w:sz w:val="20"/>
          <w:szCs w:val="20"/>
        </w:rPr>
      </w:pPr>
      <m:oMathPara>
        <m:oMath>
          <m:sSubSup>
            <m:sSubSupPr>
              <m:ctrlPr>
                <w:rPr>
                  <w:rFonts w:ascii="Cambria Math" w:hAnsi="Cambria Math" w:cs="Arial"/>
                  <w:i/>
                  <w:szCs w:val="20"/>
                </w:rPr>
              </m:ctrlPr>
            </m:sSubSupPr>
            <m:e>
              <m:acc>
                <m:accPr>
                  <m:ctrlPr>
                    <w:rPr>
                      <w:rFonts w:ascii="Cambria Math" w:hAnsi="Cambria Math" w:cs="Arial"/>
                      <w:i/>
                      <w:szCs w:val="20"/>
                    </w:rPr>
                  </m:ctrlPr>
                </m:accPr>
                <m:e>
                  <m:r>
                    <w:rPr>
                      <w:rFonts w:ascii="Cambria Math" w:hAnsi="Cambria Math" w:cs="Arial"/>
                      <w:szCs w:val="20"/>
                    </w:rPr>
                    <m:t>S127</m:t>
                  </m:r>
                </m:e>
              </m:acc>
            </m:e>
            <m:sub>
              <m:r>
                <w:rPr>
                  <w:rFonts w:ascii="Cambria Math" w:hAnsi="Cambria Math" w:cs="Arial"/>
                  <w:szCs w:val="20"/>
                </w:rPr>
                <m:t xml:space="preserve">N, retropolated </m:t>
              </m:r>
              <m:r>
                <w:rPr>
                  <w:rFonts w:ascii="Cambria Math" w:eastAsia="Calibri" w:hAnsi="Cambria Math"/>
                </w:rPr>
                <m:t xml:space="preserve">benchmark </m:t>
              </m:r>
            </m:sub>
            <m:sup>
              <m:r>
                <w:rPr>
                  <w:rFonts w:ascii="Cambria Math" w:hAnsi="Cambria Math" w:cs="Arial"/>
                  <w:szCs w:val="20"/>
                </w:rPr>
                <m:t>i</m:t>
              </m:r>
            </m:sup>
          </m:sSubSup>
          <m:r>
            <w:rPr>
              <w:rFonts w:ascii="Cambria Math" w:hAnsi="Cambria Math" w:cs="Arial"/>
              <w:szCs w:val="20"/>
            </w:rPr>
            <m:t>=</m:t>
          </m:r>
          <m:sSubSup>
            <m:sSubSupPr>
              <m:ctrlPr>
                <w:rPr>
                  <w:rFonts w:ascii="Cambria Math" w:hAnsi="Cambria Math" w:cs="Arial"/>
                  <w:i/>
                  <w:szCs w:val="20"/>
                </w:rPr>
              </m:ctrlPr>
            </m:sSubSupPr>
            <m:e>
              <m:r>
                <w:rPr>
                  <w:rFonts w:ascii="Cambria Math" w:hAnsi="Cambria Math" w:cs="Arial"/>
                  <w:szCs w:val="20"/>
                </w:rPr>
                <m:t>S126</m:t>
              </m:r>
            </m:e>
            <m:sub>
              <m:r>
                <w:rPr>
                  <w:rFonts w:ascii="Cambria Math" w:hAnsi="Cambria Math" w:cs="Arial"/>
                  <w:szCs w:val="20"/>
                </w:rPr>
                <m:t xml:space="preserve">N, </m:t>
              </m:r>
              <m:r>
                <w:rPr>
                  <w:rFonts w:ascii="Cambria Math" w:eastAsia="Calibri" w:hAnsi="Cambria Math"/>
                </w:rPr>
                <m:t xml:space="preserve">benchmark </m:t>
              </m:r>
              <m:r>
                <w:rPr>
                  <w:rFonts w:ascii="Cambria Math" w:hAnsi="Cambria Math" w:cs="Arial"/>
                  <w:szCs w:val="20"/>
                </w:rPr>
                <m:t>2000</m:t>
              </m:r>
            </m:sub>
            <m:sup>
              <m:r>
                <w:rPr>
                  <w:rFonts w:ascii="Cambria Math" w:hAnsi="Cambria Math" w:cs="Arial"/>
                  <w:szCs w:val="20"/>
                </w:rPr>
                <m:t>i</m:t>
              </m:r>
            </m:sup>
          </m:sSubSup>
          <m:r>
            <w:rPr>
              <w:rFonts w:ascii="Cambria Math" w:hAnsi="Cambria Math" w:cs="Arial"/>
              <w:szCs w:val="20"/>
            </w:rPr>
            <m:t>*</m:t>
          </m:r>
          <m:f>
            <m:fPr>
              <m:ctrlPr>
                <w:rPr>
                  <w:rFonts w:ascii="Cambria Math" w:hAnsi="Cambria Math" w:cs="Arial"/>
                  <w:i/>
                  <w:szCs w:val="20"/>
                </w:rPr>
              </m:ctrlPr>
            </m:fPr>
            <m:num>
              <m:sSubSup>
                <m:sSubSupPr>
                  <m:ctrlPr>
                    <w:rPr>
                      <w:rFonts w:ascii="Cambria Math" w:hAnsi="Cambria Math" w:cs="Arial"/>
                      <w:i/>
                      <w:szCs w:val="20"/>
                    </w:rPr>
                  </m:ctrlPr>
                </m:sSubSupPr>
                <m:e>
                  <m:r>
                    <w:rPr>
                      <w:rFonts w:ascii="Cambria Math" w:hAnsi="Cambria Math" w:cs="Arial"/>
                      <w:szCs w:val="20"/>
                    </w:rPr>
                    <m:t>Coeff_S127</m:t>
                  </m:r>
                </m:e>
                <m:sub>
                  <m:r>
                    <w:rPr>
                      <w:rFonts w:ascii="Cambria Math" w:hAnsi="Cambria Math" w:cs="Arial"/>
                      <w:szCs w:val="20"/>
                    </w:rPr>
                    <m:t xml:space="preserve">N, </m:t>
                  </m:r>
                  <m:r>
                    <w:rPr>
                      <w:rFonts w:ascii="Cambria Math" w:eastAsia="Calibri" w:hAnsi="Cambria Math"/>
                    </w:rPr>
                    <m:t xml:space="preserve">benchmark </m:t>
                  </m:r>
                  <m:r>
                    <w:rPr>
                      <w:rFonts w:ascii="Cambria Math" w:hAnsi="Cambria Math" w:cs="Arial"/>
                      <w:szCs w:val="20"/>
                    </w:rPr>
                    <m:t>2014</m:t>
                  </m:r>
                </m:sub>
                <m:sup>
                  <m:r>
                    <w:rPr>
                      <w:rFonts w:ascii="Cambria Math" w:hAnsi="Cambria Math" w:cs="Arial"/>
                      <w:szCs w:val="20"/>
                    </w:rPr>
                    <m:t>i</m:t>
                  </m:r>
                </m:sup>
              </m:sSubSup>
            </m:num>
            <m:den>
              <m:sSubSup>
                <m:sSubSupPr>
                  <m:ctrlPr>
                    <w:rPr>
                      <w:rFonts w:ascii="Cambria Math" w:hAnsi="Cambria Math" w:cs="Arial"/>
                      <w:i/>
                      <w:szCs w:val="20"/>
                    </w:rPr>
                  </m:ctrlPr>
                </m:sSubSupPr>
                <m:e>
                  <m:r>
                    <w:rPr>
                      <w:rFonts w:ascii="Cambria Math" w:hAnsi="Cambria Math" w:cs="Arial"/>
                      <w:szCs w:val="20"/>
                    </w:rPr>
                    <m:t>Coeff_S127</m:t>
                  </m:r>
                </m:e>
                <m:sub>
                  <m:r>
                    <w:rPr>
                      <w:rFonts w:ascii="Cambria Math" w:hAnsi="Cambria Math" w:cs="Arial"/>
                      <w:szCs w:val="20"/>
                    </w:rPr>
                    <m:t xml:space="preserve">N, </m:t>
                  </m:r>
                  <m:r>
                    <w:rPr>
                      <w:rFonts w:ascii="Cambria Math" w:eastAsia="Calibri" w:hAnsi="Cambria Math"/>
                    </w:rPr>
                    <m:t xml:space="preserve">benchmark </m:t>
                  </m:r>
                  <m:r>
                    <w:rPr>
                      <w:rFonts w:ascii="Cambria Math" w:hAnsi="Cambria Math" w:cs="Arial"/>
                      <w:szCs w:val="20"/>
                    </w:rPr>
                    <m:t>2014</m:t>
                  </m:r>
                </m:sub>
                <m:sup>
                  <m:r>
                    <w:rPr>
                      <w:rFonts w:ascii="Cambria Math" w:hAnsi="Cambria Math" w:cs="Arial"/>
                      <w:szCs w:val="20"/>
                    </w:rPr>
                    <m:t>i</m:t>
                  </m:r>
                </m:sup>
              </m:sSubSup>
              <m:r>
                <w:rPr>
                  <w:rFonts w:ascii="Cambria Math" w:hAnsi="Cambria Math" w:cs="Arial"/>
                  <w:szCs w:val="20"/>
                </w:rPr>
                <m:t>*0.92+1</m:t>
              </m:r>
            </m:den>
          </m:f>
        </m:oMath>
      </m:oMathPara>
    </w:p>
    <w:p w14:paraId="27BEDE64" w14:textId="77777777" w:rsidR="00AF1502" w:rsidRPr="00AF1502" w:rsidRDefault="00AF1502" w:rsidP="00AF1502">
      <w:pPr>
        <w:pStyle w:val="Sansinterligne"/>
        <w:jc w:val="both"/>
        <w:rPr>
          <w:rFonts w:ascii="Arial" w:hAnsi="Arial" w:cs="Arial"/>
          <w:bCs/>
          <w:sz w:val="20"/>
          <w:szCs w:val="20"/>
        </w:rPr>
      </w:pPr>
    </w:p>
    <w:p w14:paraId="54C225CB" w14:textId="45855C40" w:rsidR="00AF1502" w:rsidRPr="001D0E62" w:rsidRDefault="009103D4" w:rsidP="00AF1502">
      <w:pPr>
        <w:pStyle w:val="Sansinterligne"/>
        <w:jc w:val="both"/>
        <w:rPr>
          <w:rFonts w:ascii="Arial" w:hAnsi="Arial" w:cs="Arial"/>
          <w:bCs/>
          <w:sz w:val="20"/>
          <w:szCs w:val="20"/>
          <w:lang w:val="en-US"/>
        </w:rPr>
      </w:pPr>
      <w:r w:rsidRPr="001D0E62">
        <w:rPr>
          <w:rFonts w:ascii="Arial" w:hAnsi="Arial" w:cs="Arial"/>
          <w:bCs/>
          <w:lang w:val="en-US"/>
        </w:rPr>
        <w:t>Following this estimate, the following formulae are applied to the S.126 and S.11 series to remove the respective share of S.127</w:t>
      </w:r>
    </w:p>
    <w:p w14:paraId="3730D0A9" w14:textId="3B6BDF23" w:rsidR="00AF1502" w:rsidRPr="001D0E62" w:rsidRDefault="00AC496F" w:rsidP="00AF1502">
      <w:pPr>
        <w:pStyle w:val="Sansinterligne"/>
        <w:ind w:left="720"/>
        <w:jc w:val="both"/>
        <w:rPr>
          <w:rFonts w:ascii="Arial" w:eastAsiaTheme="minorEastAsia" w:hAnsi="Arial" w:cs="Arial"/>
          <w:sz w:val="20"/>
          <w:szCs w:val="20"/>
          <w:lang w:val="en-US"/>
        </w:rPr>
      </w:pPr>
      <m:oMath>
        <m:sSubSup>
          <m:sSubSupPr>
            <m:ctrlPr>
              <w:rPr>
                <w:rFonts w:ascii="Cambria Math" w:hAnsi="Cambria Math" w:cs="Arial"/>
                <w:i/>
                <w:szCs w:val="20"/>
              </w:rPr>
            </m:ctrlPr>
          </m:sSubSupPr>
          <m:e>
            <m:acc>
              <m:accPr>
                <m:ctrlPr>
                  <w:rPr>
                    <w:rFonts w:ascii="Cambria Math" w:hAnsi="Cambria Math" w:cs="Arial"/>
                    <w:i/>
                    <w:szCs w:val="20"/>
                  </w:rPr>
                </m:ctrlPr>
              </m:accPr>
              <m:e>
                <m:r>
                  <w:rPr>
                    <w:rFonts w:ascii="Cambria Math" w:hAnsi="Cambria Math" w:cs="Arial"/>
                    <w:szCs w:val="20"/>
                  </w:rPr>
                  <m:t>S</m:t>
                </m:r>
                <m:r>
                  <w:rPr>
                    <w:rFonts w:ascii="Cambria Math" w:hAnsi="Cambria Math" w:cs="Arial"/>
                    <w:szCs w:val="20"/>
                    <w:lang w:val="en-US"/>
                  </w:rPr>
                  <m:t>126</m:t>
                </m:r>
              </m:e>
            </m:acc>
          </m:e>
          <m:sub>
            <m:r>
              <w:rPr>
                <w:rFonts w:ascii="Cambria Math" w:hAnsi="Cambria Math" w:cs="Arial"/>
                <w:szCs w:val="20"/>
              </w:rPr>
              <m:t>N</m:t>
            </m:r>
            <m:r>
              <w:rPr>
                <w:rFonts w:ascii="Cambria Math" w:hAnsi="Cambria Math" w:cs="Arial"/>
                <w:szCs w:val="20"/>
                <w:lang w:val="en-US"/>
              </w:rPr>
              <m:t xml:space="preserve">, </m:t>
            </m:r>
            <m:r>
              <w:rPr>
                <w:rFonts w:ascii="Cambria Math" w:hAnsi="Cambria Math" w:cs="Arial"/>
                <w:szCs w:val="20"/>
              </w:rPr>
              <m:t>retropolated</m:t>
            </m:r>
            <m:r>
              <w:rPr>
                <w:rFonts w:ascii="Cambria Math" w:hAnsi="Cambria Math" w:cs="Arial"/>
                <w:szCs w:val="20"/>
                <w:lang w:val="en-US"/>
              </w:rPr>
              <m:t xml:space="preserve"> </m:t>
            </m:r>
            <m:r>
              <w:rPr>
                <w:rFonts w:ascii="Cambria Math" w:eastAsia="Calibri" w:hAnsi="Cambria Math"/>
              </w:rPr>
              <m:t>benc</m:t>
            </m:r>
            <m:r>
              <w:rPr>
                <w:rFonts w:ascii="Cambria Math" w:eastAsia="Calibri" w:hAnsi="Cambria Math"/>
                <w:lang w:val="en-US"/>
              </w:rPr>
              <m:t>h</m:t>
            </m:r>
            <m:r>
              <w:rPr>
                <w:rFonts w:ascii="Cambria Math" w:eastAsia="Calibri" w:hAnsi="Cambria Math"/>
              </w:rPr>
              <m:t>mark</m:t>
            </m:r>
            <m:r>
              <w:rPr>
                <w:rFonts w:ascii="Cambria Math" w:eastAsia="Calibri" w:hAnsi="Cambria Math"/>
                <w:lang w:val="en-US"/>
              </w:rPr>
              <m:t xml:space="preserve"> </m:t>
            </m:r>
          </m:sub>
          <m:sup>
            <m:r>
              <w:rPr>
                <w:rFonts w:ascii="Cambria Math" w:hAnsi="Cambria Math" w:cs="Arial"/>
                <w:szCs w:val="20"/>
              </w:rPr>
              <m:t>i</m:t>
            </m:r>
          </m:sup>
        </m:sSubSup>
        <m:r>
          <w:rPr>
            <w:rFonts w:ascii="Cambria Math" w:hAnsi="Cambria Math" w:cs="Arial"/>
            <w:szCs w:val="20"/>
            <w:lang w:val="en-US"/>
          </w:rPr>
          <m:t>=</m:t>
        </m:r>
        <m:sSubSup>
          <m:sSubSupPr>
            <m:ctrlPr>
              <w:rPr>
                <w:rFonts w:ascii="Cambria Math" w:hAnsi="Cambria Math" w:cs="Arial"/>
                <w:i/>
                <w:szCs w:val="20"/>
              </w:rPr>
            </m:ctrlPr>
          </m:sSubSupPr>
          <m:e>
            <m:r>
              <w:rPr>
                <w:rFonts w:ascii="Cambria Math" w:hAnsi="Cambria Math" w:cs="Arial"/>
                <w:szCs w:val="20"/>
              </w:rPr>
              <m:t>S</m:t>
            </m:r>
            <m:r>
              <w:rPr>
                <w:rFonts w:ascii="Cambria Math" w:hAnsi="Cambria Math" w:cs="Arial"/>
                <w:szCs w:val="20"/>
                <w:lang w:val="en-US"/>
              </w:rPr>
              <m:t>126</m:t>
            </m:r>
          </m:e>
          <m:sub>
            <m:r>
              <w:rPr>
                <w:rFonts w:ascii="Cambria Math" w:hAnsi="Cambria Math" w:cs="Arial"/>
                <w:szCs w:val="20"/>
              </w:rPr>
              <m:t>N</m:t>
            </m:r>
            <m:r>
              <w:rPr>
                <w:rFonts w:ascii="Cambria Math" w:hAnsi="Cambria Math" w:cs="Arial"/>
                <w:szCs w:val="20"/>
                <w:lang w:val="en-US"/>
              </w:rPr>
              <m:t xml:space="preserve">, </m:t>
            </m:r>
            <m:r>
              <w:rPr>
                <w:rFonts w:ascii="Cambria Math" w:eastAsia="Calibri" w:hAnsi="Cambria Math"/>
              </w:rPr>
              <m:t>benc</m:t>
            </m:r>
            <m:r>
              <w:rPr>
                <w:rFonts w:ascii="Cambria Math" w:eastAsia="Calibri" w:hAnsi="Cambria Math"/>
                <w:lang w:val="en-US"/>
              </w:rPr>
              <m:t>h</m:t>
            </m:r>
            <m:r>
              <w:rPr>
                <w:rFonts w:ascii="Cambria Math" w:eastAsia="Calibri" w:hAnsi="Cambria Math"/>
              </w:rPr>
              <m:t>mark</m:t>
            </m:r>
            <m:r>
              <w:rPr>
                <w:rFonts w:ascii="Cambria Math" w:eastAsia="Calibri" w:hAnsi="Cambria Math"/>
                <w:lang w:val="en-US"/>
              </w:rPr>
              <m:t xml:space="preserve"> </m:t>
            </m:r>
            <m:r>
              <w:rPr>
                <w:rFonts w:ascii="Cambria Math" w:hAnsi="Cambria Math" w:cs="Arial"/>
                <w:szCs w:val="20"/>
                <w:lang w:val="en-US"/>
              </w:rPr>
              <m:t>2000</m:t>
            </m:r>
          </m:sub>
          <m:sup>
            <m:r>
              <w:rPr>
                <w:rFonts w:ascii="Cambria Math" w:hAnsi="Cambria Math" w:cs="Arial"/>
                <w:szCs w:val="20"/>
              </w:rPr>
              <m:t>i</m:t>
            </m:r>
          </m:sup>
        </m:sSubSup>
        <m:r>
          <w:rPr>
            <w:rFonts w:ascii="Cambria Math" w:hAnsi="Cambria Math" w:cs="Arial"/>
            <w:szCs w:val="20"/>
            <w:lang w:val="en-US"/>
          </w:rPr>
          <m:t>-0.92</m:t>
        </m:r>
      </m:oMath>
      <w:r w:rsidR="00AF1502" w:rsidRPr="001D0E62">
        <w:rPr>
          <w:rFonts w:ascii="Arial" w:eastAsiaTheme="minorEastAsia" w:hAnsi="Arial" w:cs="Arial"/>
          <w:sz w:val="20"/>
          <w:szCs w:val="20"/>
          <w:lang w:val="en-US"/>
        </w:rPr>
        <w:t>*</w:t>
      </w:r>
      <m:oMath>
        <m:sSubSup>
          <m:sSubSupPr>
            <m:ctrlPr>
              <w:rPr>
                <w:rFonts w:ascii="Cambria Math" w:hAnsi="Cambria Math" w:cs="Arial"/>
                <w:i/>
                <w:szCs w:val="20"/>
              </w:rPr>
            </m:ctrlPr>
          </m:sSubSupPr>
          <m:e>
            <m:acc>
              <m:accPr>
                <m:ctrlPr>
                  <w:rPr>
                    <w:rFonts w:ascii="Cambria Math" w:hAnsi="Cambria Math" w:cs="Arial"/>
                    <w:i/>
                    <w:szCs w:val="20"/>
                  </w:rPr>
                </m:ctrlPr>
              </m:accPr>
              <m:e>
                <m:r>
                  <w:rPr>
                    <w:rFonts w:ascii="Cambria Math" w:hAnsi="Cambria Math" w:cs="Arial"/>
                    <w:szCs w:val="20"/>
                  </w:rPr>
                  <m:t>S</m:t>
                </m:r>
                <m:r>
                  <w:rPr>
                    <w:rFonts w:ascii="Cambria Math" w:hAnsi="Cambria Math" w:cs="Arial"/>
                    <w:szCs w:val="20"/>
                    <w:lang w:val="en-US"/>
                  </w:rPr>
                  <m:t>127</m:t>
                </m:r>
              </m:e>
            </m:acc>
          </m:e>
          <m:sub>
            <m:r>
              <w:rPr>
                <w:rFonts w:ascii="Cambria Math" w:hAnsi="Cambria Math" w:cs="Arial"/>
                <w:szCs w:val="20"/>
              </w:rPr>
              <m:t>N</m:t>
            </m:r>
            <m:r>
              <w:rPr>
                <w:rFonts w:ascii="Cambria Math" w:hAnsi="Cambria Math" w:cs="Arial"/>
                <w:szCs w:val="20"/>
                <w:lang w:val="en-US"/>
              </w:rPr>
              <m:t xml:space="preserve">, </m:t>
            </m:r>
            <m:r>
              <w:rPr>
                <w:rFonts w:ascii="Cambria Math" w:hAnsi="Cambria Math" w:cs="Arial"/>
                <w:szCs w:val="20"/>
              </w:rPr>
              <m:t>retropolated</m:t>
            </m:r>
            <m:r>
              <w:rPr>
                <w:rFonts w:ascii="Cambria Math" w:hAnsi="Cambria Math" w:cs="Arial"/>
                <w:szCs w:val="20"/>
                <w:lang w:val="en-US"/>
              </w:rPr>
              <m:t xml:space="preserve"> </m:t>
            </m:r>
            <m:r>
              <w:rPr>
                <w:rFonts w:ascii="Cambria Math" w:eastAsia="Calibri" w:hAnsi="Cambria Math"/>
              </w:rPr>
              <m:t>benc</m:t>
            </m:r>
            <m:r>
              <w:rPr>
                <w:rFonts w:ascii="Cambria Math" w:eastAsia="Calibri" w:hAnsi="Cambria Math"/>
                <w:lang w:val="en-US"/>
              </w:rPr>
              <m:t>h</m:t>
            </m:r>
            <m:r>
              <w:rPr>
                <w:rFonts w:ascii="Cambria Math" w:eastAsia="Calibri" w:hAnsi="Cambria Math"/>
              </w:rPr>
              <m:t>mark</m:t>
            </m:r>
            <m:r>
              <w:rPr>
                <w:rFonts w:ascii="Cambria Math" w:eastAsia="Calibri" w:hAnsi="Cambria Math"/>
                <w:lang w:val="en-US"/>
              </w:rPr>
              <m:t xml:space="preserve"> </m:t>
            </m:r>
          </m:sub>
          <m:sup>
            <m:r>
              <w:rPr>
                <w:rFonts w:ascii="Cambria Math" w:hAnsi="Cambria Math" w:cs="Arial"/>
                <w:szCs w:val="20"/>
              </w:rPr>
              <m:t>i</m:t>
            </m:r>
          </m:sup>
        </m:sSubSup>
      </m:oMath>
    </w:p>
    <w:p w14:paraId="66C1BD28" w14:textId="77777777" w:rsidR="00AF1502" w:rsidRPr="001D0E62" w:rsidRDefault="00AF1502" w:rsidP="00AF1502">
      <w:pPr>
        <w:pStyle w:val="Sansinterligne"/>
        <w:ind w:left="720"/>
        <w:jc w:val="both"/>
        <w:rPr>
          <w:rFonts w:ascii="Arial" w:eastAsiaTheme="minorEastAsia" w:hAnsi="Arial" w:cs="Arial"/>
          <w:sz w:val="20"/>
          <w:szCs w:val="20"/>
          <w:lang w:val="en-US"/>
        </w:rPr>
      </w:pPr>
    </w:p>
    <w:p w14:paraId="31829899" w14:textId="633A8177" w:rsidR="00AF1502" w:rsidRPr="00AF1502" w:rsidRDefault="00AC496F" w:rsidP="00AF1502">
      <w:pPr>
        <w:pStyle w:val="Sansinterligne"/>
        <w:ind w:left="720"/>
        <w:jc w:val="both"/>
        <w:rPr>
          <w:rFonts w:ascii="Arial" w:eastAsiaTheme="minorEastAsia" w:hAnsi="Arial" w:cs="Arial"/>
          <w:sz w:val="20"/>
          <w:szCs w:val="20"/>
        </w:rPr>
      </w:pPr>
      <m:oMathPara>
        <m:oMath>
          <m:sSubSup>
            <m:sSubSupPr>
              <m:ctrlPr>
                <w:rPr>
                  <w:rFonts w:ascii="Cambria Math" w:hAnsi="Cambria Math" w:cs="Arial"/>
                  <w:i/>
                  <w:szCs w:val="20"/>
                </w:rPr>
              </m:ctrlPr>
            </m:sSubSupPr>
            <m:e>
              <m:acc>
                <m:accPr>
                  <m:ctrlPr>
                    <w:rPr>
                      <w:rFonts w:ascii="Cambria Math" w:hAnsi="Cambria Math" w:cs="Arial"/>
                      <w:i/>
                      <w:szCs w:val="20"/>
                    </w:rPr>
                  </m:ctrlPr>
                </m:accPr>
                <m:e>
                  <m:r>
                    <w:rPr>
                      <w:rFonts w:ascii="Cambria Math" w:hAnsi="Cambria Math" w:cs="Arial"/>
                      <w:szCs w:val="20"/>
                    </w:rPr>
                    <m:t>S11</m:t>
                  </m:r>
                </m:e>
              </m:acc>
            </m:e>
            <m:sub>
              <m:r>
                <w:rPr>
                  <w:rFonts w:ascii="Cambria Math" w:hAnsi="Cambria Math" w:cs="Arial"/>
                  <w:szCs w:val="20"/>
                </w:rPr>
                <m:t xml:space="preserve">N, retropolated </m:t>
              </m:r>
              <m:r>
                <w:rPr>
                  <w:rFonts w:ascii="Cambria Math" w:eastAsia="Calibri" w:hAnsi="Cambria Math"/>
                </w:rPr>
                <m:t xml:space="preserve">benchmark </m:t>
              </m:r>
            </m:sub>
            <m:sup>
              <m:r>
                <w:rPr>
                  <w:rFonts w:ascii="Cambria Math" w:hAnsi="Cambria Math" w:cs="Arial"/>
                  <w:szCs w:val="20"/>
                </w:rPr>
                <m:t>i</m:t>
              </m:r>
            </m:sup>
          </m:sSubSup>
          <m:r>
            <w:rPr>
              <w:rFonts w:ascii="Cambria Math" w:hAnsi="Cambria Math" w:cs="Arial"/>
              <w:szCs w:val="20"/>
            </w:rPr>
            <m:t>=</m:t>
          </m:r>
          <m:sSubSup>
            <m:sSubSupPr>
              <m:ctrlPr>
                <w:rPr>
                  <w:rFonts w:ascii="Cambria Math" w:hAnsi="Cambria Math" w:cs="Arial"/>
                  <w:i/>
                  <w:szCs w:val="20"/>
                </w:rPr>
              </m:ctrlPr>
            </m:sSubSupPr>
            <m:e>
              <m:r>
                <w:rPr>
                  <w:rFonts w:ascii="Cambria Math" w:hAnsi="Cambria Math" w:cs="Arial"/>
                  <w:szCs w:val="20"/>
                </w:rPr>
                <m:t>S11</m:t>
              </m:r>
            </m:e>
            <m:sub>
              <m:r>
                <w:rPr>
                  <w:rFonts w:ascii="Cambria Math" w:hAnsi="Cambria Math" w:cs="Arial"/>
                  <w:szCs w:val="20"/>
                </w:rPr>
                <m:t xml:space="preserve">N, </m:t>
              </m:r>
              <m:r>
                <w:rPr>
                  <w:rFonts w:ascii="Cambria Math" w:eastAsia="Calibri" w:hAnsi="Cambria Math"/>
                </w:rPr>
                <m:t xml:space="preserve">benchmark </m:t>
              </m:r>
              <m:r>
                <w:rPr>
                  <w:rFonts w:ascii="Cambria Math" w:hAnsi="Cambria Math" w:cs="Arial"/>
                  <w:szCs w:val="20"/>
                </w:rPr>
                <m:t>2000</m:t>
              </m:r>
            </m:sub>
            <m:sup>
              <m:r>
                <w:rPr>
                  <w:rFonts w:ascii="Cambria Math" w:hAnsi="Cambria Math" w:cs="Arial"/>
                  <w:szCs w:val="20"/>
                </w:rPr>
                <m:t>i</m:t>
              </m:r>
            </m:sup>
          </m:sSubSup>
          <m:r>
            <w:rPr>
              <w:rFonts w:ascii="Cambria Math" w:hAnsi="Cambria Math" w:cs="Arial"/>
              <w:szCs w:val="20"/>
            </w:rPr>
            <m:t>-0.08*</m:t>
          </m:r>
          <m:sSubSup>
            <m:sSubSupPr>
              <m:ctrlPr>
                <w:rPr>
                  <w:rFonts w:ascii="Cambria Math" w:hAnsi="Cambria Math" w:cs="Arial"/>
                  <w:i/>
                  <w:szCs w:val="20"/>
                </w:rPr>
              </m:ctrlPr>
            </m:sSubSupPr>
            <m:e>
              <m:acc>
                <m:accPr>
                  <m:ctrlPr>
                    <w:rPr>
                      <w:rFonts w:ascii="Cambria Math" w:hAnsi="Cambria Math" w:cs="Arial"/>
                      <w:i/>
                      <w:szCs w:val="20"/>
                    </w:rPr>
                  </m:ctrlPr>
                </m:accPr>
                <m:e>
                  <m:r>
                    <w:rPr>
                      <w:rFonts w:ascii="Cambria Math" w:hAnsi="Cambria Math" w:cs="Arial"/>
                      <w:szCs w:val="20"/>
                    </w:rPr>
                    <m:t>S127</m:t>
                  </m:r>
                </m:e>
              </m:acc>
            </m:e>
            <m:sub>
              <m:r>
                <w:rPr>
                  <w:rFonts w:ascii="Cambria Math" w:hAnsi="Cambria Math" w:cs="Arial"/>
                  <w:szCs w:val="20"/>
                </w:rPr>
                <m:t xml:space="preserve">N, retropolated </m:t>
              </m:r>
              <m:r>
                <w:rPr>
                  <w:rFonts w:ascii="Cambria Math" w:eastAsia="Calibri" w:hAnsi="Cambria Math"/>
                </w:rPr>
                <m:t xml:space="preserve">benchmark </m:t>
              </m:r>
            </m:sub>
            <m:sup>
              <m:r>
                <w:rPr>
                  <w:rFonts w:ascii="Cambria Math" w:hAnsi="Cambria Math" w:cs="Arial"/>
                  <w:szCs w:val="20"/>
                </w:rPr>
                <m:t>i</m:t>
              </m:r>
            </m:sup>
          </m:sSubSup>
        </m:oMath>
      </m:oMathPara>
    </w:p>
    <w:p w14:paraId="7A250317" w14:textId="77777777" w:rsidR="00AF1502" w:rsidRPr="00AF1502" w:rsidRDefault="00AF1502" w:rsidP="00AF1502">
      <w:pPr>
        <w:pStyle w:val="Sansinterligne"/>
        <w:jc w:val="both"/>
        <w:rPr>
          <w:rFonts w:ascii="Arial" w:hAnsi="Arial" w:cs="Arial"/>
          <w:bCs/>
          <w:sz w:val="20"/>
          <w:szCs w:val="20"/>
        </w:rPr>
      </w:pPr>
    </w:p>
    <w:p w14:paraId="78F47D91" w14:textId="77777777" w:rsidR="00AF1502" w:rsidRPr="00AF1502" w:rsidRDefault="00AF1502" w:rsidP="00AF1502">
      <w:pPr>
        <w:pStyle w:val="Sansinterligne"/>
        <w:jc w:val="both"/>
        <w:rPr>
          <w:rFonts w:ascii="Arial" w:hAnsi="Arial" w:cs="Arial"/>
          <w:bCs/>
          <w:sz w:val="20"/>
          <w:szCs w:val="20"/>
        </w:rPr>
      </w:pPr>
    </w:p>
    <w:p w14:paraId="56821963" w14:textId="77777777" w:rsidR="00AF1502" w:rsidRPr="00AF1502" w:rsidRDefault="00AF1502" w:rsidP="00AF1502">
      <w:pPr>
        <w:pStyle w:val="Sansinterligne"/>
        <w:jc w:val="both"/>
        <w:rPr>
          <w:rFonts w:ascii="Arial" w:hAnsi="Arial" w:cs="Arial"/>
          <w:bCs/>
          <w:sz w:val="20"/>
          <w:szCs w:val="20"/>
        </w:rPr>
      </w:pPr>
    </w:p>
    <w:p w14:paraId="5814D297" w14:textId="77777777" w:rsidR="00AF1502" w:rsidRPr="00AF1502" w:rsidRDefault="002D026E" w:rsidP="00AF1502">
      <w:pPr>
        <w:pStyle w:val="Paragraphedeliste"/>
        <w:numPr>
          <w:ilvl w:val="0"/>
          <w:numId w:val="40"/>
        </w:numPr>
        <w:spacing w:after="160" w:line="259" w:lineRule="auto"/>
        <w:jc w:val="both"/>
        <w:rPr>
          <w:rFonts w:ascii="Arial" w:hAnsi="Arial" w:cs="Arial"/>
        </w:rPr>
      </w:pPr>
      <w:r w:rsidRPr="002D026E">
        <w:rPr>
          <w:rFonts w:ascii="Arial" w:hAnsi="Arial" w:cs="Arial"/>
        </w:rPr>
        <w:t>Other special cases</w:t>
      </w:r>
    </w:p>
    <w:p w14:paraId="31DFCCB7" w14:textId="77777777" w:rsidR="00AF1502" w:rsidRPr="00AF1502" w:rsidRDefault="002D026E" w:rsidP="00AF1502">
      <w:pPr>
        <w:pStyle w:val="Paragraphedeliste"/>
        <w:numPr>
          <w:ilvl w:val="1"/>
          <w:numId w:val="40"/>
        </w:numPr>
        <w:spacing w:after="160" w:line="259" w:lineRule="auto"/>
        <w:jc w:val="both"/>
        <w:rPr>
          <w:rFonts w:ascii="Arial" w:hAnsi="Arial" w:cs="Arial"/>
        </w:rPr>
      </w:pPr>
      <w:r w:rsidRPr="002D026E">
        <w:rPr>
          <w:rFonts w:ascii="Arial" w:hAnsi="Arial" w:cs="Arial"/>
        </w:rPr>
        <w:t>Modifying a series</w:t>
      </w:r>
    </w:p>
    <w:p w14:paraId="71BD447F" w14:textId="5D1EE2E1" w:rsidR="00AF1502" w:rsidRPr="002E5EEE" w:rsidRDefault="002D026E" w:rsidP="00AF1502">
      <w:pPr>
        <w:jc w:val="both"/>
        <w:rPr>
          <w:rFonts w:ascii="Arial" w:hAnsi="Arial" w:cs="Arial"/>
          <w:lang w:val="en-US"/>
        </w:rPr>
      </w:pPr>
      <w:r w:rsidRPr="002E5EEE">
        <w:rPr>
          <w:rFonts w:ascii="Arial" w:eastAsiaTheme="majorEastAsia" w:hAnsi="Arial" w:cs="Arial"/>
          <w:lang w:val="en-US"/>
        </w:rPr>
        <w:t xml:space="preserve">The series P.W2.131110.2960.EU.W0.100000 (correspondent accounts) in </w:t>
      </w:r>
      <w:r w:rsidR="00ED3D7B">
        <w:rPr>
          <w:rFonts w:ascii="Arial" w:eastAsiaTheme="majorEastAsia" w:hAnsi="Arial" w:cs="Arial"/>
          <w:lang w:val="en-US"/>
        </w:rPr>
        <w:t>benchmark</w:t>
      </w:r>
      <w:r w:rsidRPr="002E5EEE">
        <w:rPr>
          <w:rFonts w:ascii="Arial" w:eastAsiaTheme="majorEastAsia" w:hAnsi="Arial" w:cs="Arial"/>
          <w:lang w:val="en-US"/>
        </w:rPr>
        <w:t xml:space="preserve"> 1995 has been changed to P.W2.131110.2100.EU.W0.100000 (coins and banknotes) in </w:t>
      </w:r>
      <w:r w:rsidR="00ED3D7B">
        <w:rPr>
          <w:rFonts w:ascii="Arial" w:eastAsiaTheme="majorEastAsia" w:hAnsi="Arial" w:cs="Arial"/>
          <w:lang w:val="en-US"/>
        </w:rPr>
        <w:t>benchmark</w:t>
      </w:r>
      <w:r w:rsidRPr="002E5EEE">
        <w:rPr>
          <w:rFonts w:ascii="Arial" w:eastAsiaTheme="majorEastAsia" w:hAnsi="Arial" w:cs="Arial"/>
          <w:lang w:val="en-US"/>
        </w:rPr>
        <w:t xml:space="preserve"> 2014</w:t>
      </w:r>
      <w:r w:rsidR="00AF1502" w:rsidRPr="002E5EEE">
        <w:rPr>
          <w:rFonts w:ascii="Arial" w:hAnsi="Arial" w:cs="Arial"/>
          <w:lang w:val="en-US"/>
        </w:rPr>
        <w:t>.</w:t>
      </w:r>
    </w:p>
    <w:p w14:paraId="04F9A8F0" w14:textId="77777777" w:rsidR="00AF1502" w:rsidRPr="002E5EEE" w:rsidRDefault="00AF1502" w:rsidP="00AF1502">
      <w:pPr>
        <w:jc w:val="both"/>
        <w:rPr>
          <w:rFonts w:ascii="Arial" w:hAnsi="Arial" w:cs="Arial"/>
          <w:lang w:val="en-US"/>
        </w:rPr>
      </w:pPr>
    </w:p>
    <w:p w14:paraId="78D2A8C5" w14:textId="77777777" w:rsidR="00AF1502" w:rsidRPr="00AF1502" w:rsidRDefault="002D026E" w:rsidP="00AF1502">
      <w:pPr>
        <w:pStyle w:val="Paragraphedeliste"/>
        <w:numPr>
          <w:ilvl w:val="1"/>
          <w:numId w:val="40"/>
        </w:numPr>
        <w:spacing w:after="160" w:line="259" w:lineRule="auto"/>
        <w:jc w:val="both"/>
        <w:rPr>
          <w:rFonts w:ascii="Arial" w:hAnsi="Arial" w:cs="Arial"/>
        </w:rPr>
      </w:pPr>
      <w:r w:rsidRPr="002D026E">
        <w:rPr>
          <w:rFonts w:ascii="Arial" w:hAnsi="Arial" w:cs="Arial"/>
        </w:rPr>
        <w:t>Series reflection</w:t>
      </w:r>
    </w:p>
    <w:p w14:paraId="44A18680" w14:textId="04F2BDCA" w:rsidR="00AF1502" w:rsidRPr="002E5EEE" w:rsidRDefault="002D026E" w:rsidP="00AF1502">
      <w:pPr>
        <w:pStyle w:val="Sansinterligne"/>
        <w:jc w:val="both"/>
        <w:rPr>
          <w:rFonts w:ascii="Arial" w:hAnsi="Arial" w:cs="Arial"/>
          <w:bCs/>
          <w:sz w:val="20"/>
          <w:szCs w:val="20"/>
          <w:lang w:val="en-US"/>
        </w:rPr>
      </w:pPr>
      <w:r w:rsidRPr="002E5EEE">
        <w:rPr>
          <w:rFonts w:ascii="Arial" w:eastAsiaTheme="majorEastAsia" w:hAnsi="Arial" w:cs="Arial"/>
          <w:sz w:val="20"/>
          <w:szCs w:val="20"/>
          <w:lang w:val="en-US"/>
        </w:rPr>
        <w:lastRenderedPageBreak/>
        <w:t xml:space="preserve">The series below are not available in the 2000 </w:t>
      </w:r>
      <w:r w:rsidR="00740C15">
        <w:rPr>
          <w:rFonts w:ascii="Arial" w:eastAsiaTheme="majorEastAsia" w:hAnsi="Arial" w:cs="Arial"/>
          <w:sz w:val="20"/>
          <w:szCs w:val="30"/>
          <w:lang w:val="en-US"/>
        </w:rPr>
        <w:t>benchmark</w:t>
      </w:r>
      <w:r w:rsidR="00740C15" w:rsidRPr="002E5EEE" w:rsidDel="00740C15">
        <w:rPr>
          <w:rFonts w:ascii="Arial" w:eastAsiaTheme="majorEastAsia" w:hAnsi="Arial" w:cs="Arial"/>
          <w:sz w:val="20"/>
          <w:szCs w:val="20"/>
          <w:lang w:val="en-US"/>
        </w:rPr>
        <w:t xml:space="preserve"> </w:t>
      </w:r>
      <w:r w:rsidRPr="002E5EEE">
        <w:rPr>
          <w:rFonts w:ascii="Arial" w:eastAsiaTheme="majorEastAsia" w:hAnsi="Arial" w:cs="Arial"/>
          <w:sz w:val="20"/>
          <w:szCs w:val="20"/>
          <w:lang w:val="en-US"/>
        </w:rPr>
        <w:t>for the years 1977-1994.</w:t>
      </w:r>
      <w:r w:rsidR="00AF1502" w:rsidRPr="002E5EEE">
        <w:rPr>
          <w:rFonts w:ascii="Arial" w:hAnsi="Arial" w:cs="Arial"/>
          <w:sz w:val="20"/>
          <w:szCs w:val="20"/>
          <w:lang w:val="en-US"/>
        </w:rPr>
        <w:t xml:space="preserve"> </w:t>
      </w:r>
    </w:p>
    <w:p w14:paraId="03B1BCF0" w14:textId="77777777" w:rsidR="00AF1502" w:rsidRPr="002E5EEE" w:rsidRDefault="00AF1502" w:rsidP="00AF1502">
      <w:pPr>
        <w:pStyle w:val="Sansinterligne"/>
        <w:jc w:val="both"/>
        <w:rPr>
          <w:rFonts w:ascii="Arial" w:hAnsi="Arial" w:cs="Arial"/>
          <w:bCs/>
          <w:sz w:val="20"/>
          <w:szCs w:val="20"/>
          <w:lang w:val="en-US"/>
        </w:rPr>
      </w:pPr>
    </w:p>
    <w:p w14:paraId="54A9EDE5" w14:textId="77777777" w:rsidR="00AF1502" w:rsidRPr="00AF1502" w:rsidRDefault="00AF1502" w:rsidP="00AF1502">
      <w:pPr>
        <w:pStyle w:val="Sansinterligne"/>
        <w:ind w:left="360"/>
        <w:rPr>
          <w:rFonts w:ascii="Arial" w:eastAsiaTheme="majorEastAsia" w:hAnsi="Arial" w:cs="Arial"/>
          <w:color w:val="365F91" w:themeColor="accent1" w:themeShade="BF"/>
          <w:sz w:val="20"/>
          <w:szCs w:val="20"/>
          <w:lang w:val="en-US"/>
        </w:rPr>
      </w:pPr>
      <w:r w:rsidRPr="00AF1502">
        <w:rPr>
          <w:rFonts w:ascii="Arial" w:hAnsi="Arial" w:cs="Arial"/>
          <w:bCs/>
          <w:noProof/>
          <w:sz w:val="20"/>
          <w:szCs w:val="20"/>
          <w:lang w:eastAsia="fr-FR"/>
        </w:rPr>
        <w:drawing>
          <wp:inline distT="0" distB="0" distL="0" distR="0" wp14:anchorId="0C6290A7" wp14:editId="3C5419F4">
            <wp:extent cx="6132171" cy="1004454"/>
            <wp:effectExtent l="0" t="0" r="2540" b="571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6149292" cy="1007258"/>
                    </a:xfrm>
                    <a:prstGeom prst="rect">
                      <a:avLst/>
                    </a:prstGeom>
                  </pic:spPr>
                </pic:pic>
              </a:graphicData>
            </a:graphic>
          </wp:inline>
        </w:drawing>
      </w:r>
    </w:p>
    <w:p w14:paraId="16185890" w14:textId="77777777" w:rsidR="00AF1502" w:rsidRPr="00AF1502" w:rsidRDefault="00AF1502" w:rsidP="00AF1502">
      <w:pPr>
        <w:pStyle w:val="Sansinterligne"/>
        <w:ind w:left="360"/>
        <w:jc w:val="both"/>
        <w:rPr>
          <w:rFonts w:ascii="Arial" w:eastAsiaTheme="majorEastAsia" w:hAnsi="Arial" w:cs="Arial"/>
          <w:sz w:val="20"/>
          <w:szCs w:val="20"/>
        </w:rPr>
      </w:pPr>
    </w:p>
    <w:p w14:paraId="3F0A5525" w14:textId="6F679F02" w:rsidR="002D026E" w:rsidRPr="002E5EEE" w:rsidRDefault="002D026E" w:rsidP="002D026E">
      <w:pPr>
        <w:pStyle w:val="Sansinterligne"/>
        <w:jc w:val="both"/>
        <w:rPr>
          <w:rFonts w:ascii="Arial" w:hAnsi="Arial" w:cs="Arial"/>
          <w:bCs/>
          <w:sz w:val="20"/>
          <w:szCs w:val="20"/>
          <w:lang w:val="en-US"/>
        </w:rPr>
      </w:pPr>
      <w:r w:rsidRPr="002E5EEE">
        <w:rPr>
          <w:rFonts w:ascii="Arial" w:eastAsiaTheme="majorEastAsia" w:hAnsi="Arial" w:cs="Arial"/>
          <w:sz w:val="20"/>
          <w:szCs w:val="20"/>
          <w:lang w:val="en-US"/>
        </w:rPr>
        <w:t xml:space="preserve">In the illustration below, we seek to estimate the margin series </w:t>
      </w:r>
      <w:r w:rsidR="00AF1502" w:rsidRPr="002E5EEE">
        <w:rPr>
          <w:rFonts w:ascii="Arial" w:hAnsi="Arial" w:cs="Arial"/>
          <w:bCs/>
          <w:color w:val="FFFFFF" w:themeColor="background1"/>
          <w:sz w:val="20"/>
          <w:szCs w:val="20"/>
          <w:highlight w:val="blue"/>
          <w:lang w:val="en-US"/>
        </w:rPr>
        <w:t>A.W1.110000.4100.DV.W0.100000</w:t>
      </w:r>
      <w:r w:rsidR="00AF1502" w:rsidRPr="002E5EEE">
        <w:rPr>
          <w:rFonts w:ascii="Arial" w:hAnsi="Arial" w:cs="Arial"/>
          <w:bCs/>
          <w:color w:val="FFFFFF" w:themeColor="background1"/>
          <w:sz w:val="20"/>
          <w:szCs w:val="20"/>
          <w:lang w:val="en-US"/>
        </w:rPr>
        <w:t xml:space="preserve"> </w:t>
      </w:r>
      <w:r w:rsidRPr="002E5EEE">
        <w:rPr>
          <w:rFonts w:ascii="Arial" w:hAnsi="Arial" w:cs="Arial"/>
          <w:bCs/>
          <w:sz w:val="20"/>
          <w:szCs w:val="20"/>
          <w:lang w:val="en-US"/>
        </w:rPr>
        <w:t xml:space="preserve">(Foreign currency assets of non-resident non-financial corporations vis-à-vis all counterparties) in </w:t>
      </w:r>
      <w:r w:rsidR="00ED3D7B">
        <w:rPr>
          <w:rFonts w:ascii="Arial" w:hAnsi="Arial" w:cs="Arial"/>
          <w:bCs/>
          <w:sz w:val="20"/>
          <w:szCs w:val="20"/>
          <w:lang w:val="en-US"/>
        </w:rPr>
        <w:t>benchmark</w:t>
      </w:r>
      <w:r w:rsidRPr="002E5EEE">
        <w:rPr>
          <w:rFonts w:ascii="Arial" w:hAnsi="Arial" w:cs="Arial"/>
          <w:bCs/>
          <w:sz w:val="20"/>
          <w:szCs w:val="20"/>
          <w:lang w:val="en-US"/>
        </w:rPr>
        <w:t xml:space="preserve"> 2000.</w:t>
      </w:r>
    </w:p>
    <w:p w14:paraId="0A713533" w14:textId="34A75D45" w:rsidR="002D026E" w:rsidRPr="002E5EEE" w:rsidRDefault="002D026E" w:rsidP="002D026E">
      <w:pPr>
        <w:pStyle w:val="Sansinterligne"/>
        <w:jc w:val="both"/>
        <w:rPr>
          <w:rFonts w:ascii="Arial" w:hAnsi="Arial" w:cs="Arial"/>
          <w:bCs/>
          <w:sz w:val="20"/>
          <w:szCs w:val="20"/>
          <w:lang w:val="en-US"/>
        </w:rPr>
      </w:pPr>
      <w:r w:rsidRPr="002E5EEE">
        <w:rPr>
          <w:rFonts w:ascii="Arial" w:hAnsi="Arial" w:cs="Arial"/>
          <w:bCs/>
          <w:sz w:val="20"/>
          <w:szCs w:val="20"/>
          <w:lang w:val="en-US"/>
        </w:rPr>
        <w:t xml:space="preserve">In 2014 </w:t>
      </w:r>
      <w:r w:rsidR="00ED3D7B">
        <w:rPr>
          <w:rFonts w:ascii="Arial" w:hAnsi="Arial" w:cs="Arial"/>
          <w:bCs/>
          <w:sz w:val="20"/>
          <w:szCs w:val="20"/>
          <w:lang w:val="en-US"/>
        </w:rPr>
        <w:t>benchmark</w:t>
      </w:r>
      <w:r w:rsidRPr="002E5EEE">
        <w:rPr>
          <w:rFonts w:ascii="Arial" w:hAnsi="Arial" w:cs="Arial"/>
          <w:bCs/>
          <w:sz w:val="20"/>
          <w:szCs w:val="20"/>
          <w:lang w:val="en-US"/>
        </w:rPr>
        <w:t>, we note that this margin series consists solely of the following "who to whom" (</w:t>
      </w:r>
      <w:r w:rsidR="009103D4">
        <w:rPr>
          <w:rFonts w:ascii="Arial" w:hAnsi="Arial" w:cs="Arial"/>
          <w:bCs/>
          <w:sz w:val="20"/>
          <w:szCs w:val="20"/>
          <w:lang w:val="en-US"/>
        </w:rPr>
        <w:t>w-t-w</w:t>
      </w:r>
      <w:r w:rsidRPr="002E5EEE">
        <w:rPr>
          <w:rFonts w:ascii="Arial" w:hAnsi="Arial" w:cs="Arial"/>
          <w:bCs/>
          <w:sz w:val="20"/>
          <w:szCs w:val="20"/>
          <w:lang w:val="en-US"/>
        </w:rPr>
        <w:t>) series</w:t>
      </w:r>
      <w:r w:rsidR="00AF1502" w:rsidRPr="002E5EEE">
        <w:rPr>
          <w:rFonts w:ascii="Arial" w:hAnsi="Arial" w:cs="Arial"/>
          <w:bCs/>
          <w:sz w:val="20"/>
          <w:szCs w:val="20"/>
          <w:lang w:val="en-US"/>
        </w:rPr>
        <w:t xml:space="preserve"> </w:t>
      </w:r>
      <w:r w:rsidR="00AF1502" w:rsidRPr="002E5EEE">
        <w:rPr>
          <w:rFonts w:ascii="Arial" w:hAnsi="Arial" w:cs="Arial"/>
          <w:bCs/>
          <w:sz w:val="20"/>
          <w:szCs w:val="20"/>
          <w:highlight w:val="cyan"/>
          <w:lang w:val="en-US"/>
        </w:rPr>
        <w:t>A.W1.110000.4100.DV.W2.110000</w:t>
      </w:r>
      <w:r w:rsidR="00AF1502" w:rsidRPr="002E5EEE">
        <w:rPr>
          <w:rFonts w:ascii="Arial" w:hAnsi="Arial" w:cs="Arial"/>
          <w:bCs/>
          <w:sz w:val="20"/>
          <w:szCs w:val="20"/>
          <w:lang w:val="en-US"/>
        </w:rPr>
        <w:t xml:space="preserve"> </w:t>
      </w:r>
      <w:r w:rsidRPr="002E5EEE">
        <w:rPr>
          <w:rFonts w:ascii="Arial" w:hAnsi="Arial" w:cs="Arial"/>
          <w:bCs/>
          <w:sz w:val="20"/>
          <w:szCs w:val="20"/>
          <w:lang w:val="en-US"/>
        </w:rPr>
        <w:t xml:space="preserve">(Foreign currency assets of non-resident non-financial corporations vis-à-vis resident non-financial corporations). At this stage, there is nothing to allow us to estimate the margin series properly. To this end, we have observed the behavior of the series in reflected </w:t>
      </w:r>
      <w:r w:rsidR="009103D4">
        <w:rPr>
          <w:rFonts w:ascii="Arial" w:hAnsi="Arial" w:cs="Arial"/>
          <w:bCs/>
          <w:sz w:val="20"/>
          <w:szCs w:val="20"/>
          <w:lang w:val="en-US"/>
        </w:rPr>
        <w:t>w-t-w</w:t>
      </w:r>
      <w:r w:rsidRPr="002E5EEE">
        <w:rPr>
          <w:rFonts w:ascii="Arial" w:hAnsi="Arial" w:cs="Arial"/>
          <w:bCs/>
          <w:sz w:val="20"/>
          <w:szCs w:val="20"/>
          <w:lang w:val="en-US"/>
        </w:rPr>
        <w:t xml:space="preserve">: </w:t>
      </w:r>
      <w:r w:rsidR="00AF1502" w:rsidRPr="002E5EEE">
        <w:rPr>
          <w:rFonts w:ascii="Arial" w:hAnsi="Arial" w:cs="Arial"/>
          <w:bCs/>
          <w:sz w:val="20"/>
          <w:szCs w:val="20"/>
          <w:lang w:val="en-US"/>
        </w:rPr>
        <w:t xml:space="preserve"> </w:t>
      </w:r>
      <w:r w:rsidR="00AF1502" w:rsidRPr="002E5EEE">
        <w:rPr>
          <w:rFonts w:ascii="Arial" w:hAnsi="Arial" w:cs="Arial"/>
          <w:bCs/>
          <w:sz w:val="20"/>
          <w:szCs w:val="20"/>
          <w:highlight w:val="green"/>
          <w:lang w:val="en-US"/>
        </w:rPr>
        <w:t>P.W2.110000.4100.DV.W1.110000</w:t>
      </w:r>
      <w:r w:rsidR="00AF1502" w:rsidRPr="002E5EEE">
        <w:rPr>
          <w:rFonts w:ascii="Arial" w:hAnsi="Arial" w:cs="Arial"/>
          <w:bCs/>
          <w:sz w:val="20"/>
          <w:szCs w:val="20"/>
          <w:lang w:val="en-US"/>
        </w:rPr>
        <w:t xml:space="preserve">- </w:t>
      </w:r>
      <w:r w:rsidRPr="002E5EEE">
        <w:rPr>
          <w:rFonts w:ascii="Arial" w:hAnsi="Arial" w:cs="Arial"/>
          <w:bCs/>
          <w:sz w:val="20"/>
          <w:szCs w:val="20"/>
          <w:lang w:val="en-US"/>
        </w:rPr>
        <w:t xml:space="preserve">(Foreign currency liabilities of resident non-financial corporations vis-a-vis non-resident non-financial corporations), which is a component of the series in margin: </w:t>
      </w:r>
      <w:r w:rsidR="00AF1502" w:rsidRPr="002E5EEE">
        <w:rPr>
          <w:rFonts w:ascii="Arial" w:hAnsi="Arial" w:cs="Arial"/>
          <w:bCs/>
          <w:color w:val="FFFFFF" w:themeColor="background1"/>
          <w:sz w:val="20"/>
          <w:szCs w:val="20"/>
          <w:highlight w:val="darkGreen"/>
          <w:lang w:val="en-US"/>
        </w:rPr>
        <w:t>P.W2.110000.4100.DV.W1.100000</w:t>
      </w:r>
      <w:r w:rsidR="00AF1502" w:rsidRPr="002E5EEE">
        <w:rPr>
          <w:rFonts w:ascii="Arial" w:hAnsi="Arial" w:cs="Arial"/>
          <w:bCs/>
          <w:color w:val="FFFFFF" w:themeColor="background1"/>
          <w:sz w:val="20"/>
          <w:szCs w:val="20"/>
          <w:lang w:val="en-US"/>
        </w:rPr>
        <w:t xml:space="preserve"> </w:t>
      </w:r>
      <w:r w:rsidRPr="002E5EEE">
        <w:rPr>
          <w:rFonts w:ascii="Arial" w:hAnsi="Arial" w:cs="Arial"/>
          <w:bCs/>
          <w:sz w:val="20"/>
          <w:szCs w:val="20"/>
          <w:lang w:val="en-US"/>
        </w:rPr>
        <w:t>(Foreign currency liabilities of resident non-financial corporations vis-a-vis the rest of the world).</w:t>
      </w:r>
    </w:p>
    <w:p w14:paraId="3412A751" w14:textId="3D236D89" w:rsidR="00AF1502" w:rsidRPr="002E5EEE" w:rsidRDefault="002D026E" w:rsidP="002D026E">
      <w:pPr>
        <w:pStyle w:val="Sansinterligne"/>
        <w:jc w:val="both"/>
        <w:rPr>
          <w:rFonts w:ascii="Arial" w:hAnsi="Arial" w:cs="Arial"/>
          <w:bCs/>
          <w:sz w:val="20"/>
          <w:szCs w:val="20"/>
          <w:lang w:val="en-US"/>
        </w:rPr>
      </w:pPr>
      <w:r w:rsidRPr="002E5EEE">
        <w:rPr>
          <w:rFonts w:ascii="Arial" w:hAnsi="Arial" w:cs="Arial"/>
          <w:bCs/>
          <w:sz w:val="20"/>
          <w:szCs w:val="20"/>
          <w:lang w:val="en-US"/>
        </w:rPr>
        <w:t xml:space="preserve">For the latter series, amounts in </w:t>
      </w:r>
      <w:r w:rsidR="00ED3D7B">
        <w:rPr>
          <w:rFonts w:ascii="Arial" w:hAnsi="Arial" w:cs="Arial"/>
          <w:bCs/>
          <w:sz w:val="20"/>
          <w:szCs w:val="20"/>
          <w:lang w:val="en-US"/>
        </w:rPr>
        <w:t>benchmark</w:t>
      </w:r>
      <w:r w:rsidRPr="002E5EEE">
        <w:rPr>
          <w:rFonts w:ascii="Arial" w:hAnsi="Arial" w:cs="Arial"/>
          <w:bCs/>
          <w:sz w:val="20"/>
          <w:szCs w:val="20"/>
          <w:lang w:val="en-US"/>
        </w:rPr>
        <w:t xml:space="preserve"> 2000 and 2014 are available, and for the series in reflected </w:t>
      </w:r>
      <w:r w:rsidR="009103D4">
        <w:rPr>
          <w:rFonts w:ascii="Arial" w:hAnsi="Arial" w:cs="Arial"/>
          <w:bCs/>
          <w:sz w:val="20"/>
          <w:szCs w:val="20"/>
          <w:lang w:val="en-US"/>
        </w:rPr>
        <w:t>w-t-w</w:t>
      </w:r>
      <w:r w:rsidRPr="002E5EEE">
        <w:rPr>
          <w:rFonts w:ascii="Arial" w:hAnsi="Arial" w:cs="Arial"/>
          <w:bCs/>
          <w:sz w:val="20"/>
          <w:szCs w:val="20"/>
          <w:lang w:val="en-US"/>
        </w:rPr>
        <w:t xml:space="preserve">, an amount in </w:t>
      </w:r>
      <w:r w:rsidR="00ED3D7B">
        <w:rPr>
          <w:rFonts w:ascii="Arial" w:hAnsi="Arial" w:cs="Arial"/>
          <w:bCs/>
          <w:sz w:val="20"/>
          <w:szCs w:val="20"/>
          <w:lang w:val="en-US"/>
        </w:rPr>
        <w:t>benchmark</w:t>
      </w:r>
      <w:r w:rsidRPr="002E5EEE">
        <w:rPr>
          <w:rFonts w:ascii="Arial" w:hAnsi="Arial" w:cs="Arial"/>
          <w:bCs/>
          <w:sz w:val="20"/>
          <w:szCs w:val="20"/>
          <w:lang w:val="en-US"/>
        </w:rPr>
        <w:t xml:space="preserve"> 2014. An estimate of the series in reflected </w:t>
      </w:r>
      <w:r w:rsidR="009103D4">
        <w:rPr>
          <w:rFonts w:ascii="Arial" w:hAnsi="Arial" w:cs="Arial"/>
          <w:bCs/>
          <w:sz w:val="20"/>
          <w:szCs w:val="20"/>
          <w:lang w:val="en-US"/>
        </w:rPr>
        <w:t>w-t-w</w:t>
      </w:r>
      <w:r w:rsidRPr="002E5EEE">
        <w:rPr>
          <w:rFonts w:ascii="Arial" w:hAnsi="Arial" w:cs="Arial"/>
          <w:bCs/>
          <w:sz w:val="20"/>
          <w:szCs w:val="20"/>
          <w:lang w:val="en-US"/>
        </w:rPr>
        <w:t xml:space="preserve">is then made in </w:t>
      </w:r>
      <w:r w:rsidR="00ED3D7B">
        <w:rPr>
          <w:rFonts w:ascii="Arial" w:hAnsi="Arial" w:cs="Arial"/>
          <w:bCs/>
          <w:sz w:val="20"/>
          <w:szCs w:val="20"/>
          <w:lang w:val="en-US"/>
        </w:rPr>
        <w:t>benchmark</w:t>
      </w:r>
      <w:r w:rsidRPr="002E5EEE">
        <w:rPr>
          <w:rFonts w:ascii="Arial" w:hAnsi="Arial" w:cs="Arial"/>
          <w:bCs/>
          <w:sz w:val="20"/>
          <w:szCs w:val="20"/>
          <w:lang w:val="en-US"/>
        </w:rPr>
        <w:t xml:space="preserve"> 2000 according to the formula below.</w:t>
      </w:r>
    </w:p>
    <w:p w14:paraId="4AA99455" w14:textId="77777777" w:rsidR="00AF1502" w:rsidRPr="002E5EEE" w:rsidRDefault="00AF1502" w:rsidP="00AF1502">
      <w:pPr>
        <w:pStyle w:val="Sansinterligne"/>
        <w:ind w:left="360"/>
        <w:jc w:val="both"/>
        <w:rPr>
          <w:rFonts w:ascii="Arial" w:eastAsiaTheme="majorEastAsia" w:hAnsi="Arial" w:cs="Arial"/>
          <w:color w:val="365F91" w:themeColor="accent1" w:themeShade="BF"/>
          <w:sz w:val="20"/>
          <w:szCs w:val="20"/>
          <w:lang w:val="en-US"/>
        </w:rPr>
      </w:pPr>
    </w:p>
    <w:p w14:paraId="66AC6CC6" w14:textId="33F5CADE" w:rsidR="00AF1502" w:rsidRPr="00AF1502" w:rsidRDefault="00AC496F" w:rsidP="00AF1502">
      <w:pPr>
        <w:pStyle w:val="Sansinterligne"/>
        <w:ind w:left="360"/>
        <w:jc w:val="both"/>
        <w:rPr>
          <w:rFonts w:ascii="Arial" w:eastAsiaTheme="majorEastAsia" w:hAnsi="Arial" w:cs="Arial"/>
          <w:color w:val="365F91" w:themeColor="accent1" w:themeShade="BF"/>
          <w:sz w:val="20"/>
          <w:szCs w:val="20"/>
        </w:rPr>
      </w:pPr>
      <m:oMathPara>
        <m:oMath>
          <m:sSub>
            <m:sSubPr>
              <m:ctrlPr>
                <w:rPr>
                  <w:rFonts w:ascii="Cambria Math" w:hAnsi="Cambria Math" w:cs="Arial"/>
                  <w:i/>
                  <w:szCs w:val="20"/>
                </w:rPr>
              </m:ctrlPr>
            </m:sSubPr>
            <m:e>
              <m:r>
                <w:rPr>
                  <w:rFonts w:ascii="Cambria Math" w:hAnsi="Cambria Math" w:cs="Arial"/>
                  <w:szCs w:val="20"/>
                </w:rPr>
                <m:t>S</m:t>
              </m:r>
            </m:e>
            <m:sub>
              <m:r>
                <w:rPr>
                  <w:rFonts w:ascii="Cambria Math" w:hAnsi="Cambria Math" w:cs="Arial"/>
                  <w:szCs w:val="20"/>
                </w:rPr>
                <m:t xml:space="preserve">N-1 wtw,  </m:t>
              </m:r>
              <m:r>
                <w:rPr>
                  <w:rFonts w:ascii="Cambria Math" w:eastAsia="Calibri" w:hAnsi="Cambria Math"/>
                </w:rPr>
                <m:t xml:space="preserve">benchmark </m:t>
              </m:r>
              <m:r>
                <w:rPr>
                  <w:rFonts w:ascii="Cambria Math" w:hAnsi="Cambria Math" w:cs="Arial"/>
                  <w:szCs w:val="20"/>
                </w:rPr>
                <m:t>2000</m:t>
              </m:r>
            </m:sub>
          </m:sSub>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S</m:t>
              </m:r>
            </m:e>
            <m:sub>
              <m:r>
                <w:rPr>
                  <w:rFonts w:ascii="Cambria Math" w:hAnsi="Cambria Math" w:cs="Arial"/>
                  <w:szCs w:val="20"/>
                </w:rPr>
                <m:t xml:space="preserve">N wtw,  </m:t>
              </m:r>
              <m:r>
                <w:rPr>
                  <w:rFonts w:ascii="Cambria Math" w:eastAsia="Calibri" w:hAnsi="Cambria Math"/>
                </w:rPr>
                <m:t xml:space="preserve">benchmark </m:t>
              </m:r>
              <m:r>
                <w:rPr>
                  <w:rFonts w:ascii="Cambria Math" w:hAnsi="Cambria Math" w:cs="Arial"/>
                  <w:szCs w:val="20"/>
                </w:rPr>
                <m:t>2014</m:t>
              </m:r>
            </m:sub>
          </m:sSub>
          <m:r>
            <w:rPr>
              <w:rFonts w:ascii="Cambria Math" w:hAnsi="Cambria Math" w:cs="Arial"/>
              <w:szCs w:val="20"/>
            </w:rPr>
            <m:t>*</m:t>
          </m:r>
          <m:f>
            <m:fPr>
              <m:ctrlPr>
                <w:rPr>
                  <w:rFonts w:ascii="Cambria Math" w:hAnsi="Cambria Math" w:cs="Arial"/>
                  <w:i/>
                  <w:szCs w:val="20"/>
                </w:rPr>
              </m:ctrlPr>
            </m:fPr>
            <m:num>
              <m:sSub>
                <m:sSubPr>
                  <m:ctrlPr>
                    <w:rPr>
                      <w:rFonts w:ascii="Cambria Math" w:hAnsi="Cambria Math" w:cs="Arial"/>
                      <w:i/>
                      <w:szCs w:val="20"/>
                    </w:rPr>
                  </m:ctrlPr>
                </m:sSubPr>
                <m:e>
                  <m:r>
                    <w:rPr>
                      <w:rFonts w:ascii="Cambria Math" w:hAnsi="Cambria Math" w:cs="Arial"/>
                      <w:szCs w:val="20"/>
                    </w:rPr>
                    <m:t>S</m:t>
                  </m:r>
                </m:e>
                <m:sub>
                  <m:r>
                    <w:rPr>
                      <w:rFonts w:ascii="Cambria Math" w:hAnsi="Cambria Math" w:cs="Arial"/>
                      <w:szCs w:val="20"/>
                    </w:rPr>
                    <m:t xml:space="preserve">N-1 Margin, </m:t>
                  </m:r>
                  <m:r>
                    <w:rPr>
                      <w:rFonts w:ascii="Cambria Math" w:eastAsia="Calibri" w:hAnsi="Cambria Math"/>
                    </w:rPr>
                    <m:t xml:space="preserve">benchmark </m:t>
                  </m:r>
                  <m:r>
                    <w:rPr>
                      <w:rFonts w:ascii="Cambria Math" w:hAnsi="Cambria Math" w:cs="Arial"/>
                      <w:szCs w:val="20"/>
                    </w:rPr>
                    <m:t>2000</m:t>
                  </m:r>
                </m:sub>
              </m:sSub>
            </m:num>
            <m:den>
              <m:sSub>
                <m:sSubPr>
                  <m:ctrlPr>
                    <w:rPr>
                      <w:rFonts w:ascii="Cambria Math" w:hAnsi="Cambria Math" w:cs="Arial"/>
                      <w:i/>
                      <w:szCs w:val="20"/>
                    </w:rPr>
                  </m:ctrlPr>
                </m:sSubPr>
                <m:e>
                  <m:r>
                    <w:rPr>
                      <w:rFonts w:ascii="Cambria Math" w:hAnsi="Cambria Math" w:cs="Arial"/>
                      <w:szCs w:val="20"/>
                    </w:rPr>
                    <m:t>S</m:t>
                  </m:r>
                </m:e>
                <m:sub>
                  <m:r>
                    <w:rPr>
                      <w:rFonts w:ascii="Cambria Math" w:hAnsi="Cambria Math" w:cs="Arial"/>
                      <w:szCs w:val="20"/>
                    </w:rPr>
                    <m:t xml:space="preserve">N Margin,  </m:t>
                  </m:r>
                  <m:r>
                    <w:rPr>
                      <w:rFonts w:ascii="Cambria Math" w:eastAsia="Calibri" w:hAnsi="Cambria Math"/>
                    </w:rPr>
                    <m:t xml:space="preserve">benchmark </m:t>
                  </m:r>
                  <m:r>
                    <w:rPr>
                      <w:rFonts w:ascii="Cambria Math" w:hAnsi="Cambria Math" w:cs="Arial"/>
                      <w:szCs w:val="20"/>
                    </w:rPr>
                    <m:t>2014</m:t>
                  </m:r>
                </m:sub>
              </m:sSub>
            </m:den>
          </m:f>
        </m:oMath>
      </m:oMathPara>
    </w:p>
    <w:p w14:paraId="7FD5D758" w14:textId="77777777" w:rsidR="00AF1502" w:rsidRPr="00AF1502" w:rsidRDefault="00AF1502" w:rsidP="00AF1502">
      <w:pPr>
        <w:pStyle w:val="Sansinterligne"/>
        <w:ind w:left="360"/>
        <w:jc w:val="both"/>
        <w:rPr>
          <w:rFonts w:ascii="Arial" w:eastAsiaTheme="majorEastAsia" w:hAnsi="Arial" w:cs="Arial"/>
          <w:color w:val="365F91" w:themeColor="accent1" w:themeShade="BF"/>
          <w:sz w:val="20"/>
          <w:szCs w:val="20"/>
        </w:rPr>
      </w:pPr>
    </w:p>
    <w:p w14:paraId="49B34EFE" w14:textId="48335275" w:rsidR="00AF1502" w:rsidRPr="002E5EEE" w:rsidRDefault="002D026E" w:rsidP="002D026E">
      <w:pPr>
        <w:pStyle w:val="Sansinterligne"/>
        <w:jc w:val="both"/>
        <w:rPr>
          <w:rFonts w:ascii="Arial" w:eastAsiaTheme="majorEastAsia" w:hAnsi="Arial" w:cs="Arial"/>
          <w:color w:val="365F91" w:themeColor="accent1" w:themeShade="BF"/>
          <w:sz w:val="20"/>
          <w:szCs w:val="20"/>
          <w:lang w:val="en-US"/>
        </w:rPr>
      </w:pPr>
      <w:r w:rsidRPr="002E5EEE">
        <w:rPr>
          <w:rFonts w:ascii="Arial" w:hAnsi="Arial" w:cs="Arial"/>
          <w:bCs/>
          <w:sz w:val="20"/>
          <w:szCs w:val="20"/>
          <w:lang w:val="en-US"/>
        </w:rPr>
        <w:t xml:space="preserve">The estimated amount of the reflected </w:t>
      </w:r>
      <w:r w:rsidR="009103D4">
        <w:rPr>
          <w:rFonts w:ascii="Arial" w:hAnsi="Arial" w:cs="Arial"/>
          <w:bCs/>
          <w:sz w:val="20"/>
          <w:szCs w:val="20"/>
          <w:lang w:val="en-US"/>
        </w:rPr>
        <w:t>w-t-w</w:t>
      </w:r>
      <w:r w:rsidRPr="002E5EEE">
        <w:rPr>
          <w:rFonts w:ascii="Arial" w:hAnsi="Arial" w:cs="Arial"/>
          <w:bCs/>
          <w:sz w:val="20"/>
          <w:szCs w:val="20"/>
          <w:lang w:val="en-US"/>
        </w:rPr>
        <w:t xml:space="preserve"> series is then carried over to the initial </w:t>
      </w:r>
      <w:r w:rsidR="009103D4">
        <w:rPr>
          <w:rFonts w:ascii="Arial" w:hAnsi="Arial" w:cs="Arial"/>
          <w:bCs/>
          <w:sz w:val="20"/>
          <w:szCs w:val="20"/>
          <w:lang w:val="en-US"/>
        </w:rPr>
        <w:t>w-t-w</w:t>
      </w:r>
      <w:r w:rsidRPr="002E5EEE">
        <w:rPr>
          <w:rFonts w:ascii="Arial" w:hAnsi="Arial" w:cs="Arial"/>
          <w:bCs/>
          <w:sz w:val="20"/>
          <w:szCs w:val="20"/>
          <w:lang w:val="en-US"/>
        </w:rPr>
        <w:t>series, and the margin series can then be deducted.</w:t>
      </w:r>
    </w:p>
    <w:p w14:paraId="7EEA4235" w14:textId="73EF2DB0" w:rsidR="00AF1502" w:rsidRPr="00AF1502" w:rsidRDefault="00422B8B" w:rsidP="00AF1502">
      <w:pPr>
        <w:pStyle w:val="Sansinterligne"/>
        <w:ind w:left="360"/>
        <w:jc w:val="center"/>
        <w:rPr>
          <w:rFonts w:ascii="Arial" w:eastAsiaTheme="majorEastAsia" w:hAnsi="Arial" w:cs="Arial"/>
          <w:color w:val="365F91" w:themeColor="accent1" w:themeShade="BF"/>
          <w:sz w:val="20"/>
          <w:szCs w:val="20"/>
        </w:rPr>
      </w:pPr>
      <w:r w:rsidRPr="00422B8B">
        <w:rPr>
          <w:rFonts w:ascii="Arial" w:eastAsiaTheme="majorEastAsia" w:hAnsi="Arial" w:cs="Arial"/>
          <w:noProof/>
          <w:color w:val="365F91" w:themeColor="accent1" w:themeShade="BF"/>
          <w:sz w:val="20"/>
          <w:szCs w:val="20"/>
          <w:lang w:eastAsia="fr-FR"/>
        </w:rPr>
        <w:drawing>
          <wp:inline distT="0" distB="0" distL="0" distR="0" wp14:anchorId="32F27440" wp14:editId="1A6277F2">
            <wp:extent cx="5087060" cy="2657846"/>
            <wp:effectExtent l="0" t="0" r="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87060" cy="2657846"/>
                    </a:xfrm>
                    <a:prstGeom prst="rect">
                      <a:avLst/>
                    </a:prstGeom>
                  </pic:spPr>
                </pic:pic>
              </a:graphicData>
            </a:graphic>
          </wp:inline>
        </w:drawing>
      </w:r>
    </w:p>
    <w:p w14:paraId="7BFAE695" w14:textId="77777777" w:rsidR="00AF1502" w:rsidRDefault="00AF1502" w:rsidP="00AF1502">
      <w:pPr>
        <w:pStyle w:val="Sansinterligne"/>
        <w:jc w:val="both"/>
        <w:rPr>
          <w:rFonts w:ascii="Arial" w:eastAsiaTheme="majorEastAsia" w:hAnsi="Arial" w:cs="Arial"/>
          <w:color w:val="365F91" w:themeColor="accent1" w:themeShade="BF"/>
          <w:sz w:val="20"/>
          <w:szCs w:val="20"/>
        </w:rPr>
      </w:pPr>
    </w:p>
    <w:p w14:paraId="636CE1BB" w14:textId="77777777" w:rsidR="007E0B67" w:rsidRDefault="007E0B67" w:rsidP="007E0B67">
      <w:pPr>
        <w:spacing w:after="160" w:line="259" w:lineRule="auto"/>
        <w:jc w:val="both"/>
        <w:rPr>
          <w:rFonts w:ascii="Arial" w:hAnsi="Arial" w:cs="Arial"/>
        </w:rPr>
      </w:pPr>
    </w:p>
    <w:p w14:paraId="631CA9A9" w14:textId="4A8E7F32" w:rsidR="00AF1502" w:rsidRPr="002E5EEE" w:rsidRDefault="007E0B67" w:rsidP="007E0B67">
      <w:pPr>
        <w:spacing w:after="160" w:line="259" w:lineRule="auto"/>
        <w:jc w:val="both"/>
        <w:rPr>
          <w:rFonts w:ascii="Arial" w:hAnsi="Arial" w:cs="Arial"/>
          <w:lang w:val="en-US"/>
        </w:rPr>
      </w:pPr>
      <w:r w:rsidRPr="002E5EEE">
        <w:rPr>
          <w:rFonts w:ascii="Arial" w:hAnsi="Arial" w:cs="Arial"/>
          <w:lang w:val="en-US"/>
        </w:rPr>
        <w:t xml:space="preserve">4. </w:t>
      </w:r>
      <w:r w:rsidR="002D026E" w:rsidRPr="002E5EEE">
        <w:rPr>
          <w:rFonts w:ascii="Arial" w:hAnsi="Arial" w:cs="Arial"/>
          <w:lang w:val="en-US"/>
        </w:rPr>
        <w:t xml:space="preserve">Estimation of </w:t>
      </w:r>
      <w:r w:rsidR="009103D4">
        <w:rPr>
          <w:rFonts w:ascii="Arial" w:hAnsi="Arial" w:cs="Arial"/>
          <w:lang w:val="en-US"/>
        </w:rPr>
        <w:t>some</w:t>
      </w:r>
      <w:r w:rsidR="002D026E" w:rsidRPr="002E5EEE">
        <w:rPr>
          <w:rFonts w:ascii="Arial" w:hAnsi="Arial" w:cs="Arial"/>
          <w:lang w:val="en-US"/>
        </w:rPr>
        <w:t xml:space="preserve"> quarterly series in </w:t>
      </w:r>
      <w:r w:rsidR="00ED3D7B">
        <w:rPr>
          <w:rFonts w:ascii="Arial" w:hAnsi="Arial" w:cs="Arial"/>
          <w:lang w:val="en-US"/>
        </w:rPr>
        <w:t>benchmark</w:t>
      </w:r>
      <w:r w:rsidR="002D026E" w:rsidRPr="002E5EEE">
        <w:rPr>
          <w:rFonts w:ascii="Arial" w:hAnsi="Arial" w:cs="Arial"/>
          <w:lang w:val="en-US"/>
        </w:rPr>
        <w:t xml:space="preserve"> 2000 before estimation of the same series in </w:t>
      </w:r>
      <w:r w:rsidR="00ED3D7B">
        <w:rPr>
          <w:rFonts w:ascii="Arial" w:hAnsi="Arial" w:cs="Arial"/>
          <w:lang w:val="en-US"/>
        </w:rPr>
        <w:t>benchmark</w:t>
      </w:r>
      <w:r w:rsidR="002D026E" w:rsidRPr="002E5EEE">
        <w:rPr>
          <w:rFonts w:ascii="Arial" w:hAnsi="Arial" w:cs="Arial"/>
          <w:lang w:val="en-US"/>
        </w:rPr>
        <w:t xml:space="preserve"> 2014</w:t>
      </w:r>
    </w:p>
    <w:p w14:paraId="5DA5935B" w14:textId="75E07EA0" w:rsidR="00AF1502" w:rsidRPr="002E5EEE" w:rsidRDefault="002D026E" w:rsidP="00AF1502">
      <w:pPr>
        <w:rPr>
          <w:rFonts w:ascii="Arial" w:hAnsi="Arial" w:cs="Arial"/>
          <w:lang w:val="en-US"/>
        </w:rPr>
      </w:pPr>
      <w:r w:rsidRPr="002E5EEE">
        <w:rPr>
          <w:rFonts w:ascii="Arial" w:hAnsi="Arial" w:cs="Arial"/>
          <w:lang w:val="en-US"/>
        </w:rPr>
        <w:t xml:space="preserve">For the quarterly backcast to </w:t>
      </w:r>
      <w:r w:rsidR="00ED3D7B">
        <w:rPr>
          <w:rFonts w:ascii="Arial" w:hAnsi="Arial" w:cs="Arial"/>
          <w:lang w:val="en-US"/>
        </w:rPr>
        <w:t>benchmark</w:t>
      </w:r>
      <w:r w:rsidRPr="002E5EEE">
        <w:rPr>
          <w:rFonts w:ascii="Arial" w:hAnsi="Arial" w:cs="Arial"/>
          <w:lang w:val="en-US"/>
        </w:rPr>
        <w:t xml:space="preserve"> 2000, </w:t>
      </w:r>
      <w:r w:rsidR="00D50AEE">
        <w:rPr>
          <w:rFonts w:ascii="Arial" w:hAnsi="Arial" w:cs="Arial"/>
          <w:lang w:val="en-US"/>
        </w:rPr>
        <w:t>i</w:t>
      </w:r>
      <w:r w:rsidR="00D50AEE" w:rsidRPr="00D50AEE">
        <w:rPr>
          <w:rFonts w:ascii="Arial" w:hAnsi="Arial" w:cs="Arial"/>
          <w:lang w:val="en-US"/>
        </w:rPr>
        <w:t xml:space="preserve">n the absence of sufficiently granular quarterly series, quarterly retropolations were carried out at a slightly more aggregated level, followed by disaggregation to recover the </w:t>
      </w:r>
      <w:r w:rsidR="00D50AEE">
        <w:rPr>
          <w:rFonts w:ascii="Arial" w:hAnsi="Arial" w:cs="Arial"/>
          <w:lang w:val="en-US"/>
        </w:rPr>
        <w:t>more detailled</w:t>
      </w:r>
      <w:r w:rsidR="00D50AEE" w:rsidRPr="00D50AEE">
        <w:rPr>
          <w:rFonts w:ascii="Arial" w:hAnsi="Arial" w:cs="Arial"/>
          <w:lang w:val="en-US"/>
        </w:rPr>
        <w:t xml:space="preserve"> series</w:t>
      </w:r>
      <w:r w:rsidR="00D50AEE">
        <w:rPr>
          <w:rFonts w:ascii="Arial" w:hAnsi="Arial" w:cs="Arial"/>
          <w:lang w:val="en-US"/>
        </w:rPr>
        <w:t>. These simplifications concern</w:t>
      </w:r>
      <w:r w:rsidR="00D50AEE" w:rsidRPr="00D50AEE">
        <w:rPr>
          <w:rFonts w:ascii="Arial" w:hAnsi="Arial" w:cs="Arial"/>
          <w:lang w:val="en-US"/>
        </w:rPr>
        <w:t>:</w:t>
      </w:r>
    </w:p>
    <w:p w14:paraId="3412F788" w14:textId="26CDEF47" w:rsidR="00AF1502" w:rsidRPr="008F43E4" w:rsidRDefault="009F2C26" w:rsidP="00AF1502">
      <w:pPr>
        <w:numPr>
          <w:ilvl w:val="0"/>
          <w:numId w:val="43"/>
        </w:numPr>
        <w:jc w:val="both"/>
        <w:rPr>
          <w:rFonts w:ascii="Arial" w:hAnsi="Arial" w:cs="Arial"/>
          <w:lang w:val="en-US"/>
        </w:rPr>
      </w:pPr>
      <w:r w:rsidRPr="008F43E4">
        <w:rPr>
          <w:rFonts w:ascii="Arial" w:hAnsi="Arial" w:cs="Arial"/>
          <w:lang w:val="en-US"/>
        </w:rPr>
        <w:t>the household sector (S14) was backcast</w:t>
      </w:r>
      <w:r w:rsidR="00D50AEE">
        <w:rPr>
          <w:rFonts w:ascii="Arial" w:hAnsi="Arial" w:cs="Arial"/>
          <w:lang w:val="en-US"/>
        </w:rPr>
        <w:t>ed</w:t>
      </w:r>
      <w:r w:rsidRPr="008F43E4">
        <w:rPr>
          <w:rFonts w:ascii="Arial" w:hAnsi="Arial" w:cs="Arial"/>
          <w:lang w:val="en-US"/>
        </w:rPr>
        <w:t xml:space="preserve"> globally, without distinguishing between sole proprietors (S.14A) and individuals (S.14B),</w:t>
      </w:r>
      <w:r w:rsidR="00AF1502" w:rsidRPr="008F43E4">
        <w:rPr>
          <w:rFonts w:ascii="Arial" w:hAnsi="Arial" w:cs="Arial"/>
          <w:lang w:val="en-US"/>
        </w:rPr>
        <w:t xml:space="preserve"> </w:t>
      </w:r>
    </w:p>
    <w:p w14:paraId="56AEDE58" w14:textId="77777777" w:rsidR="00AF1502" w:rsidRPr="008F43E4" w:rsidRDefault="00AF1502" w:rsidP="00AF1502">
      <w:pPr>
        <w:ind w:left="360"/>
        <w:jc w:val="both"/>
        <w:rPr>
          <w:rFonts w:ascii="Arial" w:hAnsi="Arial" w:cs="Arial"/>
          <w:lang w:val="en-US"/>
        </w:rPr>
      </w:pPr>
    </w:p>
    <w:p w14:paraId="0D94A9D1" w14:textId="77777777" w:rsidR="00AF1502" w:rsidRPr="008F43E4" w:rsidRDefault="009F2C26" w:rsidP="00AF1502">
      <w:pPr>
        <w:numPr>
          <w:ilvl w:val="0"/>
          <w:numId w:val="43"/>
        </w:numPr>
        <w:jc w:val="both"/>
        <w:rPr>
          <w:rFonts w:ascii="Arial" w:hAnsi="Arial" w:cs="Arial"/>
          <w:lang w:val="en-US"/>
        </w:rPr>
      </w:pPr>
      <w:r w:rsidRPr="008F43E4">
        <w:rPr>
          <w:rFonts w:ascii="Arial" w:hAnsi="Arial" w:cs="Arial"/>
          <w:lang w:val="en-US"/>
        </w:rPr>
        <w:t xml:space="preserve">mutual funds were backcasted globally, without taking into account the distinction between money-market funds (S.122F) and non-money-market funds (S.123B) </w:t>
      </w:r>
      <w:r w:rsidR="00AF1502" w:rsidRPr="008F43E4">
        <w:rPr>
          <w:rFonts w:ascii="Arial" w:hAnsi="Arial" w:cs="Arial"/>
          <w:lang w:val="en-US"/>
        </w:rPr>
        <w:t xml:space="preserve"> </w:t>
      </w:r>
    </w:p>
    <w:p w14:paraId="1B437438" w14:textId="77777777" w:rsidR="00AF1502" w:rsidRPr="008F43E4" w:rsidRDefault="00AF1502" w:rsidP="00AF1502">
      <w:pPr>
        <w:ind w:left="357"/>
        <w:rPr>
          <w:rFonts w:ascii="Arial" w:hAnsi="Arial" w:cs="Arial"/>
          <w:lang w:val="en-US"/>
        </w:rPr>
      </w:pPr>
    </w:p>
    <w:p w14:paraId="05CE5227" w14:textId="77777777" w:rsidR="00AF1502" w:rsidRPr="008F43E4" w:rsidRDefault="009F2C26" w:rsidP="00AF1502">
      <w:pPr>
        <w:numPr>
          <w:ilvl w:val="0"/>
          <w:numId w:val="43"/>
        </w:numPr>
        <w:jc w:val="both"/>
        <w:rPr>
          <w:rFonts w:ascii="Arial" w:hAnsi="Arial" w:cs="Arial"/>
          <w:lang w:val="en-US"/>
        </w:rPr>
      </w:pPr>
      <w:r w:rsidRPr="008F43E4">
        <w:rPr>
          <w:rFonts w:ascii="Arial" w:hAnsi="Arial" w:cs="Arial"/>
          <w:lang w:val="en-US"/>
        </w:rPr>
        <w:t>the following financial transaction headings have not been broken down between euros and foreign currencies (F.291, F.292, F.422, F.332)</w:t>
      </w:r>
    </w:p>
    <w:p w14:paraId="5732526C" w14:textId="77777777" w:rsidR="00AF1502" w:rsidRPr="008F43E4" w:rsidRDefault="00AF1502" w:rsidP="00AF1502">
      <w:pPr>
        <w:ind w:left="357"/>
        <w:rPr>
          <w:rFonts w:ascii="Arial" w:hAnsi="Arial" w:cs="Arial"/>
          <w:lang w:val="en-US"/>
        </w:rPr>
      </w:pPr>
    </w:p>
    <w:p w14:paraId="4090D22D" w14:textId="77777777" w:rsidR="00AF1502" w:rsidRPr="008F43E4" w:rsidRDefault="009F2C26" w:rsidP="00AF1502">
      <w:pPr>
        <w:numPr>
          <w:ilvl w:val="0"/>
          <w:numId w:val="43"/>
        </w:numPr>
        <w:jc w:val="both"/>
        <w:rPr>
          <w:rFonts w:ascii="Arial" w:hAnsi="Arial" w:cs="Arial"/>
          <w:lang w:val="en-US"/>
        </w:rPr>
      </w:pPr>
      <w:r w:rsidRPr="008F43E4">
        <w:rPr>
          <w:rFonts w:ascii="Arial" w:hAnsi="Arial" w:cs="Arial"/>
          <w:lang w:val="en-US"/>
        </w:rPr>
        <w:t>quoted and unquoted shares in foreign companies (F.5112 and F.5122) have been summed.</w:t>
      </w:r>
    </w:p>
    <w:p w14:paraId="0EDBD321" w14:textId="77777777" w:rsidR="00AF1502" w:rsidRPr="008F43E4" w:rsidRDefault="00AF1502" w:rsidP="00AF1502">
      <w:pPr>
        <w:ind w:left="357"/>
        <w:rPr>
          <w:rFonts w:ascii="Arial" w:hAnsi="Arial" w:cs="Arial"/>
          <w:lang w:val="en-US"/>
        </w:rPr>
      </w:pPr>
    </w:p>
    <w:p w14:paraId="223F571B" w14:textId="77777777" w:rsidR="00AF1502" w:rsidRPr="008F43E4" w:rsidRDefault="009F2C26" w:rsidP="00AF1502">
      <w:pPr>
        <w:numPr>
          <w:ilvl w:val="0"/>
          <w:numId w:val="43"/>
        </w:numPr>
        <w:jc w:val="both"/>
        <w:rPr>
          <w:rFonts w:ascii="Arial" w:hAnsi="Arial" w:cs="Arial"/>
          <w:lang w:val="en-US"/>
        </w:rPr>
      </w:pPr>
      <w:r w:rsidRPr="008F43E4">
        <w:rPr>
          <w:rFonts w:ascii="Arial" w:hAnsi="Arial" w:cs="Arial"/>
          <w:lang w:val="en-US"/>
        </w:rPr>
        <w:t>further aggregations have been made between loans between non-financial agents and short-term trade credits (F.419 and F.711), long-term trade credits (F.429 and F.712), transferable deposits and bills and coins in euros (F.2101 and F.2201) and in foreign currencies (F.2102 and F.2202), and mutual fund shares and units (F.521, F.522 and F.523).</w:t>
      </w:r>
    </w:p>
    <w:p w14:paraId="72FD7089" w14:textId="77777777" w:rsidR="00AF1502" w:rsidRPr="008F43E4" w:rsidRDefault="00AF1502" w:rsidP="00AF1502">
      <w:pPr>
        <w:ind w:left="357"/>
        <w:rPr>
          <w:rFonts w:ascii="Arial" w:hAnsi="Arial" w:cs="Arial"/>
          <w:lang w:val="en-US"/>
        </w:rPr>
      </w:pPr>
    </w:p>
    <w:p w14:paraId="7FD32DC7" w14:textId="77777777" w:rsidR="00AF1502" w:rsidRPr="008F43E4" w:rsidRDefault="009F2C26" w:rsidP="00AF1502">
      <w:pPr>
        <w:numPr>
          <w:ilvl w:val="0"/>
          <w:numId w:val="43"/>
        </w:numPr>
        <w:jc w:val="both"/>
        <w:rPr>
          <w:rFonts w:ascii="Arial" w:hAnsi="Arial" w:cs="Arial"/>
          <w:lang w:val="en-US"/>
        </w:rPr>
      </w:pPr>
      <w:r w:rsidRPr="008F43E4">
        <w:rPr>
          <w:rFonts w:ascii="Arial" w:hAnsi="Arial" w:cs="Arial"/>
          <w:lang w:val="en-US"/>
        </w:rPr>
        <w:t>finally, for the lines on long-term debt securities (F.332) and shares and mutual fund shares (F.5), the ODAC, APUL and ASSO sectors were not distinguished.</w:t>
      </w:r>
    </w:p>
    <w:p w14:paraId="63902ECA" w14:textId="77777777" w:rsidR="00AF1502" w:rsidRPr="008F43E4" w:rsidRDefault="00AF1502" w:rsidP="00AF1502">
      <w:pPr>
        <w:jc w:val="both"/>
        <w:rPr>
          <w:rFonts w:ascii="Arial" w:hAnsi="Arial" w:cs="Arial"/>
          <w:lang w:val="en-US"/>
        </w:rPr>
      </w:pPr>
    </w:p>
    <w:p w14:paraId="2D5FF332" w14:textId="77777777" w:rsidR="00AF1502" w:rsidRPr="008F43E4" w:rsidRDefault="00AF1502" w:rsidP="00AF1502">
      <w:pPr>
        <w:rPr>
          <w:rFonts w:ascii="Arial" w:eastAsiaTheme="minorEastAsia" w:hAnsi="Arial" w:cs="Arial"/>
          <w:lang w:val="en-US"/>
        </w:rPr>
      </w:pPr>
    </w:p>
    <w:p w14:paraId="550189A6" w14:textId="4D106760" w:rsidR="00AF1502" w:rsidRPr="008F43E4" w:rsidRDefault="009F2C26" w:rsidP="00AF1502">
      <w:pPr>
        <w:pStyle w:val="Sansinterligne"/>
        <w:ind w:left="720"/>
        <w:jc w:val="both"/>
        <w:rPr>
          <w:rFonts w:ascii="Arial" w:eastAsiaTheme="minorEastAsia" w:hAnsi="Arial" w:cs="Arial"/>
          <w:sz w:val="20"/>
          <w:szCs w:val="20"/>
          <w:lang w:val="en-US"/>
        </w:rPr>
      </w:pPr>
      <w:r w:rsidRPr="008F43E4">
        <w:rPr>
          <w:rFonts w:ascii="Arial" w:eastAsiaTheme="minorEastAsia" w:hAnsi="Arial" w:cs="Arial"/>
          <w:sz w:val="20"/>
          <w:szCs w:val="20"/>
          <w:lang w:val="en-US" w:eastAsia="fr-FR"/>
        </w:rPr>
        <w:t>For the series listed above, the following formula is applied to each quarter Tp of year N to estimate the disaggregated series:</w:t>
      </w:r>
      <m:oMath>
        <m:sSubSup>
          <m:sSubSupPr>
            <m:ctrlPr>
              <w:rPr>
                <w:rFonts w:ascii="Cambria Math" w:hAnsi="Cambria Math" w:cs="Arial"/>
                <w:i/>
                <w:sz w:val="20"/>
                <w:szCs w:val="20"/>
              </w:rPr>
            </m:ctrlPr>
          </m:sSubSupPr>
          <m:e>
            <m:acc>
              <m:accPr>
                <m:ctrlPr>
                  <w:rPr>
                    <w:rFonts w:ascii="Cambria Math" w:hAnsi="Cambria Math" w:cs="Arial"/>
                    <w:i/>
                    <w:sz w:val="20"/>
                    <w:szCs w:val="20"/>
                  </w:rPr>
                </m:ctrlPr>
              </m:accPr>
              <m:e>
                <m:r>
                  <w:rPr>
                    <w:rFonts w:ascii="Cambria Math" w:hAnsi="Cambria Math" w:cs="Arial"/>
                    <w:sz w:val="20"/>
                    <w:szCs w:val="20"/>
                  </w:rPr>
                  <m:t>F</m:t>
                </m:r>
              </m:e>
            </m:acc>
          </m:e>
          <m:sub>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p</m:t>
                </m:r>
              </m:sub>
            </m:sSub>
            <m:r>
              <w:rPr>
                <w:rFonts w:ascii="Cambria Math" w:hAnsi="Cambria Math" w:cs="Arial"/>
                <w:sz w:val="20"/>
                <w:szCs w:val="20"/>
                <w:lang w:val="en-US"/>
              </w:rPr>
              <m:t>,</m:t>
            </m:r>
            <m:r>
              <w:rPr>
                <w:rFonts w:ascii="Cambria Math" w:hAnsi="Cambria Math" w:cs="Arial"/>
                <w:sz w:val="20"/>
                <w:szCs w:val="20"/>
              </w:rPr>
              <m:t>N</m:t>
            </m:r>
            <m:r>
              <w:rPr>
                <w:rFonts w:ascii="Cambria Math" w:hAnsi="Cambria Math" w:cs="Arial"/>
                <w:sz w:val="20"/>
                <w:szCs w:val="20"/>
                <w:lang w:val="en-US"/>
              </w:rPr>
              <m:t xml:space="preserve">, </m:t>
            </m:r>
            <m:r>
              <w:rPr>
                <w:rFonts w:ascii="Cambria Math" w:eastAsia="Calibri" w:hAnsi="Cambria Math"/>
              </w:rPr>
              <m:t>benc</m:t>
            </m:r>
            <m:r>
              <w:rPr>
                <w:rFonts w:ascii="Cambria Math" w:eastAsia="Calibri" w:hAnsi="Cambria Math"/>
                <w:lang w:val="en-US"/>
              </w:rPr>
              <m:t>h</m:t>
            </m:r>
            <m:r>
              <w:rPr>
                <w:rFonts w:ascii="Cambria Math" w:eastAsia="Calibri" w:hAnsi="Cambria Math"/>
              </w:rPr>
              <m:t>mark</m:t>
            </m:r>
            <m:r>
              <w:rPr>
                <w:rFonts w:ascii="Cambria Math" w:eastAsia="Calibri" w:hAnsi="Cambria Math"/>
                <w:lang w:val="en-US"/>
              </w:rPr>
              <m:t xml:space="preserve"> </m:t>
            </m:r>
            <m:r>
              <w:rPr>
                <w:rFonts w:ascii="Cambria Math" w:hAnsi="Cambria Math" w:cs="Arial"/>
                <w:sz w:val="20"/>
                <w:szCs w:val="20"/>
                <w:lang w:val="en-US"/>
              </w:rPr>
              <m:t>2000</m:t>
            </m:r>
          </m:sub>
          <m:sup>
            <m:r>
              <w:rPr>
                <w:rFonts w:ascii="Cambria Math" w:hAnsi="Cambria Math" w:cs="Arial"/>
                <w:sz w:val="20"/>
                <w:szCs w:val="20"/>
              </w:rPr>
              <m:t>i</m:t>
            </m:r>
          </m:sup>
        </m:sSubSup>
        <m:r>
          <w:rPr>
            <w:rFonts w:ascii="Cambria Math" w:hAnsi="Cambria Math" w:cs="Arial"/>
            <w:sz w:val="20"/>
            <w:szCs w:val="20"/>
            <w:lang w:val="en-US"/>
          </w:rPr>
          <m:t>=</m:t>
        </m:r>
        <m:sSubSup>
          <m:sSubSupPr>
            <m:ctrlPr>
              <w:rPr>
                <w:rFonts w:ascii="Cambria Math" w:hAnsi="Cambria Math" w:cs="Arial"/>
                <w:i/>
                <w:sz w:val="20"/>
                <w:szCs w:val="20"/>
              </w:rPr>
            </m:ctrlPr>
          </m:sSubSupPr>
          <m:e>
            <m:r>
              <w:rPr>
                <w:rFonts w:ascii="Cambria Math" w:hAnsi="Cambria Math" w:cs="Arial"/>
                <w:sz w:val="20"/>
                <w:szCs w:val="20"/>
              </w:rPr>
              <m:t>F</m:t>
            </m:r>
          </m:e>
          <m:sub>
            <m:r>
              <w:rPr>
                <w:rFonts w:ascii="Cambria Math" w:hAnsi="Cambria Math" w:cs="Arial"/>
                <w:sz w:val="20"/>
                <w:szCs w:val="20"/>
              </w:rPr>
              <m:t>N</m:t>
            </m:r>
            <m:r>
              <w:rPr>
                <w:rFonts w:ascii="Cambria Math" w:hAnsi="Cambria Math" w:cs="Arial"/>
                <w:sz w:val="20"/>
                <w:szCs w:val="20"/>
                <w:lang w:val="en-US"/>
              </w:rPr>
              <m:t xml:space="preserve">, </m:t>
            </m:r>
            <m:r>
              <w:rPr>
                <w:rFonts w:ascii="Cambria Math" w:eastAsia="Calibri" w:hAnsi="Cambria Math"/>
              </w:rPr>
              <m:t>benc</m:t>
            </m:r>
            <m:r>
              <w:rPr>
                <w:rFonts w:ascii="Cambria Math" w:eastAsia="Calibri" w:hAnsi="Cambria Math"/>
                <w:lang w:val="en-US"/>
              </w:rPr>
              <m:t>h</m:t>
            </m:r>
            <m:r>
              <w:rPr>
                <w:rFonts w:ascii="Cambria Math" w:eastAsia="Calibri" w:hAnsi="Cambria Math"/>
              </w:rPr>
              <m:t>mark</m:t>
            </m:r>
            <m:r>
              <w:rPr>
                <w:rFonts w:ascii="Cambria Math" w:eastAsia="Calibri" w:hAnsi="Cambria Math"/>
                <w:lang w:val="en-US"/>
              </w:rPr>
              <m:t xml:space="preserve"> </m:t>
            </m:r>
            <m:r>
              <w:rPr>
                <w:rFonts w:ascii="Cambria Math" w:hAnsi="Cambria Math" w:cs="Arial"/>
                <w:sz w:val="20"/>
                <w:szCs w:val="20"/>
                <w:lang w:val="en-US"/>
              </w:rPr>
              <m:t>2000</m:t>
            </m:r>
          </m:sub>
          <m:sup>
            <m:r>
              <w:rPr>
                <w:rFonts w:ascii="Cambria Math" w:hAnsi="Cambria Math" w:cs="Arial"/>
                <w:sz w:val="20"/>
                <w:szCs w:val="20"/>
              </w:rPr>
              <m:t>i</m:t>
            </m:r>
          </m:sup>
        </m:sSubSup>
        <m:r>
          <w:rPr>
            <w:rFonts w:ascii="Cambria Math" w:hAnsi="Cambria Math" w:cs="Arial"/>
            <w:sz w:val="20"/>
            <w:szCs w:val="20"/>
            <w:lang w:val="en-US"/>
          </w:rPr>
          <m:t>*</m:t>
        </m:r>
        <m:f>
          <m:fPr>
            <m:ctrlPr>
              <w:rPr>
                <w:rFonts w:ascii="Cambria Math" w:hAnsi="Cambria Math" w:cs="Arial"/>
                <w:i/>
                <w:sz w:val="20"/>
                <w:szCs w:val="20"/>
              </w:rPr>
            </m:ctrlPr>
          </m:fPr>
          <m:num>
            <m:sSubSup>
              <m:sSubSupPr>
                <m:ctrlPr>
                  <w:rPr>
                    <w:rFonts w:ascii="Cambria Math" w:hAnsi="Cambria Math" w:cs="Arial"/>
                    <w:i/>
                    <w:sz w:val="20"/>
                    <w:szCs w:val="20"/>
                  </w:rPr>
                </m:ctrlPr>
              </m:sSubSupPr>
              <m:e>
                <m:r>
                  <w:rPr>
                    <w:rFonts w:ascii="Cambria Math" w:hAnsi="Cambria Math" w:cs="Arial"/>
                    <w:sz w:val="20"/>
                    <w:szCs w:val="20"/>
                  </w:rPr>
                  <m:t>F</m:t>
                </m:r>
              </m:e>
              <m:sub>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p</m:t>
                    </m:r>
                  </m:sub>
                </m:sSub>
                <m:r>
                  <w:rPr>
                    <w:rFonts w:ascii="Cambria Math" w:hAnsi="Cambria Math" w:cs="Arial"/>
                    <w:sz w:val="20"/>
                    <w:szCs w:val="20"/>
                    <w:lang w:val="en-US"/>
                  </w:rPr>
                  <m:t>,</m:t>
                </m:r>
                <m:r>
                  <w:rPr>
                    <w:rFonts w:ascii="Cambria Math" w:hAnsi="Cambria Math" w:cs="Arial"/>
                    <w:sz w:val="20"/>
                    <w:szCs w:val="20"/>
                  </w:rPr>
                  <m:t>N</m:t>
                </m:r>
                <m:r>
                  <w:rPr>
                    <w:rFonts w:ascii="Cambria Math" w:hAnsi="Cambria Math" w:cs="Arial"/>
                    <w:sz w:val="20"/>
                    <w:szCs w:val="20"/>
                    <w:lang w:val="en-US"/>
                  </w:rPr>
                  <m:t xml:space="preserve">, </m:t>
                </m:r>
                <m:r>
                  <w:rPr>
                    <w:rFonts w:ascii="Cambria Math" w:eastAsia="Calibri" w:hAnsi="Cambria Math"/>
                  </w:rPr>
                  <m:t>benc</m:t>
                </m:r>
                <m:r>
                  <w:rPr>
                    <w:rFonts w:ascii="Cambria Math" w:eastAsia="Calibri" w:hAnsi="Cambria Math"/>
                    <w:lang w:val="en-US"/>
                  </w:rPr>
                  <m:t>h</m:t>
                </m:r>
                <m:r>
                  <w:rPr>
                    <w:rFonts w:ascii="Cambria Math" w:eastAsia="Calibri" w:hAnsi="Cambria Math"/>
                  </w:rPr>
                  <m:t>mark</m:t>
                </m:r>
                <m:r>
                  <w:rPr>
                    <w:rFonts w:ascii="Cambria Math" w:eastAsia="Calibri" w:hAnsi="Cambria Math"/>
                    <w:lang w:val="en-US"/>
                  </w:rPr>
                  <m:t xml:space="preserve"> </m:t>
                </m:r>
                <m:r>
                  <w:rPr>
                    <w:rFonts w:ascii="Cambria Math" w:hAnsi="Cambria Math" w:cs="Arial"/>
                    <w:sz w:val="20"/>
                    <w:szCs w:val="20"/>
                    <w:lang w:val="en-US"/>
                  </w:rPr>
                  <m:t>2000</m:t>
                </m:r>
              </m:sub>
              <m:sup>
                <m:r>
                  <w:rPr>
                    <w:rFonts w:ascii="Cambria Math" w:hAnsi="Cambria Math" w:cs="Arial"/>
                    <w:sz w:val="20"/>
                    <w:szCs w:val="20"/>
                  </w:rPr>
                  <m:t>i</m:t>
                </m:r>
              </m:sup>
            </m:sSubSup>
          </m:num>
          <m:den>
            <m:nary>
              <m:naryPr>
                <m:chr m:val="∑"/>
                <m:limLoc m:val="undOvr"/>
                <m:subHide m:val="1"/>
                <m:supHide m:val="1"/>
                <m:ctrlPr>
                  <w:rPr>
                    <w:rFonts w:ascii="Cambria Math" w:hAnsi="Cambria Math" w:cs="Arial"/>
                    <w:i/>
                    <w:sz w:val="20"/>
                    <w:szCs w:val="20"/>
                  </w:rPr>
                </m:ctrlPr>
              </m:naryPr>
              <m:sub/>
              <m:sup/>
              <m:e>
                <m:r>
                  <w:rPr>
                    <w:rFonts w:ascii="Cambria Math" w:hAnsi="Cambria Math" w:cs="Arial"/>
                    <w:sz w:val="20"/>
                    <w:szCs w:val="20"/>
                  </w:rPr>
                  <m:t>t</m:t>
                </m:r>
                <m:r>
                  <w:rPr>
                    <w:rFonts w:ascii="Cambria Math" w:hAnsi="Cambria Math" w:cs="Arial"/>
                    <w:sz w:val="20"/>
                    <w:szCs w:val="20"/>
                    <w:lang w:val="en-US"/>
                  </w:rPr>
                  <m:t>h</m:t>
                </m:r>
                <m:r>
                  <w:rPr>
                    <w:rFonts w:ascii="Cambria Math" w:hAnsi="Cambria Math" w:cs="Arial"/>
                    <w:sz w:val="20"/>
                    <w:szCs w:val="20"/>
                  </w:rPr>
                  <m:t>e</m:t>
                </m:r>
                <m:r>
                  <w:rPr>
                    <w:rFonts w:ascii="Cambria Math" w:hAnsi="Cambria Math" w:cs="Arial"/>
                    <w:sz w:val="20"/>
                    <w:szCs w:val="20"/>
                    <w:lang w:val="en-US"/>
                  </w:rPr>
                  <m:t xml:space="preserve"> 4 </m:t>
                </m:r>
                <m:r>
                  <w:rPr>
                    <w:rFonts w:ascii="Cambria Math" w:hAnsi="Cambria Math" w:cs="Arial"/>
                    <w:sz w:val="20"/>
                    <w:szCs w:val="20"/>
                  </w:rPr>
                  <m:t>quarters</m:t>
                </m:r>
                <m:r>
                  <w:rPr>
                    <w:rFonts w:ascii="Cambria Math" w:hAnsi="Cambria Math" w:cs="Arial"/>
                    <w:sz w:val="20"/>
                    <w:szCs w:val="20"/>
                    <w:lang w:val="en-US"/>
                  </w:rPr>
                  <m:t>(</m:t>
                </m:r>
                <m:sSubSup>
                  <m:sSubSupPr>
                    <m:ctrlPr>
                      <w:rPr>
                        <w:rFonts w:ascii="Cambria Math" w:hAnsi="Cambria Math" w:cs="Arial"/>
                        <w:i/>
                        <w:sz w:val="20"/>
                        <w:szCs w:val="20"/>
                      </w:rPr>
                    </m:ctrlPr>
                  </m:sSubSupPr>
                  <m:e>
                    <m:r>
                      <w:rPr>
                        <w:rFonts w:ascii="Cambria Math" w:hAnsi="Cambria Math" w:cs="Arial"/>
                        <w:sz w:val="20"/>
                        <w:szCs w:val="20"/>
                      </w:rPr>
                      <m:t>F</m:t>
                    </m:r>
                  </m:e>
                  <m:sub>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p</m:t>
                        </m:r>
                      </m:sub>
                    </m:sSub>
                    <m:r>
                      <w:rPr>
                        <w:rFonts w:ascii="Cambria Math" w:hAnsi="Cambria Math" w:cs="Arial"/>
                        <w:sz w:val="20"/>
                        <w:szCs w:val="20"/>
                        <w:lang w:val="en-US"/>
                      </w:rPr>
                      <m:t>,</m:t>
                    </m:r>
                    <m:r>
                      <w:rPr>
                        <w:rFonts w:ascii="Cambria Math" w:hAnsi="Cambria Math" w:cs="Arial"/>
                        <w:sz w:val="20"/>
                        <w:szCs w:val="20"/>
                      </w:rPr>
                      <m:t>N</m:t>
                    </m:r>
                    <m:r>
                      <w:rPr>
                        <w:rFonts w:ascii="Cambria Math" w:hAnsi="Cambria Math" w:cs="Arial"/>
                        <w:sz w:val="20"/>
                        <w:szCs w:val="20"/>
                        <w:lang w:val="en-US"/>
                      </w:rPr>
                      <m:t xml:space="preserve">, </m:t>
                    </m:r>
                    <m:r>
                      <w:rPr>
                        <w:rFonts w:ascii="Cambria Math" w:eastAsia="Calibri" w:hAnsi="Cambria Math"/>
                      </w:rPr>
                      <m:t>benc</m:t>
                    </m:r>
                    <m:r>
                      <w:rPr>
                        <w:rFonts w:ascii="Cambria Math" w:eastAsia="Calibri" w:hAnsi="Cambria Math"/>
                        <w:lang w:val="en-US"/>
                      </w:rPr>
                      <m:t>h</m:t>
                    </m:r>
                    <m:r>
                      <w:rPr>
                        <w:rFonts w:ascii="Cambria Math" w:eastAsia="Calibri" w:hAnsi="Cambria Math"/>
                      </w:rPr>
                      <m:t>mark</m:t>
                    </m:r>
                    <m:r>
                      <w:rPr>
                        <w:rFonts w:ascii="Cambria Math" w:eastAsia="Calibri" w:hAnsi="Cambria Math"/>
                        <w:lang w:val="en-US"/>
                      </w:rPr>
                      <m:t xml:space="preserve"> </m:t>
                    </m:r>
                    <m:r>
                      <w:rPr>
                        <w:rFonts w:ascii="Cambria Math" w:hAnsi="Cambria Math" w:cs="Arial"/>
                        <w:sz w:val="20"/>
                        <w:szCs w:val="20"/>
                        <w:lang w:val="en-US"/>
                      </w:rPr>
                      <m:t>2000</m:t>
                    </m:r>
                  </m:sub>
                  <m:sup>
                    <m:r>
                      <w:rPr>
                        <w:rFonts w:ascii="Cambria Math" w:hAnsi="Cambria Math" w:cs="Arial"/>
                        <w:sz w:val="20"/>
                        <w:szCs w:val="20"/>
                      </w:rPr>
                      <m:t>i</m:t>
                    </m:r>
                  </m:sup>
                </m:sSubSup>
                <m:r>
                  <w:rPr>
                    <w:rFonts w:ascii="Cambria Math" w:hAnsi="Cambria Math" w:cs="Arial"/>
                    <w:sz w:val="20"/>
                    <w:szCs w:val="20"/>
                    <w:lang w:val="en-US"/>
                  </w:rPr>
                  <m:t>)</m:t>
                </m:r>
              </m:e>
            </m:nary>
          </m:den>
        </m:f>
      </m:oMath>
    </w:p>
    <w:p w14:paraId="370A7FE5" w14:textId="77777777" w:rsidR="00AF1502" w:rsidRPr="008F43E4" w:rsidRDefault="00AF1502" w:rsidP="00AF1502">
      <w:pPr>
        <w:rPr>
          <w:rFonts w:ascii="Arial" w:eastAsiaTheme="minorEastAsia" w:hAnsi="Arial" w:cs="Arial"/>
          <w:lang w:val="en-US"/>
        </w:rPr>
      </w:pPr>
    </w:p>
    <w:p w14:paraId="28D93ED2" w14:textId="77777777" w:rsidR="00AF1502" w:rsidRPr="00AF1502" w:rsidRDefault="00AF1502" w:rsidP="00AF1502">
      <w:pPr>
        <w:rPr>
          <w:rFonts w:ascii="Arial" w:hAnsi="Arial" w:cs="Arial"/>
          <w:noProof/>
        </w:rPr>
      </w:pPr>
      <w:r w:rsidRPr="008F43E4">
        <w:rPr>
          <w:rFonts w:ascii="Arial" w:eastAsiaTheme="minorEastAsia" w:hAnsi="Arial" w:cs="Arial"/>
        </w:rPr>
        <w:t>Exemple :</w:t>
      </w:r>
      <w:r w:rsidRPr="008F43E4">
        <w:rPr>
          <w:rFonts w:ascii="Arial" w:hAnsi="Arial" w:cs="Arial"/>
          <w:noProof/>
        </w:rPr>
        <w:t xml:space="preserve"> </w:t>
      </w:r>
    </w:p>
    <w:p w14:paraId="314BD4D5" w14:textId="77777777" w:rsidR="00AF1502" w:rsidRPr="00AF1502" w:rsidRDefault="00AF1502" w:rsidP="00AF1502">
      <w:pPr>
        <w:rPr>
          <w:rFonts w:ascii="Arial" w:hAnsi="Arial" w:cs="Arial"/>
          <w:noProof/>
        </w:rPr>
      </w:pPr>
    </w:p>
    <w:p w14:paraId="4530C15A" w14:textId="77777777" w:rsidR="00AF1502" w:rsidRPr="00AF1502" w:rsidRDefault="00AF1502" w:rsidP="00AF1502">
      <w:pPr>
        <w:rPr>
          <w:rFonts w:ascii="Arial" w:hAnsi="Arial" w:cs="Arial"/>
        </w:rPr>
      </w:pPr>
    </w:p>
    <w:p w14:paraId="7A766897" w14:textId="4ACEC663" w:rsidR="004A500D" w:rsidRDefault="001C5066">
      <w:pPr>
        <w:rPr>
          <w:rFonts w:ascii="Arial" w:hAnsi="Arial" w:cs="Arial"/>
        </w:rPr>
      </w:pPr>
      <w:r w:rsidRPr="001C5066">
        <w:rPr>
          <w:rFonts w:ascii="Arial" w:hAnsi="Arial" w:cs="Arial"/>
          <w:noProof/>
        </w:rPr>
        <w:drawing>
          <wp:inline distT="0" distB="0" distL="0" distR="0" wp14:anchorId="799DACF0" wp14:editId="31005F63">
            <wp:extent cx="5867908" cy="3825572"/>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67908" cy="3825572"/>
                    </a:xfrm>
                    <a:prstGeom prst="rect">
                      <a:avLst/>
                    </a:prstGeom>
                  </pic:spPr>
                </pic:pic>
              </a:graphicData>
            </a:graphic>
          </wp:inline>
        </w:drawing>
      </w:r>
    </w:p>
    <w:p w14:paraId="2B977353" w14:textId="5B26B14E" w:rsidR="00794CF8" w:rsidRDefault="00794CF8" w:rsidP="004A500D">
      <w:pPr>
        <w:jc w:val="both"/>
      </w:pPr>
    </w:p>
    <w:sectPr w:rsidR="00794CF8" w:rsidSect="004A500D">
      <w:headerReference w:type="even" r:id="rId28"/>
      <w:headerReference w:type="default" r:id="rId29"/>
      <w:footerReference w:type="even" r:id="rId30"/>
      <w:footerReference w:type="default" r:id="rId31"/>
      <w:headerReference w:type="first" r:id="rId32"/>
      <w:footerReference w:type="first" r:id="rId33"/>
      <w:pgSz w:w="11906" w:h="16838" w:code="9"/>
      <w:pgMar w:top="1021" w:right="1304" w:bottom="1276" w:left="1304" w:header="397" w:footer="28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6EADA1" w14:textId="77777777" w:rsidR="00F148A2" w:rsidRDefault="00F148A2">
      <w:r>
        <w:separator/>
      </w:r>
    </w:p>
  </w:endnote>
  <w:endnote w:type="continuationSeparator" w:id="0">
    <w:p w14:paraId="54557EFB" w14:textId="77777777" w:rsidR="00F148A2" w:rsidRDefault="00F14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0710A" w14:textId="77777777" w:rsidR="00F148A2" w:rsidRDefault="00F148A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6018" w:type="dxa"/>
      <w:tblInd w:w="70" w:type="dxa"/>
      <w:tblLayout w:type="fixed"/>
      <w:tblCellMar>
        <w:left w:w="70" w:type="dxa"/>
        <w:right w:w="70" w:type="dxa"/>
      </w:tblCellMar>
      <w:tblLook w:val="0000" w:firstRow="0" w:lastRow="0" w:firstColumn="0" w:lastColumn="0" w:noHBand="0" w:noVBand="0"/>
    </w:tblPr>
    <w:tblGrid>
      <w:gridCol w:w="851"/>
      <w:gridCol w:w="4961"/>
      <w:gridCol w:w="567"/>
      <w:gridCol w:w="4678"/>
      <w:gridCol w:w="4961"/>
    </w:tblGrid>
    <w:tr w:rsidR="00F148A2" w:rsidRPr="00B67EE9" w14:paraId="279FCB83" w14:textId="77777777" w:rsidTr="009E6A21">
      <w:trPr>
        <w:trHeight w:val="566"/>
      </w:trPr>
      <w:tc>
        <w:tcPr>
          <w:tcW w:w="851" w:type="dxa"/>
        </w:tcPr>
        <w:p w14:paraId="2BBF60FC" w14:textId="60695F6E" w:rsidR="00F148A2" w:rsidRPr="004642D0" w:rsidRDefault="00F148A2" w:rsidP="004F2289">
          <w:pPr>
            <w:pStyle w:val="Pieddepage"/>
            <w:tabs>
              <w:tab w:val="clear" w:pos="4536"/>
              <w:tab w:val="left" w:pos="518"/>
              <w:tab w:val="left" w:pos="804"/>
              <w:tab w:val="right" w:pos="5246"/>
            </w:tabs>
            <w:jc w:val="right"/>
            <w:rPr>
              <w:color w:val="547889"/>
            </w:rPr>
          </w:pPr>
          <w:r>
            <w:rPr>
              <w:noProof/>
              <w:color w:val="547889"/>
            </w:rPr>
            <w:drawing>
              <wp:anchor distT="0" distB="0" distL="114300" distR="114300" simplePos="0" relativeHeight="251652096" behindDoc="1" locked="0" layoutInCell="1" allowOverlap="1" wp14:anchorId="5A5C1C63" wp14:editId="1AB9DF8E">
                <wp:simplePos x="0" y="0"/>
                <wp:positionH relativeFrom="column">
                  <wp:posOffset>-48895</wp:posOffset>
                </wp:positionH>
                <wp:positionV relativeFrom="paragraph">
                  <wp:posOffset>-91358</wp:posOffset>
                </wp:positionV>
                <wp:extent cx="1266286" cy="595223"/>
                <wp:effectExtent l="0" t="0" r="0" b="0"/>
                <wp:wrapNone/>
                <wp:docPr id="41" name="Image 11" descr="C:\Documents and Settings\p803357\Bureau\StatInfo\Bib Picto\BIB Pictos png\Logo-BdF-Stat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803357\Bureau\StatInfo\Bib Picto\BIB Pictos png\Logo-BdF-StatInfo.png"/>
                        <pic:cNvPicPr>
                          <a:picLocks noChangeAspect="1" noChangeArrowheads="1"/>
                        </pic:cNvPicPr>
                      </pic:nvPicPr>
                      <pic:blipFill>
                        <a:blip r:embed="rId1"/>
                        <a:srcRect/>
                        <a:stretch>
                          <a:fillRect/>
                        </a:stretch>
                      </pic:blipFill>
                      <pic:spPr bwMode="auto">
                        <a:xfrm>
                          <a:off x="0" y="0"/>
                          <a:ext cx="1266286" cy="595223"/>
                        </a:xfrm>
                        <a:prstGeom prst="rect">
                          <a:avLst/>
                        </a:prstGeom>
                        <a:noFill/>
                        <a:ln w="9525">
                          <a:noFill/>
                          <a:miter lim="800000"/>
                          <a:headEnd/>
                          <a:tailEnd/>
                        </a:ln>
                      </pic:spPr>
                    </pic:pic>
                  </a:graphicData>
                </a:graphic>
              </wp:anchor>
            </w:drawing>
          </w:r>
          <w:r w:rsidRPr="004642D0">
            <w:rPr>
              <w:rStyle w:val="Numrodepage"/>
              <w:color w:val="547889"/>
            </w:rPr>
            <w:tab/>
          </w:r>
          <w:r w:rsidRPr="004642D0">
            <w:rPr>
              <w:rStyle w:val="Numrodepage"/>
              <w:color w:val="547889"/>
            </w:rPr>
            <w:tab/>
          </w:r>
          <w:r>
            <w:rPr>
              <w:rStyle w:val="Numrodepage"/>
              <w:color w:val="547889"/>
            </w:rPr>
            <w:tab/>
          </w:r>
          <w:r w:rsidRPr="004642D0">
            <w:rPr>
              <w:rStyle w:val="Numrodepage"/>
              <w:color w:val="547889"/>
            </w:rPr>
            <w:t xml:space="preserve">- </w:t>
          </w:r>
          <w:r w:rsidRPr="004642D0">
            <w:rPr>
              <w:rStyle w:val="Numrodepage"/>
              <w:color w:val="547889"/>
            </w:rPr>
            <w:fldChar w:fldCharType="begin"/>
          </w:r>
          <w:r w:rsidRPr="004642D0">
            <w:rPr>
              <w:rStyle w:val="Numrodepage"/>
              <w:color w:val="547889"/>
            </w:rPr>
            <w:instrText xml:space="preserve"> PAGE </w:instrText>
          </w:r>
          <w:r w:rsidRPr="004642D0">
            <w:rPr>
              <w:rStyle w:val="Numrodepage"/>
              <w:color w:val="547889"/>
            </w:rPr>
            <w:fldChar w:fldCharType="separate"/>
          </w:r>
          <w:r w:rsidR="00AC496F">
            <w:rPr>
              <w:rStyle w:val="Numrodepage"/>
              <w:noProof/>
              <w:color w:val="547889"/>
            </w:rPr>
            <w:t>1</w:t>
          </w:r>
          <w:r w:rsidRPr="004642D0">
            <w:rPr>
              <w:rStyle w:val="Numrodepage"/>
              <w:color w:val="547889"/>
            </w:rPr>
            <w:fldChar w:fldCharType="end"/>
          </w:r>
          <w:r w:rsidRPr="004642D0">
            <w:rPr>
              <w:rStyle w:val="Numrodepage"/>
              <w:color w:val="547889"/>
            </w:rPr>
            <w:t xml:space="preserve"> -</w:t>
          </w:r>
        </w:p>
      </w:tc>
      <w:tc>
        <w:tcPr>
          <w:tcW w:w="4961" w:type="dxa"/>
        </w:tcPr>
        <w:p w14:paraId="67F86854" w14:textId="77777777" w:rsidR="00F148A2" w:rsidRPr="004642D0" w:rsidRDefault="00F148A2" w:rsidP="004F2289">
          <w:pPr>
            <w:pStyle w:val="Pieddepage"/>
            <w:tabs>
              <w:tab w:val="clear" w:pos="4536"/>
              <w:tab w:val="left" w:pos="518"/>
              <w:tab w:val="left" w:pos="804"/>
              <w:tab w:val="right" w:pos="5246"/>
            </w:tabs>
            <w:jc w:val="right"/>
            <w:rPr>
              <w:color w:val="547889"/>
            </w:rPr>
          </w:pPr>
        </w:p>
      </w:tc>
      <w:tc>
        <w:tcPr>
          <w:tcW w:w="567" w:type="dxa"/>
        </w:tcPr>
        <w:p w14:paraId="3FC754FA" w14:textId="2E2D83B3" w:rsidR="00F148A2" w:rsidRPr="00FF483A" w:rsidRDefault="00F148A2" w:rsidP="008A1F64">
          <w:pPr>
            <w:pStyle w:val="Pieddepage"/>
            <w:tabs>
              <w:tab w:val="clear" w:pos="4536"/>
              <w:tab w:val="left" w:pos="518"/>
              <w:tab w:val="left" w:pos="804"/>
              <w:tab w:val="right" w:pos="5246"/>
            </w:tabs>
            <w:jc w:val="center"/>
            <w:rPr>
              <w:color w:val="2864AA"/>
            </w:rPr>
          </w:pPr>
          <w:r w:rsidRPr="00FF483A">
            <w:rPr>
              <w:rStyle w:val="Numrodepage"/>
              <w:color w:val="2864AA"/>
            </w:rPr>
            <w:t xml:space="preserve">- </w:t>
          </w:r>
          <w:r w:rsidRPr="00FF483A">
            <w:rPr>
              <w:rStyle w:val="Numrodepage"/>
              <w:color w:val="2864AA"/>
            </w:rPr>
            <w:fldChar w:fldCharType="begin"/>
          </w:r>
          <w:r w:rsidRPr="00FF483A">
            <w:rPr>
              <w:rStyle w:val="Numrodepage"/>
              <w:color w:val="2864AA"/>
            </w:rPr>
            <w:instrText xml:space="preserve"> PAGE </w:instrText>
          </w:r>
          <w:r w:rsidRPr="00FF483A">
            <w:rPr>
              <w:rStyle w:val="Numrodepage"/>
              <w:color w:val="2864AA"/>
            </w:rPr>
            <w:fldChar w:fldCharType="separate"/>
          </w:r>
          <w:r w:rsidR="00AC496F">
            <w:rPr>
              <w:rStyle w:val="Numrodepage"/>
              <w:noProof/>
              <w:color w:val="2864AA"/>
            </w:rPr>
            <w:t>1</w:t>
          </w:r>
          <w:r w:rsidRPr="00FF483A">
            <w:rPr>
              <w:rStyle w:val="Numrodepage"/>
              <w:color w:val="2864AA"/>
            </w:rPr>
            <w:fldChar w:fldCharType="end"/>
          </w:r>
          <w:r w:rsidRPr="00FF483A">
            <w:rPr>
              <w:rStyle w:val="Numrodepage"/>
              <w:color w:val="2864AA"/>
            </w:rPr>
            <w:t xml:space="preserve"> -</w:t>
          </w:r>
        </w:p>
      </w:tc>
      <w:tc>
        <w:tcPr>
          <w:tcW w:w="4678" w:type="dxa"/>
        </w:tcPr>
        <w:p w14:paraId="5D13DB54" w14:textId="77777777" w:rsidR="00F148A2" w:rsidRPr="004642D0" w:rsidRDefault="00F148A2" w:rsidP="000F3D9C">
          <w:pPr>
            <w:pStyle w:val="Pieddepage"/>
            <w:tabs>
              <w:tab w:val="clear" w:pos="4536"/>
              <w:tab w:val="left" w:pos="293"/>
              <w:tab w:val="left" w:pos="806"/>
              <w:tab w:val="left" w:pos="1798"/>
              <w:tab w:val="left" w:pos="2907"/>
            </w:tabs>
            <w:jc w:val="right"/>
            <w:rPr>
              <w:color w:val="547889"/>
            </w:rPr>
          </w:pPr>
        </w:p>
      </w:tc>
      <w:tc>
        <w:tcPr>
          <w:tcW w:w="4961" w:type="dxa"/>
        </w:tcPr>
        <w:p w14:paraId="5DD1FD8E" w14:textId="77777777" w:rsidR="00F148A2" w:rsidRDefault="00F148A2" w:rsidP="009E6A21">
          <w:pPr>
            <w:pStyle w:val="Pieddepage"/>
            <w:tabs>
              <w:tab w:val="clear" w:pos="4536"/>
              <w:tab w:val="left" w:pos="4821"/>
              <w:tab w:val="center" w:pos="4891"/>
            </w:tabs>
            <w:ind w:right="-70"/>
            <w:jc w:val="right"/>
            <w:rPr>
              <w:rFonts w:ascii="Arial" w:hAnsi="Arial"/>
              <w:color w:val="547889"/>
              <w:sz w:val="16"/>
              <w:lang w:val="en-US"/>
            </w:rPr>
          </w:pPr>
        </w:p>
        <w:p w14:paraId="5BF91AD5" w14:textId="77777777" w:rsidR="00F148A2" w:rsidRPr="00973010" w:rsidRDefault="00F148A2" w:rsidP="009E6A21">
          <w:pPr>
            <w:pStyle w:val="Pieddepage"/>
            <w:tabs>
              <w:tab w:val="clear" w:pos="4536"/>
              <w:tab w:val="left" w:pos="4821"/>
              <w:tab w:val="center" w:pos="4891"/>
            </w:tabs>
            <w:ind w:right="-70"/>
            <w:jc w:val="right"/>
            <w:rPr>
              <w:rFonts w:ascii="Arial" w:hAnsi="Arial"/>
              <w:color w:val="547889"/>
              <w:sz w:val="16"/>
              <w:lang w:val="en-US"/>
            </w:rPr>
          </w:pPr>
          <w:r w:rsidRPr="00973010">
            <w:rPr>
              <w:rFonts w:ascii="Arial" w:hAnsi="Arial"/>
              <w:color w:val="547889"/>
              <w:sz w:val="16"/>
              <w:lang w:val="en-US"/>
            </w:rPr>
            <w:t>Contact : DGS-DSMF-SESOF</w:t>
          </w:r>
          <w:r>
            <w:rPr>
              <w:rFonts w:ascii="Arial" w:hAnsi="Arial"/>
              <w:color w:val="547889"/>
              <w:sz w:val="16"/>
              <w:lang w:val="en-US"/>
            </w:rPr>
            <w:t xml:space="preserve"> </w:t>
          </w:r>
        </w:p>
        <w:p w14:paraId="7E874CF2" w14:textId="77777777" w:rsidR="00F148A2" w:rsidRPr="00973010" w:rsidRDefault="00F148A2" w:rsidP="009E6A21">
          <w:pPr>
            <w:pStyle w:val="Pieddepage"/>
            <w:tabs>
              <w:tab w:val="clear" w:pos="4536"/>
              <w:tab w:val="left" w:pos="4891"/>
            </w:tabs>
            <w:ind w:right="-70"/>
            <w:jc w:val="right"/>
            <w:rPr>
              <w:rFonts w:ascii="Arial" w:hAnsi="Arial"/>
              <w:color w:val="547889"/>
              <w:sz w:val="16"/>
              <w:lang w:val="en-US"/>
            </w:rPr>
          </w:pPr>
          <w:r w:rsidRPr="00973010">
            <w:rPr>
              <w:rFonts w:ascii="Arial" w:hAnsi="Arial"/>
              <w:color w:val="547889"/>
              <w:sz w:val="16"/>
              <w:lang w:val="en-US"/>
            </w:rPr>
            <w:t>sesof@banque-france.fr</w:t>
          </w:r>
        </w:p>
      </w:tc>
    </w:tr>
  </w:tbl>
  <w:p w14:paraId="384F3423" w14:textId="77777777" w:rsidR="00F148A2" w:rsidRPr="00973010" w:rsidRDefault="00F148A2" w:rsidP="004642D0">
    <w:pPr>
      <w:pStyle w:val="Pieddepage"/>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6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16"/>
      <w:gridCol w:w="1077"/>
      <w:gridCol w:w="4899"/>
      <w:gridCol w:w="5276"/>
    </w:tblGrid>
    <w:tr w:rsidR="00F148A2" w:rsidRPr="004642D0" w14:paraId="54EDEC96" w14:textId="77777777" w:rsidTr="00973010">
      <w:trPr>
        <w:trHeight w:val="281"/>
      </w:trPr>
      <w:tc>
        <w:tcPr>
          <w:tcW w:w="5016" w:type="dxa"/>
        </w:tcPr>
        <w:p w14:paraId="217E9982" w14:textId="77777777" w:rsidR="00F148A2" w:rsidRPr="004642D0" w:rsidRDefault="00F148A2" w:rsidP="00973010">
          <w:pPr>
            <w:pStyle w:val="Pieddepage"/>
            <w:tabs>
              <w:tab w:val="clear" w:pos="4536"/>
              <w:tab w:val="left" w:pos="518"/>
              <w:tab w:val="left" w:pos="804"/>
              <w:tab w:val="right" w:pos="5246"/>
            </w:tabs>
            <w:jc w:val="center"/>
            <w:rPr>
              <w:color w:val="547889"/>
            </w:rPr>
          </w:pPr>
          <w:r w:rsidRPr="009338D4">
            <w:rPr>
              <w:noProof/>
              <w:color w:val="547889"/>
            </w:rPr>
            <w:drawing>
              <wp:anchor distT="0" distB="0" distL="114300" distR="114300" simplePos="0" relativeHeight="251654144" behindDoc="1" locked="0" layoutInCell="1" allowOverlap="1" wp14:anchorId="67C1F90A" wp14:editId="177BE627">
                <wp:simplePos x="0" y="0"/>
                <wp:positionH relativeFrom="column">
                  <wp:posOffset>482600</wp:posOffset>
                </wp:positionH>
                <wp:positionV relativeFrom="paragraph">
                  <wp:posOffset>-86360</wp:posOffset>
                </wp:positionV>
                <wp:extent cx="1080135" cy="508000"/>
                <wp:effectExtent l="19050" t="0" r="5850" b="0"/>
                <wp:wrapNone/>
                <wp:docPr id="42" name="Image 11" descr="C:\Documents and Settings\p803357\Bureau\StatInfo\Bib Picto\BIB Pictos png\Logo-BdF-Stat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803357\Bureau\StatInfo\Bib Picto\BIB Pictos png\Logo-BdF-StatInfo.png"/>
                        <pic:cNvPicPr>
                          <a:picLocks noChangeAspect="1" noChangeArrowheads="1"/>
                        </pic:cNvPicPr>
                      </pic:nvPicPr>
                      <pic:blipFill>
                        <a:blip r:embed="rId1"/>
                        <a:srcRect/>
                        <a:stretch>
                          <a:fillRect/>
                        </a:stretch>
                      </pic:blipFill>
                      <pic:spPr bwMode="auto">
                        <a:xfrm>
                          <a:off x="0" y="0"/>
                          <a:ext cx="1080000" cy="506857"/>
                        </a:xfrm>
                        <a:prstGeom prst="rect">
                          <a:avLst/>
                        </a:prstGeom>
                        <a:noFill/>
                        <a:ln w="9525">
                          <a:noFill/>
                          <a:miter lim="800000"/>
                          <a:headEnd/>
                          <a:tailEnd/>
                        </a:ln>
                      </pic:spPr>
                    </pic:pic>
                  </a:graphicData>
                </a:graphic>
              </wp:anchor>
            </w:drawing>
          </w:r>
        </w:p>
      </w:tc>
      <w:tc>
        <w:tcPr>
          <w:tcW w:w="1077" w:type="dxa"/>
        </w:tcPr>
        <w:p w14:paraId="10D3E0B4" w14:textId="77777777" w:rsidR="00F148A2" w:rsidRPr="004642D0" w:rsidRDefault="00F148A2" w:rsidP="00973010">
          <w:pPr>
            <w:pStyle w:val="Pieddepage"/>
            <w:tabs>
              <w:tab w:val="clear" w:pos="4536"/>
              <w:tab w:val="left" w:pos="1080"/>
              <w:tab w:val="right" w:pos="5246"/>
            </w:tabs>
            <w:jc w:val="center"/>
            <w:rPr>
              <w:color w:val="547889"/>
            </w:rPr>
          </w:pPr>
          <w:r>
            <w:rPr>
              <w:rStyle w:val="Numrodepage"/>
              <w:color w:val="547889"/>
            </w:rPr>
            <w:t>–</w:t>
          </w:r>
          <w:r w:rsidRPr="001C7586">
            <w:rPr>
              <w:rStyle w:val="Numrodepage"/>
              <w:color w:val="547889"/>
            </w:rPr>
            <w:t xml:space="preserve"> </w:t>
          </w:r>
          <w:r w:rsidRPr="001C7586">
            <w:rPr>
              <w:rStyle w:val="Numrodepage"/>
              <w:color w:val="547889"/>
            </w:rPr>
            <w:fldChar w:fldCharType="begin"/>
          </w:r>
          <w:r w:rsidRPr="001C7586">
            <w:rPr>
              <w:rStyle w:val="Numrodepage"/>
              <w:color w:val="547889"/>
            </w:rPr>
            <w:instrText xml:space="preserve"> PAGE </w:instrText>
          </w:r>
          <w:r w:rsidRPr="001C7586">
            <w:rPr>
              <w:rStyle w:val="Numrodepage"/>
              <w:color w:val="547889"/>
            </w:rPr>
            <w:fldChar w:fldCharType="separate"/>
          </w:r>
          <w:r>
            <w:rPr>
              <w:rStyle w:val="Numrodepage"/>
              <w:noProof/>
              <w:color w:val="547889"/>
            </w:rPr>
            <w:t>20</w:t>
          </w:r>
          <w:r w:rsidRPr="001C7586">
            <w:rPr>
              <w:rStyle w:val="Numrodepage"/>
              <w:color w:val="547889"/>
            </w:rPr>
            <w:fldChar w:fldCharType="end"/>
          </w:r>
          <w:r w:rsidRPr="001C7586">
            <w:rPr>
              <w:rStyle w:val="Numrodepage"/>
              <w:color w:val="547889"/>
            </w:rPr>
            <w:t xml:space="preserve"> </w:t>
          </w:r>
          <w:r>
            <w:rPr>
              <w:rStyle w:val="Numrodepage"/>
              <w:color w:val="547889"/>
            </w:rPr>
            <w:t>–</w:t>
          </w:r>
        </w:p>
      </w:tc>
      <w:tc>
        <w:tcPr>
          <w:tcW w:w="4899" w:type="dxa"/>
        </w:tcPr>
        <w:p w14:paraId="2B601004" w14:textId="77777777" w:rsidR="00F148A2" w:rsidRPr="00E7042B" w:rsidRDefault="00F148A2" w:rsidP="00973010">
          <w:pPr>
            <w:pStyle w:val="Pieddepage"/>
            <w:tabs>
              <w:tab w:val="clear" w:pos="4536"/>
              <w:tab w:val="left" w:pos="293"/>
              <w:tab w:val="left" w:pos="806"/>
              <w:tab w:val="left" w:pos="1798"/>
              <w:tab w:val="left" w:pos="2907"/>
            </w:tabs>
            <w:jc w:val="center"/>
            <w:rPr>
              <w:i/>
              <w:color w:val="547889"/>
            </w:rPr>
          </w:pPr>
        </w:p>
      </w:tc>
      <w:tc>
        <w:tcPr>
          <w:tcW w:w="5276" w:type="dxa"/>
        </w:tcPr>
        <w:p w14:paraId="1F532CE4" w14:textId="77777777" w:rsidR="00F148A2" w:rsidRPr="004642D0" w:rsidRDefault="00F148A2" w:rsidP="00973010">
          <w:pPr>
            <w:pStyle w:val="Pieddepage"/>
            <w:tabs>
              <w:tab w:val="clear" w:pos="4536"/>
              <w:tab w:val="left" w:pos="4041"/>
            </w:tabs>
            <w:ind w:right="922"/>
            <w:jc w:val="center"/>
            <w:rPr>
              <w:rFonts w:ascii="Arial" w:hAnsi="Arial"/>
              <w:color w:val="547889"/>
              <w:sz w:val="16"/>
            </w:rPr>
          </w:pPr>
        </w:p>
      </w:tc>
    </w:tr>
  </w:tbl>
  <w:p w14:paraId="469A1474" w14:textId="77777777" w:rsidR="00F148A2" w:rsidRDefault="00F148A2" w:rsidP="00973010">
    <w:pPr>
      <w:pStyle w:val="Pieddepage"/>
      <w:tabs>
        <w:tab w:val="clear" w:pos="4536"/>
        <w:tab w:val="left" w:pos="806"/>
      </w:tabs>
      <w:ind w:left="5318" w:right="115"/>
      <w:jc w:val="right"/>
      <w:rPr>
        <w:rFonts w:ascii="Arial" w:hAnsi="Arial"/>
        <w:color w:val="4F81BD" w:themeColor="accent1"/>
        <w:sz w:val="16"/>
        <w:lang w:val="en-US"/>
      </w:rPr>
    </w:pPr>
    <w:r w:rsidRPr="00973010">
      <w:rPr>
        <w:rFonts w:ascii="Arial" w:hAnsi="Arial"/>
        <w:color w:val="4F81BD" w:themeColor="accent1"/>
        <w:sz w:val="16"/>
        <w:lang w:val="en-US"/>
      </w:rPr>
      <w:t>Contact : DGS-DSMF-SESOF</w:t>
    </w:r>
    <w:r>
      <w:rPr>
        <w:rFonts w:ascii="Arial" w:hAnsi="Arial"/>
        <w:color w:val="4F81BD" w:themeColor="accent1"/>
        <w:sz w:val="16"/>
        <w:lang w:val="en-US"/>
      </w:rPr>
      <w:t xml:space="preserve"> </w:t>
    </w:r>
  </w:p>
  <w:p w14:paraId="200F7771" w14:textId="77777777" w:rsidR="00F148A2" w:rsidRPr="00973010" w:rsidRDefault="00F148A2" w:rsidP="00973010">
    <w:pPr>
      <w:pStyle w:val="Pieddepage"/>
      <w:tabs>
        <w:tab w:val="clear" w:pos="4536"/>
        <w:tab w:val="left" w:pos="806"/>
      </w:tabs>
      <w:ind w:left="5318" w:right="115"/>
      <w:jc w:val="right"/>
      <w:rPr>
        <w:lang w:val="en-US"/>
      </w:rPr>
    </w:pPr>
    <w:r w:rsidRPr="00973010">
      <w:rPr>
        <w:rFonts w:ascii="Arial" w:hAnsi="Arial"/>
        <w:color w:val="4F81BD" w:themeColor="accent1"/>
        <w:sz w:val="16"/>
        <w:lang w:val="en-US"/>
      </w:rPr>
      <w:t>sesof@banque-france.fr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DABC1D" w14:textId="77777777" w:rsidR="00F148A2" w:rsidRDefault="00F148A2">
      <w:r>
        <w:separator/>
      </w:r>
    </w:p>
  </w:footnote>
  <w:footnote w:type="continuationSeparator" w:id="0">
    <w:p w14:paraId="26FC1BD8" w14:textId="77777777" w:rsidR="00F148A2" w:rsidRDefault="00F148A2">
      <w:r>
        <w:continuationSeparator/>
      </w:r>
    </w:p>
  </w:footnote>
  <w:footnote w:id="1">
    <w:p w14:paraId="2322E049" w14:textId="7ECC06F3" w:rsidR="00486937" w:rsidRDefault="00486937">
      <w:pPr>
        <w:pStyle w:val="Notedebasdepage"/>
      </w:pPr>
      <w:r>
        <w:rPr>
          <w:rStyle w:val="Appelnotedebasdep"/>
        </w:rPr>
        <w:footnoteRef/>
      </w:r>
      <w:r>
        <w:t xml:space="preserve"> </w:t>
      </w:r>
      <w:hyperlink r:id="rId1" w:anchor="/node/5385192" w:history="1">
        <w:r w:rsidR="0066583E" w:rsidRPr="0066583E">
          <w:rPr>
            <w:color w:val="0000FF"/>
            <w:u w:val="single"/>
          </w:rPr>
          <w:t>Webstat - Le portail statistique de la Banque de France (banque-france.fr)</w:t>
        </w:r>
      </w:hyperlink>
      <w:r w:rsidR="0066583E">
        <w:t xml:space="preserve"> </w:t>
      </w:r>
      <w:r w:rsidR="0066583E" w:rsidRPr="0066583E">
        <w:t xml:space="preserve">or directly in </w:t>
      </w:r>
      <w:hyperlink r:id="rId2" w:history="1">
        <w:r w:rsidR="0066583E">
          <w:rPr>
            <w:rStyle w:val="Lienhypertexte"/>
          </w:rPr>
          <w:t>the download area</w:t>
        </w:r>
      </w:hyperlink>
    </w:p>
  </w:footnote>
  <w:footnote w:id="2">
    <w:p w14:paraId="073920C4" w14:textId="77777777" w:rsidR="00F148A2" w:rsidRPr="002E6CFD" w:rsidRDefault="00F148A2" w:rsidP="008550B1">
      <w:pPr>
        <w:spacing w:before="77"/>
        <w:jc w:val="both"/>
      </w:pPr>
      <w:r>
        <w:rPr>
          <w:rStyle w:val="Appelnotedebasdep"/>
        </w:rPr>
        <w:footnoteRef/>
      </w:r>
      <w:r>
        <w:t xml:space="preserve"> </w:t>
      </w:r>
      <w:hyperlink r:id="rId3" w:history="1">
        <w:r>
          <w:rPr>
            <w:rStyle w:val="Lienhypertexte"/>
          </w:rPr>
          <w:t>National financial accounts - Time series | Banque de France (banque-france.fr)</w:t>
        </w:r>
      </w:hyperlink>
    </w:p>
    <w:p w14:paraId="35AAB454" w14:textId="77777777" w:rsidR="00F148A2" w:rsidRDefault="00F148A2" w:rsidP="008550B1">
      <w:pPr>
        <w:pStyle w:val="Notedebasdepage"/>
      </w:pPr>
    </w:p>
  </w:footnote>
  <w:footnote w:id="3">
    <w:p w14:paraId="70D4CC09" w14:textId="77777777" w:rsidR="00F148A2" w:rsidRDefault="00F148A2" w:rsidP="00200144">
      <w:pPr>
        <w:pStyle w:val="Notedebasdepage"/>
      </w:pPr>
      <w:r>
        <w:rPr>
          <w:rStyle w:val="Appelnotedebasdep"/>
        </w:rPr>
        <w:footnoteRef/>
      </w:r>
      <w:r>
        <w:t xml:space="preserve"> </w:t>
      </w:r>
      <w:hyperlink r:id="rId4" w:history="1">
        <w:r w:rsidRPr="00200144">
          <w:rPr>
            <w:color w:val="0000FF"/>
            <w:u w:val="single"/>
          </w:rPr>
          <w:t>Debt ratios by institutional sectors - international comparisons | Banque de France (banque-france.fr)</w:t>
        </w:r>
      </w:hyperlink>
    </w:p>
  </w:footnote>
  <w:footnote w:id="4">
    <w:p w14:paraId="2EA46716" w14:textId="77777777" w:rsidR="00F148A2" w:rsidRDefault="00F148A2" w:rsidP="00AA1C04">
      <w:pPr>
        <w:pStyle w:val="Notedebasdepage"/>
      </w:pPr>
      <w:r>
        <w:rPr>
          <w:rStyle w:val="Appelnotedebasdep"/>
        </w:rPr>
        <w:footnoteRef/>
      </w:r>
      <w:r>
        <w:t xml:space="preserve"> </w:t>
      </w:r>
      <w:hyperlink r:id="rId5" w:history="1">
        <w:r>
          <w:rPr>
            <w:rStyle w:val="Lienhypertexte"/>
          </w:rPr>
          <w:t>Stat Info (banque-france.fr)</w:t>
        </w:r>
      </w:hyperlink>
      <w:r>
        <w:t xml:space="preserve">, </w:t>
      </w:r>
    </w:p>
  </w:footnote>
  <w:footnote w:id="5">
    <w:p w14:paraId="784A1A4E" w14:textId="77E09BED" w:rsidR="00486937" w:rsidRDefault="00486937">
      <w:pPr>
        <w:pStyle w:val="Notedebasdepage"/>
      </w:pPr>
      <w:r>
        <w:rPr>
          <w:rStyle w:val="Appelnotedebasdep"/>
        </w:rPr>
        <w:footnoteRef/>
      </w:r>
      <w:r>
        <w:t xml:space="preserve"> </w:t>
      </w:r>
      <w:hyperlink r:id="rId6" w:anchor="/node/5385192" w:history="1">
        <w:r w:rsidRPr="00486937">
          <w:rPr>
            <w:color w:val="0000FF"/>
            <w:u w:val="single"/>
          </w:rPr>
          <w:t>Webstat - Le portail statistique de la Banque de France (banque-france.fr)</w:t>
        </w:r>
      </w:hyperlink>
      <w:r w:rsidR="001353C6" w:rsidRPr="001353C6">
        <w:t xml:space="preserve"> </w:t>
      </w:r>
      <w:r w:rsidR="0066583E" w:rsidRPr="0066583E">
        <w:t xml:space="preserve">or directly in </w:t>
      </w:r>
      <w:hyperlink r:id="rId7" w:history="1">
        <w:r w:rsidR="0066583E">
          <w:rPr>
            <w:rStyle w:val="Lienhypertexte"/>
          </w:rPr>
          <w:t>the download area</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554C8" w14:textId="77777777" w:rsidR="00F148A2" w:rsidRDefault="00F148A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1F9BF" w14:textId="77777777" w:rsidR="00F148A2" w:rsidRDefault="00F148A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3E46E" w14:textId="77777777" w:rsidR="00F148A2" w:rsidRDefault="00F148A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45pt" o:bullet="t">
        <v:imagedata r:id="rId1" o:title="05-Fleche=-picto-5x5"/>
      </v:shape>
    </w:pict>
  </w:numPicBullet>
  <w:numPicBullet w:numPicBulletId="1">
    <w:pict>
      <v:shape id="_x0000_i1027" type="#_x0000_t75" style="width:45pt;height:45pt" o:bullet="t">
        <v:imagedata r:id="rId2" o:title="06-FlecheBas-picto-5x5"/>
      </v:shape>
    </w:pict>
  </w:numPicBullet>
  <w:numPicBullet w:numPicBulletId="2">
    <w:pict>
      <v:shape id="_x0000_i1028" type="#_x0000_t75" style="width:45pt;height:45pt" o:bullet="t">
        <v:imagedata r:id="rId3" o:title="07-FlecheHaut-picto-5x5"/>
      </v:shape>
    </w:pict>
  </w:numPicBullet>
  <w:abstractNum w:abstractNumId="0" w15:restartNumberingAfterBreak="0">
    <w:nsid w:val="FFFFFF7C"/>
    <w:multiLevelType w:val="singleLevel"/>
    <w:tmpl w:val="0CEC3B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1FAE3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31EBF3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ECEDDB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C5870A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3C23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044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A235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7EFF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79A7B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E56B93"/>
    <w:multiLevelType w:val="hybridMultilevel"/>
    <w:tmpl w:val="85CA1C5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EBC7448"/>
    <w:multiLevelType w:val="multilevel"/>
    <w:tmpl w:val="040C001D"/>
    <w:styleLink w:val="PuceBaisse"/>
    <w:lvl w:ilvl="0">
      <w:start w:val="1"/>
      <w:numFmt w:val="bullet"/>
      <w:lvlText w:val=""/>
      <w:lvlPicBulletId w:val="1"/>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3990AEF"/>
    <w:multiLevelType w:val="multilevel"/>
    <w:tmpl w:val="0A4EAEB4"/>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17D214ED"/>
    <w:multiLevelType w:val="hybridMultilevel"/>
    <w:tmpl w:val="DDA6E242"/>
    <w:lvl w:ilvl="0" w:tplc="8AAA4050">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1F745C6"/>
    <w:multiLevelType w:val="singleLevel"/>
    <w:tmpl w:val="29D41050"/>
    <w:lvl w:ilvl="0">
      <w:start w:val="1"/>
      <w:numFmt w:val="bullet"/>
      <w:lvlText w:val=""/>
      <w:lvlJc w:val="left"/>
      <w:pPr>
        <w:tabs>
          <w:tab w:val="num" w:pos="360"/>
        </w:tabs>
        <w:ind w:left="227" w:hanging="227"/>
      </w:pPr>
      <w:rPr>
        <w:rFonts w:ascii="Symbol" w:hAnsi="Symbol" w:hint="default"/>
        <w:sz w:val="24"/>
      </w:rPr>
    </w:lvl>
  </w:abstractNum>
  <w:abstractNum w:abstractNumId="15" w15:restartNumberingAfterBreak="0">
    <w:nsid w:val="239B39D5"/>
    <w:multiLevelType w:val="hybridMultilevel"/>
    <w:tmpl w:val="AE3A98D6"/>
    <w:lvl w:ilvl="0" w:tplc="29D41050">
      <w:start w:val="1"/>
      <w:numFmt w:val="bullet"/>
      <w:lvlText w:val=""/>
      <w:lvlJc w:val="left"/>
      <w:pPr>
        <w:ind w:left="360" w:hanging="360"/>
      </w:pPr>
      <w:rPr>
        <w:rFonts w:ascii="Symbol" w:hAnsi="Symbol" w:hint="default"/>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26CD41F3"/>
    <w:multiLevelType w:val="hybridMultilevel"/>
    <w:tmpl w:val="1C647D76"/>
    <w:lvl w:ilvl="0" w:tplc="A4E45EB8">
      <w:start w:val="1"/>
      <w:numFmt w:val="bullet"/>
      <w:lvlText w:val=""/>
      <w:lvlPicBulletId w:val="0"/>
      <w:lvlJc w:val="left"/>
      <w:pPr>
        <w:ind w:left="754" w:hanging="360"/>
      </w:pPr>
      <w:rPr>
        <w:rFonts w:ascii="Symbol" w:hAnsi="Symbol" w:hint="default"/>
        <w:color w:val="auto"/>
        <w:sz w:val="32"/>
        <w:szCs w:val="32"/>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17" w15:restartNumberingAfterBreak="0">
    <w:nsid w:val="2C8538B2"/>
    <w:multiLevelType w:val="hybridMultilevel"/>
    <w:tmpl w:val="61BE1370"/>
    <w:lvl w:ilvl="0" w:tplc="8AAA4050">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1F07945"/>
    <w:multiLevelType w:val="hybridMultilevel"/>
    <w:tmpl w:val="ED60257E"/>
    <w:lvl w:ilvl="0" w:tplc="AA66B3BC">
      <w:start w:val="1"/>
      <w:numFmt w:val="bullet"/>
      <w:pStyle w:val="STATTextelistepuce"/>
      <w:lvlText w:val=""/>
      <w:lvlJc w:val="left"/>
      <w:pPr>
        <w:ind w:left="720" w:hanging="360"/>
      </w:pPr>
      <w:rPr>
        <w:rFonts w:ascii="Symbol" w:hAnsi="Symbol" w:hint="default"/>
      </w:rPr>
    </w:lvl>
    <w:lvl w:ilvl="1" w:tplc="A38EF672" w:tentative="1">
      <w:start w:val="1"/>
      <w:numFmt w:val="bullet"/>
      <w:lvlText w:val="o"/>
      <w:lvlJc w:val="left"/>
      <w:pPr>
        <w:ind w:left="1440" w:hanging="360"/>
      </w:pPr>
      <w:rPr>
        <w:rFonts w:ascii="Courier New" w:hAnsi="Courier New" w:cs="Courier New" w:hint="default"/>
      </w:rPr>
    </w:lvl>
    <w:lvl w:ilvl="2" w:tplc="18B64068" w:tentative="1">
      <w:start w:val="1"/>
      <w:numFmt w:val="bullet"/>
      <w:lvlText w:val=""/>
      <w:lvlJc w:val="left"/>
      <w:pPr>
        <w:ind w:left="2160" w:hanging="360"/>
      </w:pPr>
      <w:rPr>
        <w:rFonts w:ascii="Wingdings" w:hAnsi="Wingdings" w:hint="default"/>
      </w:rPr>
    </w:lvl>
    <w:lvl w:ilvl="3" w:tplc="3BA0C484" w:tentative="1">
      <w:start w:val="1"/>
      <w:numFmt w:val="bullet"/>
      <w:lvlText w:val=""/>
      <w:lvlJc w:val="left"/>
      <w:pPr>
        <w:ind w:left="2880" w:hanging="360"/>
      </w:pPr>
      <w:rPr>
        <w:rFonts w:ascii="Symbol" w:hAnsi="Symbol" w:hint="default"/>
      </w:rPr>
    </w:lvl>
    <w:lvl w:ilvl="4" w:tplc="98F80174" w:tentative="1">
      <w:start w:val="1"/>
      <w:numFmt w:val="bullet"/>
      <w:lvlText w:val="o"/>
      <w:lvlJc w:val="left"/>
      <w:pPr>
        <w:ind w:left="3600" w:hanging="360"/>
      </w:pPr>
      <w:rPr>
        <w:rFonts w:ascii="Courier New" w:hAnsi="Courier New" w:cs="Courier New" w:hint="default"/>
      </w:rPr>
    </w:lvl>
    <w:lvl w:ilvl="5" w:tplc="22068B08" w:tentative="1">
      <w:start w:val="1"/>
      <w:numFmt w:val="bullet"/>
      <w:lvlText w:val=""/>
      <w:lvlJc w:val="left"/>
      <w:pPr>
        <w:ind w:left="4320" w:hanging="360"/>
      </w:pPr>
      <w:rPr>
        <w:rFonts w:ascii="Wingdings" w:hAnsi="Wingdings" w:hint="default"/>
      </w:rPr>
    </w:lvl>
    <w:lvl w:ilvl="6" w:tplc="50CAC966" w:tentative="1">
      <w:start w:val="1"/>
      <w:numFmt w:val="bullet"/>
      <w:lvlText w:val=""/>
      <w:lvlJc w:val="left"/>
      <w:pPr>
        <w:ind w:left="5040" w:hanging="360"/>
      </w:pPr>
      <w:rPr>
        <w:rFonts w:ascii="Symbol" w:hAnsi="Symbol" w:hint="default"/>
      </w:rPr>
    </w:lvl>
    <w:lvl w:ilvl="7" w:tplc="C5FC1072" w:tentative="1">
      <w:start w:val="1"/>
      <w:numFmt w:val="bullet"/>
      <w:lvlText w:val="o"/>
      <w:lvlJc w:val="left"/>
      <w:pPr>
        <w:ind w:left="5760" w:hanging="360"/>
      </w:pPr>
      <w:rPr>
        <w:rFonts w:ascii="Courier New" w:hAnsi="Courier New" w:cs="Courier New" w:hint="default"/>
      </w:rPr>
    </w:lvl>
    <w:lvl w:ilvl="8" w:tplc="4ACE45D2" w:tentative="1">
      <w:start w:val="1"/>
      <w:numFmt w:val="bullet"/>
      <w:lvlText w:val=""/>
      <w:lvlJc w:val="left"/>
      <w:pPr>
        <w:ind w:left="6480" w:hanging="360"/>
      </w:pPr>
      <w:rPr>
        <w:rFonts w:ascii="Wingdings" w:hAnsi="Wingdings" w:hint="default"/>
      </w:rPr>
    </w:lvl>
  </w:abstractNum>
  <w:abstractNum w:abstractNumId="19" w15:restartNumberingAfterBreak="0">
    <w:nsid w:val="382635AE"/>
    <w:multiLevelType w:val="singleLevel"/>
    <w:tmpl w:val="29D41050"/>
    <w:lvl w:ilvl="0">
      <w:start w:val="1"/>
      <w:numFmt w:val="bullet"/>
      <w:lvlText w:val=""/>
      <w:lvlJc w:val="left"/>
      <w:pPr>
        <w:tabs>
          <w:tab w:val="num" w:pos="360"/>
        </w:tabs>
        <w:ind w:left="227" w:hanging="227"/>
      </w:pPr>
      <w:rPr>
        <w:rFonts w:ascii="Symbol" w:hAnsi="Symbol" w:hint="default"/>
        <w:sz w:val="24"/>
      </w:rPr>
    </w:lvl>
  </w:abstractNum>
  <w:abstractNum w:abstractNumId="20" w15:restartNumberingAfterBreak="0">
    <w:nsid w:val="4BB70226"/>
    <w:multiLevelType w:val="hybridMultilevel"/>
    <w:tmpl w:val="DA244082"/>
    <w:lvl w:ilvl="0" w:tplc="68A2A0CA">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F35771E"/>
    <w:multiLevelType w:val="hybridMultilevel"/>
    <w:tmpl w:val="BB76338C"/>
    <w:lvl w:ilvl="0" w:tplc="040C001B">
      <w:start w:val="1"/>
      <w:numFmt w:val="lowerRoman"/>
      <w:lvlText w:val="%1."/>
      <w:lvlJc w:val="righ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2" w15:restartNumberingAfterBreak="0">
    <w:nsid w:val="56B1099A"/>
    <w:multiLevelType w:val="singleLevel"/>
    <w:tmpl w:val="29D41050"/>
    <w:lvl w:ilvl="0">
      <w:start w:val="1"/>
      <w:numFmt w:val="bullet"/>
      <w:lvlText w:val=""/>
      <w:lvlJc w:val="left"/>
      <w:pPr>
        <w:tabs>
          <w:tab w:val="num" w:pos="360"/>
        </w:tabs>
        <w:ind w:left="227" w:hanging="227"/>
      </w:pPr>
      <w:rPr>
        <w:rFonts w:ascii="Symbol" w:hAnsi="Symbol" w:hint="default"/>
        <w:sz w:val="24"/>
      </w:rPr>
    </w:lvl>
  </w:abstractNum>
  <w:abstractNum w:abstractNumId="23" w15:restartNumberingAfterBreak="0">
    <w:nsid w:val="574A0799"/>
    <w:multiLevelType w:val="hybridMultilevel"/>
    <w:tmpl w:val="819A5C42"/>
    <w:lvl w:ilvl="0" w:tplc="040C0005">
      <w:start w:val="1"/>
      <w:numFmt w:val="bullet"/>
      <w:lvlText w:val=""/>
      <w:lvlJc w:val="left"/>
      <w:pPr>
        <w:ind w:left="1750" w:hanging="360"/>
      </w:pPr>
      <w:rPr>
        <w:rFonts w:ascii="Wingdings" w:hAnsi="Wingdings" w:hint="default"/>
      </w:rPr>
    </w:lvl>
    <w:lvl w:ilvl="1" w:tplc="040C0003" w:tentative="1">
      <w:start w:val="1"/>
      <w:numFmt w:val="bullet"/>
      <w:lvlText w:val="o"/>
      <w:lvlJc w:val="left"/>
      <w:pPr>
        <w:ind w:left="2470" w:hanging="360"/>
      </w:pPr>
      <w:rPr>
        <w:rFonts w:ascii="Courier New" w:hAnsi="Courier New" w:cs="Courier New" w:hint="default"/>
      </w:rPr>
    </w:lvl>
    <w:lvl w:ilvl="2" w:tplc="040C0005" w:tentative="1">
      <w:start w:val="1"/>
      <w:numFmt w:val="bullet"/>
      <w:lvlText w:val=""/>
      <w:lvlJc w:val="left"/>
      <w:pPr>
        <w:ind w:left="3190" w:hanging="360"/>
      </w:pPr>
      <w:rPr>
        <w:rFonts w:ascii="Wingdings" w:hAnsi="Wingdings" w:hint="default"/>
      </w:rPr>
    </w:lvl>
    <w:lvl w:ilvl="3" w:tplc="040C0001" w:tentative="1">
      <w:start w:val="1"/>
      <w:numFmt w:val="bullet"/>
      <w:lvlText w:val=""/>
      <w:lvlJc w:val="left"/>
      <w:pPr>
        <w:ind w:left="3910" w:hanging="360"/>
      </w:pPr>
      <w:rPr>
        <w:rFonts w:ascii="Symbol" w:hAnsi="Symbol" w:hint="default"/>
      </w:rPr>
    </w:lvl>
    <w:lvl w:ilvl="4" w:tplc="040C0003" w:tentative="1">
      <w:start w:val="1"/>
      <w:numFmt w:val="bullet"/>
      <w:lvlText w:val="o"/>
      <w:lvlJc w:val="left"/>
      <w:pPr>
        <w:ind w:left="4630" w:hanging="360"/>
      </w:pPr>
      <w:rPr>
        <w:rFonts w:ascii="Courier New" w:hAnsi="Courier New" w:cs="Courier New" w:hint="default"/>
      </w:rPr>
    </w:lvl>
    <w:lvl w:ilvl="5" w:tplc="040C0005" w:tentative="1">
      <w:start w:val="1"/>
      <w:numFmt w:val="bullet"/>
      <w:lvlText w:val=""/>
      <w:lvlJc w:val="left"/>
      <w:pPr>
        <w:ind w:left="5350" w:hanging="360"/>
      </w:pPr>
      <w:rPr>
        <w:rFonts w:ascii="Wingdings" w:hAnsi="Wingdings" w:hint="default"/>
      </w:rPr>
    </w:lvl>
    <w:lvl w:ilvl="6" w:tplc="040C0001" w:tentative="1">
      <w:start w:val="1"/>
      <w:numFmt w:val="bullet"/>
      <w:lvlText w:val=""/>
      <w:lvlJc w:val="left"/>
      <w:pPr>
        <w:ind w:left="6070" w:hanging="360"/>
      </w:pPr>
      <w:rPr>
        <w:rFonts w:ascii="Symbol" w:hAnsi="Symbol" w:hint="default"/>
      </w:rPr>
    </w:lvl>
    <w:lvl w:ilvl="7" w:tplc="040C0003" w:tentative="1">
      <w:start w:val="1"/>
      <w:numFmt w:val="bullet"/>
      <w:lvlText w:val="o"/>
      <w:lvlJc w:val="left"/>
      <w:pPr>
        <w:ind w:left="6790" w:hanging="360"/>
      </w:pPr>
      <w:rPr>
        <w:rFonts w:ascii="Courier New" w:hAnsi="Courier New" w:cs="Courier New" w:hint="default"/>
      </w:rPr>
    </w:lvl>
    <w:lvl w:ilvl="8" w:tplc="040C0005" w:tentative="1">
      <w:start w:val="1"/>
      <w:numFmt w:val="bullet"/>
      <w:lvlText w:val=""/>
      <w:lvlJc w:val="left"/>
      <w:pPr>
        <w:ind w:left="7510" w:hanging="360"/>
      </w:pPr>
      <w:rPr>
        <w:rFonts w:ascii="Wingdings" w:hAnsi="Wingdings" w:hint="default"/>
      </w:rPr>
    </w:lvl>
  </w:abstractNum>
  <w:abstractNum w:abstractNumId="24" w15:restartNumberingAfterBreak="0">
    <w:nsid w:val="581D1309"/>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86B5332"/>
    <w:multiLevelType w:val="hybridMultilevel"/>
    <w:tmpl w:val="C25E466C"/>
    <w:lvl w:ilvl="0" w:tplc="4B6244A4">
      <w:start w:val="1"/>
      <w:numFmt w:val="bullet"/>
      <w:lvlText w:val="-"/>
      <w:lvlJc w:val="left"/>
      <w:pPr>
        <w:tabs>
          <w:tab w:val="num" w:pos="113"/>
        </w:tabs>
        <w:ind w:left="340" w:hanging="283"/>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91B1868"/>
    <w:multiLevelType w:val="multilevel"/>
    <w:tmpl w:val="040C001D"/>
    <w:styleLink w:val="Pucegale"/>
    <w:lvl w:ilvl="0">
      <w:start w:val="1"/>
      <w:numFmt w:val="bullet"/>
      <w:lvlText w:val=""/>
      <w:lvlPicBulletId w:val="0"/>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ECD1792"/>
    <w:multiLevelType w:val="hybridMultilevel"/>
    <w:tmpl w:val="C3A89BD8"/>
    <w:lvl w:ilvl="0" w:tplc="040C0005">
      <w:start w:val="1"/>
      <w:numFmt w:val="bullet"/>
      <w:lvlText w:val=""/>
      <w:lvlJc w:val="left"/>
      <w:pPr>
        <w:ind w:left="833" w:hanging="360"/>
      </w:pPr>
      <w:rPr>
        <w:rFonts w:ascii="Wingdings" w:hAnsi="Wingdings" w:hint="default"/>
      </w:rPr>
    </w:lvl>
    <w:lvl w:ilvl="1" w:tplc="040C0003" w:tentative="1">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28" w15:restartNumberingAfterBreak="0">
    <w:nsid w:val="5F8001B4"/>
    <w:multiLevelType w:val="hybridMultilevel"/>
    <w:tmpl w:val="B32EA078"/>
    <w:lvl w:ilvl="0" w:tplc="9D403292">
      <w:start w:val="1"/>
      <w:numFmt w:val="bullet"/>
      <w:lvlText w:val=""/>
      <w:lvlPicBulletId w:val="2"/>
      <w:lvlJc w:val="left"/>
      <w:pPr>
        <w:ind w:left="754" w:hanging="360"/>
      </w:pPr>
      <w:rPr>
        <w:rFonts w:ascii="Symbol" w:hAnsi="Symbol" w:hint="default"/>
        <w:color w:val="auto"/>
        <w:sz w:val="32"/>
        <w:szCs w:val="32"/>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29" w15:restartNumberingAfterBreak="0">
    <w:nsid w:val="61320D67"/>
    <w:multiLevelType w:val="hybridMultilevel"/>
    <w:tmpl w:val="B5367CD4"/>
    <w:lvl w:ilvl="0" w:tplc="1DB06448">
      <w:numFmt w:val="bullet"/>
      <w:lvlText w:val="-"/>
      <w:lvlJc w:val="left"/>
      <w:pPr>
        <w:tabs>
          <w:tab w:val="num" w:pos="720"/>
        </w:tabs>
        <w:ind w:left="720" w:hanging="360"/>
      </w:pPr>
      <w:rPr>
        <w:rFonts w:ascii="Univers" w:eastAsia="Times New Roman" w:hAnsi="Univer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1734CB5"/>
    <w:multiLevelType w:val="singleLevel"/>
    <w:tmpl w:val="5D0CFFB0"/>
    <w:lvl w:ilvl="0">
      <w:start w:val="1"/>
      <w:numFmt w:val="bullet"/>
      <w:lvlText w:val="–"/>
      <w:lvlJc w:val="left"/>
      <w:pPr>
        <w:tabs>
          <w:tab w:val="num" w:pos="360"/>
        </w:tabs>
        <w:ind w:left="0" w:firstLine="0"/>
      </w:pPr>
      <w:rPr>
        <w:rFonts w:ascii="Arial" w:hAnsi="Arial" w:hint="default"/>
        <w:b/>
        <w:i w:val="0"/>
        <w:sz w:val="15"/>
      </w:rPr>
    </w:lvl>
  </w:abstractNum>
  <w:abstractNum w:abstractNumId="31" w15:restartNumberingAfterBreak="0">
    <w:nsid w:val="62423CB6"/>
    <w:multiLevelType w:val="hybridMultilevel"/>
    <w:tmpl w:val="5B368A44"/>
    <w:lvl w:ilvl="0" w:tplc="F8B0246E">
      <w:start w:val="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8E725F5"/>
    <w:multiLevelType w:val="hybridMultilevel"/>
    <w:tmpl w:val="CF3234EA"/>
    <w:lvl w:ilvl="0" w:tplc="599C1400">
      <w:start w:val="1"/>
      <w:numFmt w:val="bullet"/>
      <w:lvlText w:val=""/>
      <w:lvlPicBulletId w:val="1"/>
      <w:lvlJc w:val="left"/>
      <w:pPr>
        <w:ind w:left="754" w:hanging="360"/>
      </w:pPr>
      <w:rPr>
        <w:rFonts w:ascii="Symbol" w:hAnsi="Symbol" w:hint="default"/>
        <w:color w:val="auto"/>
        <w:sz w:val="32"/>
        <w:szCs w:val="32"/>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33" w15:restartNumberingAfterBreak="0">
    <w:nsid w:val="696056F1"/>
    <w:multiLevelType w:val="multilevel"/>
    <w:tmpl w:val="3C866190"/>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34" w15:restartNumberingAfterBreak="0">
    <w:nsid w:val="6E8F3BEF"/>
    <w:multiLevelType w:val="hybridMultilevel"/>
    <w:tmpl w:val="01BE1474"/>
    <w:lvl w:ilvl="0" w:tplc="333AC3CA">
      <w:start w:val="1"/>
      <w:numFmt w:val="low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2184072"/>
    <w:multiLevelType w:val="hybridMultilevel"/>
    <w:tmpl w:val="185CD0EA"/>
    <w:lvl w:ilvl="0" w:tplc="68A2A0CA">
      <w:start w:val="1"/>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6" w15:restartNumberingAfterBreak="0">
    <w:nsid w:val="746D5AFD"/>
    <w:multiLevelType w:val="hybridMultilevel"/>
    <w:tmpl w:val="BB76338C"/>
    <w:lvl w:ilvl="0" w:tplc="040C001B">
      <w:start w:val="1"/>
      <w:numFmt w:val="lowerRoman"/>
      <w:lvlText w:val="%1."/>
      <w:lvlJc w:val="righ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7" w15:restartNumberingAfterBreak="0">
    <w:nsid w:val="76DD57C2"/>
    <w:multiLevelType w:val="singleLevel"/>
    <w:tmpl w:val="DC484E8E"/>
    <w:lvl w:ilvl="0">
      <w:start w:val="1"/>
      <w:numFmt w:val="bullet"/>
      <w:lvlText w:val="–"/>
      <w:lvlJc w:val="left"/>
      <w:pPr>
        <w:tabs>
          <w:tab w:val="num" w:pos="360"/>
        </w:tabs>
        <w:ind w:left="0" w:firstLine="0"/>
      </w:pPr>
      <w:rPr>
        <w:rFonts w:ascii="Arial" w:hAnsi="Arial" w:hint="default"/>
        <w:b/>
        <w:i w:val="0"/>
        <w:sz w:val="15"/>
      </w:rPr>
    </w:lvl>
  </w:abstractNum>
  <w:abstractNum w:abstractNumId="38" w15:restartNumberingAfterBreak="0">
    <w:nsid w:val="78411ABF"/>
    <w:multiLevelType w:val="singleLevel"/>
    <w:tmpl w:val="29D41050"/>
    <w:lvl w:ilvl="0">
      <w:start w:val="1"/>
      <w:numFmt w:val="bullet"/>
      <w:lvlText w:val=""/>
      <w:lvlJc w:val="left"/>
      <w:pPr>
        <w:tabs>
          <w:tab w:val="num" w:pos="360"/>
        </w:tabs>
        <w:ind w:left="227" w:hanging="227"/>
      </w:pPr>
      <w:rPr>
        <w:rFonts w:ascii="Symbol" w:hAnsi="Symbol" w:hint="default"/>
        <w:sz w:val="24"/>
      </w:rPr>
    </w:lvl>
  </w:abstractNum>
  <w:abstractNum w:abstractNumId="39" w15:restartNumberingAfterBreak="0">
    <w:nsid w:val="784A119A"/>
    <w:multiLevelType w:val="singleLevel"/>
    <w:tmpl w:val="BF5CCD90"/>
    <w:lvl w:ilvl="0">
      <w:start w:val="1"/>
      <w:numFmt w:val="lowerLetter"/>
      <w:lvlText w:val="(%1)"/>
      <w:lvlJc w:val="left"/>
      <w:pPr>
        <w:tabs>
          <w:tab w:val="num" w:pos="360"/>
        </w:tabs>
        <w:ind w:left="360" w:hanging="360"/>
      </w:pPr>
      <w:rPr>
        <w:b w:val="0"/>
        <w:i w:val="0"/>
      </w:rPr>
    </w:lvl>
  </w:abstractNum>
  <w:abstractNum w:abstractNumId="40" w15:restartNumberingAfterBreak="0">
    <w:nsid w:val="79661283"/>
    <w:multiLevelType w:val="multilevel"/>
    <w:tmpl w:val="07E899A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CCE35CD"/>
    <w:multiLevelType w:val="hybridMultilevel"/>
    <w:tmpl w:val="60E83458"/>
    <w:lvl w:ilvl="0" w:tplc="8AAA4050">
      <w:start w:val="2"/>
      <w:numFmt w:val="bullet"/>
      <w:lvlText w:val="-"/>
      <w:lvlJc w:val="left"/>
      <w:pPr>
        <w:ind w:left="1077" w:hanging="360"/>
      </w:pPr>
      <w:rPr>
        <w:rFonts w:ascii="Times New Roman" w:eastAsia="Times New Roman" w:hAnsi="Times New Roman" w:cs="Times New Roman"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42" w15:restartNumberingAfterBreak="0">
    <w:nsid w:val="7DC008D1"/>
    <w:multiLevelType w:val="singleLevel"/>
    <w:tmpl w:val="5D0CFFB0"/>
    <w:lvl w:ilvl="0">
      <w:start w:val="1"/>
      <w:numFmt w:val="bullet"/>
      <w:lvlText w:val="–"/>
      <w:lvlJc w:val="left"/>
      <w:pPr>
        <w:tabs>
          <w:tab w:val="num" w:pos="360"/>
        </w:tabs>
        <w:ind w:left="0" w:firstLine="0"/>
      </w:pPr>
      <w:rPr>
        <w:rFonts w:ascii="Arial" w:hAnsi="Arial" w:hint="default"/>
        <w:b/>
        <w:i w:val="0"/>
        <w:sz w:val="15"/>
      </w:rPr>
    </w:lvl>
  </w:abstractNum>
  <w:abstractNum w:abstractNumId="43" w15:restartNumberingAfterBreak="0">
    <w:nsid w:val="7FB461CD"/>
    <w:multiLevelType w:val="hybridMultilevel"/>
    <w:tmpl w:val="FB5E04CA"/>
    <w:lvl w:ilvl="0" w:tplc="68A2A0CA">
      <w:start w:val="1"/>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8"/>
  </w:num>
  <w:num w:numId="2">
    <w:abstractNumId w:val="26"/>
  </w:num>
  <w:num w:numId="3">
    <w:abstractNumId w:val="11"/>
  </w:num>
  <w:num w:numId="4">
    <w:abstractNumId w:val="16"/>
  </w:num>
  <w:num w:numId="5">
    <w:abstractNumId w:val="28"/>
  </w:num>
  <w:num w:numId="6">
    <w:abstractNumId w:val="32"/>
  </w:num>
  <w:num w:numId="7">
    <w:abstractNumId w:val="8"/>
  </w:num>
  <w:num w:numId="8">
    <w:abstractNumId w:val="3"/>
  </w:num>
  <w:num w:numId="9">
    <w:abstractNumId w:val="2"/>
  </w:num>
  <w:num w:numId="10">
    <w:abstractNumId w:val="1"/>
  </w:num>
  <w:num w:numId="11">
    <w:abstractNumId w:val="0"/>
  </w:num>
  <w:num w:numId="12">
    <w:abstractNumId w:val="9"/>
  </w:num>
  <w:num w:numId="13">
    <w:abstractNumId w:val="7"/>
  </w:num>
  <w:num w:numId="14">
    <w:abstractNumId w:val="6"/>
  </w:num>
  <w:num w:numId="15">
    <w:abstractNumId w:val="5"/>
  </w:num>
  <w:num w:numId="16">
    <w:abstractNumId w:val="4"/>
  </w:num>
  <w:num w:numId="17">
    <w:abstractNumId w:val="27"/>
  </w:num>
  <w:num w:numId="18">
    <w:abstractNumId w:val="23"/>
  </w:num>
  <w:num w:numId="19">
    <w:abstractNumId w:val="39"/>
  </w:num>
  <w:num w:numId="20">
    <w:abstractNumId w:val="37"/>
  </w:num>
  <w:num w:numId="21">
    <w:abstractNumId w:val="30"/>
  </w:num>
  <w:num w:numId="22">
    <w:abstractNumId w:val="42"/>
  </w:num>
  <w:num w:numId="23">
    <w:abstractNumId w:val="29"/>
  </w:num>
  <w:num w:numId="24">
    <w:abstractNumId w:val="31"/>
  </w:num>
  <w:num w:numId="25">
    <w:abstractNumId w:val="38"/>
  </w:num>
  <w:num w:numId="26">
    <w:abstractNumId w:val="19"/>
  </w:num>
  <w:num w:numId="27">
    <w:abstractNumId w:val="14"/>
  </w:num>
  <w:num w:numId="28">
    <w:abstractNumId w:val="25"/>
  </w:num>
  <w:num w:numId="29">
    <w:abstractNumId w:val="22"/>
  </w:num>
  <w:num w:numId="30">
    <w:abstractNumId w:val="15"/>
  </w:num>
  <w:num w:numId="31">
    <w:abstractNumId w:val="17"/>
  </w:num>
  <w:num w:numId="32">
    <w:abstractNumId w:val="13"/>
  </w:num>
  <w:num w:numId="33">
    <w:abstractNumId w:val="41"/>
  </w:num>
  <w:num w:numId="34">
    <w:abstractNumId w:val="40"/>
  </w:num>
  <w:num w:numId="35">
    <w:abstractNumId w:val="34"/>
  </w:num>
  <w:num w:numId="36">
    <w:abstractNumId w:val="36"/>
  </w:num>
  <w:num w:numId="37">
    <w:abstractNumId w:val="20"/>
  </w:num>
  <w:num w:numId="38">
    <w:abstractNumId w:val="35"/>
  </w:num>
  <w:num w:numId="39">
    <w:abstractNumId w:val="21"/>
  </w:num>
  <w:num w:numId="40">
    <w:abstractNumId w:val="24"/>
  </w:num>
  <w:num w:numId="41">
    <w:abstractNumId w:val="33"/>
  </w:num>
  <w:num w:numId="42">
    <w:abstractNumId w:val="12"/>
  </w:num>
  <w:num w:numId="43">
    <w:abstractNumId w:val="10"/>
  </w:num>
  <w:num w:numId="44">
    <w:abstractNumId w:val="4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9" w:dllVersion="512" w:checkStyle="1"/>
  <w:activeWritingStyle w:appName="MSWord" w:lang="nl-NL" w:vendorID="1" w:dllVersion="512" w:checkStyle="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227"/>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 w:name="LogoBDF" w:val="Empty"/>
    <w:docVar w:name="OLE_LINK1" w:val="Empty"/>
    <w:docVar w:name="OLE_LINK2" w:val="Empty"/>
  </w:docVars>
  <w:rsids>
    <w:rsidRoot w:val="000F261C"/>
    <w:rsid w:val="000040D2"/>
    <w:rsid w:val="000067B0"/>
    <w:rsid w:val="000111FB"/>
    <w:rsid w:val="00013743"/>
    <w:rsid w:val="0001521C"/>
    <w:rsid w:val="00015364"/>
    <w:rsid w:val="00017C75"/>
    <w:rsid w:val="00020784"/>
    <w:rsid w:val="000207BB"/>
    <w:rsid w:val="00021481"/>
    <w:rsid w:val="00022E57"/>
    <w:rsid w:val="00022F5D"/>
    <w:rsid w:val="000275F9"/>
    <w:rsid w:val="00030A25"/>
    <w:rsid w:val="00032CC2"/>
    <w:rsid w:val="00033658"/>
    <w:rsid w:val="00033DBB"/>
    <w:rsid w:val="00035088"/>
    <w:rsid w:val="00046602"/>
    <w:rsid w:val="00055746"/>
    <w:rsid w:val="00055F1C"/>
    <w:rsid w:val="00060101"/>
    <w:rsid w:val="00061B03"/>
    <w:rsid w:val="00062AE1"/>
    <w:rsid w:val="00070D30"/>
    <w:rsid w:val="00075155"/>
    <w:rsid w:val="00080637"/>
    <w:rsid w:val="000809A9"/>
    <w:rsid w:val="00081027"/>
    <w:rsid w:val="00085B85"/>
    <w:rsid w:val="00087AFA"/>
    <w:rsid w:val="00090517"/>
    <w:rsid w:val="00093554"/>
    <w:rsid w:val="000978B4"/>
    <w:rsid w:val="000A1EE2"/>
    <w:rsid w:val="000A769B"/>
    <w:rsid w:val="000B3B5C"/>
    <w:rsid w:val="000B3E11"/>
    <w:rsid w:val="000B41F5"/>
    <w:rsid w:val="000C02B4"/>
    <w:rsid w:val="000C04B8"/>
    <w:rsid w:val="000C41CD"/>
    <w:rsid w:val="000D18FC"/>
    <w:rsid w:val="000D2255"/>
    <w:rsid w:val="000D3001"/>
    <w:rsid w:val="000D32A4"/>
    <w:rsid w:val="000D5DB4"/>
    <w:rsid w:val="000D64B3"/>
    <w:rsid w:val="000D7B6C"/>
    <w:rsid w:val="000F0227"/>
    <w:rsid w:val="000F1B4F"/>
    <w:rsid w:val="000F261C"/>
    <w:rsid w:val="000F2FC9"/>
    <w:rsid w:val="000F3D9C"/>
    <w:rsid w:val="000F4A49"/>
    <w:rsid w:val="000F519C"/>
    <w:rsid w:val="000F5795"/>
    <w:rsid w:val="001006D1"/>
    <w:rsid w:val="00102586"/>
    <w:rsid w:val="00104D5F"/>
    <w:rsid w:val="00106A32"/>
    <w:rsid w:val="00107392"/>
    <w:rsid w:val="0010767F"/>
    <w:rsid w:val="00112A85"/>
    <w:rsid w:val="00114251"/>
    <w:rsid w:val="00116FE0"/>
    <w:rsid w:val="00123192"/>
    <w:rsid w:val="0012547C"/>
    <w:rsid w:val="00130CC7"/>
    <w:rsid w:val="0013121F"/>
    <w:rsid w:val="0013370B"/>
    <w:rsid w:val="001353C6"/>
    <w:rsid w:val="0013670C"/>
    <w:rsid w:val="001370D0"/>
    <w:rsid w:val="00140383"/>
    <w:rsid w:val="00143172"/>
    <w:rsid w:val="00144E33"/>
    <w:rsid w:val="001523EC"/>
    <w:rsid w:val="001567D3"/>
    <w:rsid w:val="00161CFD"/>
    <w:rsid w:val="00162102"/>
    <w:rsid w:val="00162A1B"/>
    <w:rsid w:val="0016346D"/>
    <w:rsid w:val="00164A2F"/>
    <w:rsid w:val="0017001B"/>
    <w:rsid w:val="00171C69"/>
    <w:rsid w:val="00176253"/>
    <w:rsid w:val="00177F58"/>
    <w:rsid w:val="00182901"/>
    <w:rsid w:val="00182EE1"/>
    <w:rsid w:val="00185A33"/>
    <w:rsid w:val="00186C8A"/>
    <w:rsid w:val="00187752"/>
    <w:rsid w:val="00187E1A"/>
    <w:rsid w:val="00191C99"/>
    <w:rsid w:val="001951EE"/>
    <w:rsid w:val="001A5ADE"/>
    <w:rsid w:val="001A7DA5"/>
    <w:rsid w:val="001B2B9B"/>
    <w:rsid w:val="001B2C96"/>
    <w:rsid w:val="001B35CE"/>
    <w:rsid w:val="001B4A17"/>
    <w:rsid w:val="001B5E0A"/>
    <w:rsid w:val="001C28E8"/>
    <w:rsid w:val="001C5066"/>
    <w:rsid w:val="001C6E8C"/>
    <w:rsid w:val="001C7586"/>
    <w:rsid w:val="001D0169"/>
    <w:rsid w:val="001D0E62"/>
    <w:rsid w:val="001D28CB"/>
    <w:rsid w:val="001E0629"/>
    <w:rsid w:val="001E28C0"/>
    <w:rsid w:val="001E66AF"/>
    <w:rsid w:val="001F143B"/>
    <w:rsid w:val="001F216C"/>
    <w:rsid w:val="001F2716"/>
    <w:rsid w:val="001F28F8"/>
    <w:rsid w:val="001F32F2"/>
    <w:rsid w:val="001F4FFC"/>
    <w:rsid w:val="001F54BF"/>
    <w:rsid w:val="001F5615"/>
    <w:rsid w:val="001F6763"/>
    <w:rsid w:val="00200144"/>
    <w:rsid w:val="0020267E"/>
    <w:rsid w:val="00203D67"/>
    <w:rsid w:val="0020487A"/>
    <w:rsid w:val="002055C5"/>
    <w:rsid w:val="00207EA1"/>
    <w:rsid w:val="0021349E"/>
    <w:rsid w:val="00214E7C"/>
    <w:rsid w:val="00221379"/>
    <w:rsid w:val="002233CE"/>
    <w:rsid w:val="0023719B"/>
    <w:rsid w:val="00241DF3"/>
    <w:rsid w:val="002446FC"/>
    <w:rsid w:val="00245603"/>
    <w:rsid w:val="00245856"/>
    <w:rsid w:val="00250E07"/>
    <w:rsid w:val="0025570F"/>
    <w:rsid w:val="0026248F"/>
    <w:rsid w:val="002625CF"/>
    <w:rsid w:val="00263430"/>
    <w:rsid w:val="00266E37"/>
    <w:rsid w:val="00271B69"/>
    <w:rsid w:val="00271F19"/>
    <w:rsid w:val="00273738"/>
    <w:rsid w:val="002749FC"/>
    <w:rsid w:val="00280569"/>
    <w:rsid w:val="00281858"/>
    <w:rsid w:val="00281ED7"/>
    <w:rsid w:val="00282CCF"/>
    <w:rsid w:val="0028383B"/>
    <w:rsid w:val="00287FCD"/>
    <w:rsid w:val="00290E52"/>
    <w:rsid w:val="002922E7"/>
    <w:rsid w:val="002946F1"/>
    <w:rsid w:val="002957B3"/>
    <w:rsid w:val="00296335"/>
    <w:rsid w:val="00297C23"/>
    <w:rsid w:val="002A2BCB"/>
    <w:rsid w:val="002A549B"/>
    <w:rsid w:val="002A60FB"/>
    <w:rsid w:val="002A6545"/>
    <w:rsid w:val="002B1BC9"/>
    <w:rsid w:val="002B233E"/>
    <w:rsid w:val="002B2B33"/>
    <w:rsid w:val="002B4863"/>
    <w:rsid w:val="002B63C5"/>
    <w:rsid w:val="002B6A4A"/>
    <w:rsid w:val="002C45AC"/>
    <w:rsid w:val="002D026E"/>
    <w:rsid w:val="002D39D8"/>
    <w:rsid w:val="002D435B"/>
    <w:rsid w:val="002D48B8"/>
    <w:rsid w:val="002D71A2"/>
    <w:rsid w:val="002E14BE"/>
    <w:rsid w:val="002E1FE7"/>
    <w:rsid w:val="002E32DD"/>
    <w:rsid w:val="002E591A"/>
    <w:rsid w:val="002E5EEE"/>
    <w:rsid w:val="002F029A"/>
    <w:rsid w:val="002F2076"/>
    <w:rsid w:val="002F2D11"/>
    <w:rsid w:val="002F38FD"/>
    <w:rsid w:val="002F3F3D"/>
    <w:rsid w:val="002F4F32"/>
    <w:rsid w:val="002F6724"/>
    <w:rsid w:val="00305C1E"/>
    <w:rsid w:val="00306941"/>
    <w:rsid w:val="003072BE"/>
    <w:rsid w:val="00315025"/>
    <w:rsid w:val="00322F4B"/>
    <w:rsid w:val="003238B6"/>
    <w:rsid w:val="00325362"/>
    <w:rsid w:val="00325642"/>
    <w:rsid w:val="003319FF"/>
    <w:rsid w:val="003360D6"/>
    <w:rsid w:val="00342F71"/>
    <w:rsid w:val="00350DBA"/>
    <w:rsid w:val="00350E49"/>
    <w:rsid w:val="003536BC"/>
    <w:rsid w:val="00356EFF"/>
    <w:rsid w:val="00357916"/>
    <w:rsid w:val="00360873"/>
    <w:rsid w:val="00367094"/>
    <w:rsid w:val="00370067"/>
    <w:rsid w:val="00371B47"/>
    <w:rsid w:val="003826AC"/>
    <w:rsid w:val="00384DAA"/>
    <w:rsid w:val="0039500F"/>
    <w:rsid w:val="003A6102"/>
    <w:rsid w:val="003A6721"/>
    <w:rsid w:val="003B1985"/>
    <w:rsid w:val="003B2433"/>
    <w:rsid w:val="003B2A70"/>
    <w:rsid w:val="003C4D45"/>
    <w:rsid w:val="003C559C"/>
    <w:rsid w:val="003C78FF"/>
    <w:rsid w:val="003E2383"/>
    <w:rsid w:val="003E5C73"/>
    <w:rsid w:val="003F0AB4"/>
    <w:rsid w:val="003F260C"/>
    <w:rsid w:val="003F5CFC"/>
    <w:rsid w:val="003F5FBA"/>
    <w:rsid w:val="003F621A"/>
    <w:rsid w:val="00401F44"/>
    <w:rsid w:val="00404838"/>
    <w:rsid w:val="004113BD"/>
    <w:rsid w:val="004119D1"/>
    <w:rsid w:val="0041204D"/>
    <w:rsid w:val="00412708"/>
    <w:rsid w:val="00415CA1"/>
    <w:rsid w:val="0041613C"/>
    <w:rsid w:val="004228E4"/>
    <w:rsid w:val="00422B8B"/>
    <w:rsid w:val="004230B8"/>
    <w:rsid w:val="00423CEB"/>
    <w:rsid w:val="0042584B"/>
    <w:rsid w:val="004344D8"/>
    <w:rsid w:val="004434F8"/>
    <w:rsid w:val="004440CC"/>
    <w:rsid w:val="004445F4"/>
    <w:rsid w:val="004476BC"/>
    <w:rsid w:val="0045564A"/>
    <w:rsid w:val="00455E41"/>
    <w:rsid w:val="004642D0"/>
    <w:rsid w:val="0046778D"/>
    <w:rsid w:val="00472230"/>
    <w:rsid w:val="0047329D"/>
    <w:rsid w:val="00475752"/>
    <w:rsid w:val="00477606"/>
    <w:rsid w:val="00484053"/>
    <w:rsid w:val="004865D6"/>
    <w:rsid w:val="00486825"/>
    <w:rsid w:val="00486937"/>
    <w:rsid w:val="00490BD4"/>
    <w:rsid w:val="0049257E"/>
    <w:rsid w:val="00494454"/>
    <w:rsid w:val="004A0461"/>
    <w:rsid w:val="004A500D"/>
    <w:rsid w:val="004A764A"/>
    <w:rsid w:val="004B0954"/>
    <w:rsid w:val="004B40E5"/>
    <w:rsid w:val="004D0B89"/>
    <w:rsid w:val="004D22F3"/>
    <w:rsid w:val="004D4E7C"/>
    <w:rsid w:val="004D51EB"/>
    <w:rsid w:val="004D5CB9"/>
    <w:rsid w:val="004E2C04"/>
    <w:rsid w:val="004F0663"/>
    <w:rsid w:val="004F2177"/>
    <w:rsid w:val="004F2289"/>
    <w:rsid w:val="004F3379"/>
    <w:rsid w:val="0050146A"/>
    <w:rsid w:val="0050368F"/>
    <w:rsid w:val="005110DB"/>
    <w:rsid w:val="00511A8D"/>
    <w:rsid w:val="00511FF2"/>
    <w:rsid w:val="0051350F"/>
    <w:rsid w:val="00517BA3"/>
    <w:rsid w:val="00521046"/>
    <w:rsid w:val="00523F83"/>
    <w:rsid w:val="0052553F"/>
    <w:rsid w:val="00527D47"/>
    <w:rsid w:val="005359A3"/>
    <w:rsid w:val="00536DB9"/>
    <w:rsid w:val="0053797B"/>
    <w:rsid w:val="00544BC3"/>
    <w:rsid w:val="00544E7C"/>
    <w:rsid w:val="00545132"/>
    <w:rsid w:val="0054589C"/>
    <w:rsid w:val="00545B17"/>
    <w:rsid w:val="00551040"/>
    <w:rsid w:val="00555C98"/>
    <w:rsid w:val="00556604"/>
    <w:rsid w:val="00562ED7"/>
    <w:rsid w:val="00566EB3"/>
    <w:rsid w:val="00567E9A"/>
    <w:rsid w:val="00570E63"/>
    <w:rsid w:val="005725BA"/>
    <w:rsid w:val="00574948"/>
    <w:rsid w:val="00582D7B"/>
    <w:rsid w:val="00584E6B"/>
    <w:rsid w:val="00586D92"/>
    <w:rsid w:val="00586EF3"/>
    <w:rsid w:val="005877C3"/>
    <w:rsid w:val="0059237D"/>
    <w:rsid w:val="00595883"/>
    <w:rsid w:val="0059678B"/>
    <w:rsid w:val="005A0633"/>
    <w:rsid w:val="005A0F31"/>
    <w:rsid w:val="005A2798"/>
    <w:rsid w:val="005A2F7C"/>
    <w:rsid w:val="005B26F9"/>
    <w:rsid w:val="005B2CCE"/>
    <w:rsid w:val="005B4669"/>
    <w:rsid w:val="005B491B"/>
    <w:rsid w:val="005B57F6"/>
    <w:rsid w:val="005B5A93"/>
    <w:rsid w:val="005C1D16"/>
    <w:rsid w:val="005C3ADC"/>
    <w:rsid w:val="005C479A"/>
    <w:rsid w:val="005C6BFE"/>
    <w:rsid w:val="005D0FAD"/>
    <w:rsid w:val="005D1A3C"/>
    <w:rsid w:val="005D1C6B"/>
    <w:rsid w:val="005D2F0F"/>
    <w:rsid w:val="005D301E"/>
    <w:rsid w:val="005D3C92"/>
    <w:rsid w:val="005D452B"/>
    <w:rsid w:val="005D4B85"/>
    <w:rsid w:val="005D6BA4"/>
    <w:rsid w:val="005E08C8"/>
    <w:rsid w:val="005E288A"/>
    <w:rsid w:val="005E4A81"/>
    <w:rsid w:val="005E5F6A"/>
    <w:rsid w:val="005F0CA1"/>
    <w:rsid w:val="005F1CBD"/>
    <w:rsid w:val="005F2AC4"/>
    <w:rsid w:val="005F34C5"/>
    <w:rsid w:val="005F754D"/>
    <w:rsid w:val="005F7FD5"/>
    <w:rsid w:val="006031CD"/>
    <w:rsid w:val="00610717"/>
    <w:rsid w:val="00611391"/>
    <w:rsid w:val="00611FB8"/>
    <w:rsid w:val="0061278C"/>
    <w:rsid w:val="00612B62"/>
    <w:rsid w:val="00612D79"/>
    <w:rsid w:val="00612F13"/>
    <w:rsid w:val="0061328C"/>
    <w:rsid w:val="006136FB"/>
    <w:rsid w:val="00617C63"/>
    <w:rsid w:val="00630B79"/>
    <w:rsid w:val="0063145F"/>
    <w:rsid w:val="006314EF"/>
    <w:rsid w:val="006317F7"/>
    <w:rsid w:val="006335D6"/>
    <w:rsid w:val="006335FB"/>
    <w:rsid w:val="006336F4"/>
    <w:rsid w:val="00634D86"/>
    <w:rsid w:val="006378E9"/>
    <w:rsid w:val="00640D88"/>
    <w:rsid w:val="00641C52"/>
    <w:rsid w:val="0064210F"/>
    <w:rsid w:val="00642690"/>
    <w:rsid w:val="00645DDB"/>
    <w:rsid w:val="006622D3"/>
    <w:rsid w:val="006636CE"/>
    <w:rsid w:val="0066583E"/>
    <w:rsid w:val="00670171"/>
    <w:rsid w:val="00672675"/>
    <w:rsid w:val="00674D42"/>
    <w:rsid w:val="00676C5A"/>
    <w:rsid w:val="0068412D"/>
    <w:rsid w:val="006844C1"/>
    <w:rsid w:val="00684C0F"/>
    <w:rsid w:val="006910D7"/>
    <w:rsid w:val="006913A5"/>
    <w:rsid w:val="00691855"/>
    <w:rsid w:val="00694429"/>
    <w:rsid w:val="006A0991"/>
    <w:rsid w:val="006A40F5"/>
    <w:rsid w:val="006B2FDB"/>
    <w:rsid w:val="006B7686"/>
    <w:rsid w:val="006C1105"/>
    <w:rsid w:val="006C2199"/>
    <w:rsid w:val="006C221F"/>
    <w:rsid w:val="006C5DB6"/>
    <w:rsid w:val="006D19BA"/>
    <w:rsid w:val="006D32A4"/>
    <w:rsid w:val="006D37F9"/>
    <w:rsid w:val="006E06C5"/>
    <w:rsid w:val="006E0E17"/>
    <w:rsid w:val="006E1D7A"/>
    <w:rsid w:val="006E4802"/>
    <w:rsid w:val="006E625C"/>
    <w:rsid w:val="006F4419"/>
    <w:rsid w:val="006F51C2"/>
    <w:rsid w:val="006F6D65"/>
    <w:rsid w:val="00702F80"/>
    <w:rsid w:val="007037A0"/>
    <w:rsid w:val="00706B93"/>
    <w:rsid w:val="0071026E"/>
    <w:rsid w:val="00716C76"/>
    <w:rsid w:val="0072131C"/>
    <w:rsid w:val="0072164E"/>
    <w:rsid w:val="00722A8A"/>
    <w:rsid w:val="00724DC0"/>
    <w:rsid w:val="00726330"/>
    <w:rsid w:val="00727296"/>
    <w:rsid w:val="00730ABD"/>
    <w:rsid w:val="00731971"/>
    <w:rsid w:val="00733B9B"/>
    <w:rsid w:val="00733E80"/>
    <w:rsid w:val="00736CA6"/>
    <w:rsid w:val="0073782D"/>
    <w:rsid w:val="00740C15"/>
    <w:rsid w:val="0074186A"/>
    <w:rsid w:val="00747C4D"/>
    <w:rsid w:val="00747D39"/>
    <w:rsid w:val="007512C2"/>
    <w:rsid w:val="0075343D"/>
    <w:rsid w:val="007566A6"/>
    <w:rsid w:val="0076040D"/>
    <w:rsid w:val="007626A9"/>
    <w:rsid w:val="00770C4E"/>
    <w:rsid w:val="00771772"/>
    <w:rsid w:val="007718B2"/>
    <w:rsid w:val="00771C1C"/>
    <w:rsid w:val="0077372C"/>
    <w:rsid w:val="00777117"/>
    <w:rsid w:val="007805A4"/>
    <w:rsid w:val="00782545"/>
    <w:rsid w:val="007853F0"/>
    <w:rsid w:val="00786749"/>
    <w:rsid w:val="00786F67"/>
    <w:rsid w:val="007940E9"/>
    <w:rsid w:val="00794CF8"/>
    <w:rsid w:val="00794EE5"/>
    <w:rsid w:val="0079573C"/>
    <w:rsid w:val="0079738C"/>
    <w:rsid w:val="007A502D"/>
    <w:rsid w:val="007A72B3"/>
    <w:rsid w:val="007B114F"/>
    <w:rsid w:val="007B34DD"/>
    <w:rsid w:val="007B5BC5"/>
    <w:rsid w:val="007C1348"/>
    <w:rsid w:val="007C1A94"/>
    <w:rsid w:val="007C2845"/>
    <w:rsid w:val="007C2914"/>
    <w:rsid w:val="007C3B2E"/>
    <w:rsid w:val="007C4E5A"/>
    <w:rsid w:val="007C601F"/>
    <w:rsid w:val="007D197C"/>
    <w:rsid w:val="007D236E"/>
    <w:rsid w:val="007D2809"/>
    <w:rsid w:val="007D4875"/>
    <w:rsid w:val="007D5FB9"/>
    <w:rsid w:val="007E0B67"/>
    <w:rsid w:val="007E1B7A"/>
    <w:rsid w:val="007E2A67"/>
    <w:rsid w:val="007E2D26"/>
    <w:rsid w:val="007E37CA"/>
    <w:rsid w:val="007E4CC4"/>
    <w:rsid w:val="007E507B"/>
    <w:rsid w:val="007E57BE"/>
    <w:rsid w:val="007E6B1B"/>
    <w:rsid w:val="007F33CB"/>
    <w:rsid w:val="007F4A0C"/>
    <w:rsid w:val="0080460B"/>
    <w:rsid w:val="00805CCD"/>
    <w:rsid w:val="00806E41"/>
    <w:rsid w:val="0080756A"/>
    <w:rsid w:val="00807DDD"/>
    <w:rsid w:val="00811141"/>
    <w:rsid w:val="0081530B"/>
    <w:rsid w:val="0081603C"/>
    <w:rsid w:val="00820BC3"/>
    <w:rsid w:val="00825C98"/>
    <w:rsid w:val="008261DB"/>
    <w:rsid w:val="008342FC"/>
    <w:rsid w:val="00835527"/>
    <w:rsid w:val="00835EC8"/>
    <w:rsid w:val="0084055A"/>
    <w:rsid w:val="0084643C"/>
    <w:rsid w:val="008550B1"/>
    <w:rsid w:val="0086021B"/>
    <w:rsid w:val="0086175B"/>
    <w:rsid w:val="00865BA8"/>
    <w:rsid w:val="008749C0"/>
    <w:rsid w:val="00875EB1"/>
    <w:rsid w:val="00876CD4"/>
    <w:rsid w:val="00880362"/>
    <w:rsid w:val="008809B4"/>
    <w:rsid w:val="00880B14"/>
    <w:rsid w:val="008817F0"/>
    <w:rsid w:val="00882A3E"/>
    <w:rsid w:val="0088427A"/>
    <w:rsid w:val="00884693"/>
    <w:rsid w:val="0088704A"/>
    <w:rsid w:val="00891359"/>
    <w:rsid w:val="00895591"/>
    <w:rsid w:val="008A0D7B"/>
    <w:rsid w:val="008A0FD2"/>
    <w:rsid w:val="008A1F64"/>
    <w:rsid w:val="008B0415"/>
    <w:rsid w:val="008B2F30"/>
    <w:rsid w:val="008C0F64"/>
    <w:rsid w:val="008C4701"/>
    <w:rsid w:val="008C498C"/>
    <w:rsid w:val="008C553D"/>
    <w:rsid w:val="008E2AA3"/>
    <w:rsid w:val="008E5036"/>
    <w:rsid w:val="008E7A6F"/>
    <w:rsid w:val="008F0BBC"/>
    <w:rsid w:val="008F43E4"/>
    <w:rsid w:val="008F5746"/>
    <w:rsid w:val="008F6473"/>
    <w:rsid w:val="008F746F"/>
    <w:rsid w:val="0090076F"/>
    <w:rsid w:val="00904AA7"/>
    <w:rsid w:val="00905CCB"/>
    <w:rsid w:val="009068A9"/>
    <w:rsid w:val="009103D4"/>
    <w:rsid w:val="009107E2"/>
    <w:rsid w:val="00914D4F"/>
    <w:rsid w:val="00915637"/>
    <w:rsid w:val="00921B93"/>
    <w:rsid w:val="00922206"/>
    <w:rsid w:val="00925EA9"/>
    <w:rsid w:val="009326B5"/>
    <w:rsid w:val="0093282E"/>
    <w:rsid w:val="009338D4"/>
    <w:rsid w:val="00933C30"/>
    <w:rsid w:val="009360EA"/>
    <w:rsid w:val="00936A62"/>
    <w:rsid w:val="00940DEF"/>
    <w:rsid w:val="00945549"/>
    <w:rsid w:val="009525DE"/>
    <w:rsid w:val="0095377E"/>
    <w:rsid w:val="00957376"/>
    <w:rsid w:val="0096088E"/>
    <w:rsid w:val="00960AB3"/>
    <w:rsid w:val="00962581"/>
    <w:rsid w:val="0096707A"/>
    <w:rsid w:val="00971154"/>
    <w:rsid w:val="00973010"/>
    <w:rsid w:val="00973C71"/>
    <w:rsid w:val="00973D6F"/>
    <w:rsid w:val="00975547"/>
    <w:rsid w:val="0097584F"/>
    <w:rsid w:val="0097640C"/>
    <w:rsid w:val="0097738B"/>
    <w:rsid w:val="0097794C"/>
    <w:rsid w:val="009862B5"/>
    <w:rsid w:val="00987B82"/>
    <w:rsid w:val="00987F56"/>
    <w:rsid w:val="00990E58"/>
    <w:rsid w:val="00991BB2"/>
    <w:rsid w:val="00995CC5"/>
    <w:rsid w:val="009970E8"/>
    <w:rsid w:val="009A48F3"/>
    <w:rsid w:val="009A5716"/>
    <w:rsid w:val="009A6FE4"/>
    <w:rsid w:val="009A7F13"/>
    <w:rsid w:val="009B02DF"/>
    <w:rsid w:val="009B0686"/>
    <w:rsid w:val="009B0893"/>
    <w:rsid w:val="009B1E36"/>
    <w:rsid w:val="009B4A53"/>
    <w:rsid w:val="009C1248"/>
    <w:rsid w:val="009C2B0E"/>
    <w:rsid w:val="009C39E4"/>
    <w:rsid w:val="009C69AC"/>
    <w:rsid w:val="009D6D91"/>
    <w:rsid w:val="009D7089"/>
    <w:rsid w:val="009E014E"/>
    <w:rsid w:val="009E26CC"/>
    <w:rsid w:val="009E6A21"/>
    <w:rsid w:val="009F1447"/>
    <w:rsid w:val="009F1645"/>
    <w:rsid w:val="009F2C26"/>
    <w:rsid w:val="009F2E3F"/>
    <w:rsid w:val="009F414F"/>
    <w:rsid w:val="009F7C20"/>
    <w:rsid w:val="00A13396"/>
    <w:rsid w:val="00A1406A"/>
    <w:rsid w:val="00A1497B"/>
    <w:rsid w:val="00A149C2"/>
    <w:rsid w:val="00A2024C"/>
    <w:rsid w:val="00A21E7A"/>
    <w:rsid w:val="00A24FA2"/>
    <w:rsid w:val="00A300CC"/>
    <w:rsid w:val="00A33A31"/>
    <w:rsid w:val="00A33C4C"/>
    <w:rsid w:val="00A34219"/>
    <w:rsid w:val="00A35AA7"/>
    <w:rsid w:val="00A37E88"/>
    <w:rsid w:val="00A453E0"/>
    <w:rsid w:val="00A46979"/>
    <w:rsid w:val="00A541CE"/>
    <w:rsid w:val="00A653DC"/>
    <w:rsid w:val="00A67AA3"/>
    <w:rsid w:val="00A70617"/>
    <w:rsid w:val="00A708CE"/>
    <w:rsid w:val="00A73C8B"/>
    <w:rsid w:val="00A747AC"/>
    <w:rsid w:val="00A74DBC"/>
    <w:rsid w:val="00A80748"/>
    <w:rsid w:val="00A808A2"/>
    <w:rsid w:val="00A843CF"/>
    <w:rsid w:val="00A852C1"/>
    <w:rsid w:val="00A86FE1"/>
    <w:rsid w:val="00A87FB2"/>
    <w:rsid w:val="00A91BD3"/>
    <w:rsid w:val="00A93177"/>
    <w:rsid w:val="00A93B49"/>
    <w:rsid w:val="00A9584E"/>
    <w:rsid w:val="00A96323"/>
    <w:rsid w:val="00AA091A"/>
    <w:rsid w:val="00AA17DE"/>
    <w:rsid w:val="00AA1AF7"/>
    <w:rsid w:val="00AA1C04"/>
    <w:rsid w:val="00AA4ABC"/>
    <w:rsid w:val="00AA654A"/>
    <w:rsid w:val="00AA69F5"/>
    <w:rsid w:val="00AA7AE2"/>
    <w:rsid w:val="00AB1E52"/>
    <w:rsid w:val="00AB265E"/>
    <w:rsid w:val="00AB2BC6"/>
    <w:rsid w:val="00AB3838"/>
    <w:rsid w:val="00AB6563"/>
    <w:rsid w:val="00AC0155"/>
    <w:rsid w:val="00AC0378"/>
    <w:rsid w:val="00AC0790"/>
    <w:rsid w:val="00AC1A96"/>
    <w:rsid w:val="00AC1B58"/>
    <w:rsid w:val="00AC21EC"/>
    <w:rsid w:val="00AC3D33"/>
    <w:rsid w:val="00AC496F"/>
    <w:rsid w:val="00AC7BA8"/>
    <w:rsid w:val="00AD061B"/>
    <w:rsid w:val="00AD1599"/>
    <w:rsid w:val="00AD348B"/>
    <w:rsid w:val="00AD6B9C"/>
    <w:rsid w:val="00AD7D1C"/>
    <w:rsid w:val="00AE245F"/>
    <w:rsid w:val="00AE43AD"/>
    <w:rsid w:val="00AF048C"/>
    <w:rsid w:val="00AF1502"/>
    <w:rsid w:val="00AF2FA0"/>
    <w:rsid w:val="00AF6B4F"/>
    <w:rsid w:val="00AF6CCD"/>
    <w:rsid w:val="00AF6F31"/>
    <w:rsid w:val="00B02525"/>
    <w:rsid w:val="00B028BB"/>
    <w:rsid w:val="00B03334"/>
    <w:rsid w:val="00B06B3D"/>
    <w:rsid w:val="00B10F1F"/>
    <w:rsid w:val="00B11732"/>
    <w:rsid w:val="00B11A87"/>
    <w:rsid w:val="00B12A20"/>
    <w:rsid w:val="00B217AF"/>
    <w:rsid w:val="00B22755"/>
    <w:rsid w:val="00B22B09"/>
    <w:rsid w:val="00B3071F"/>
    <w:rsid w:val="00B30829"/>
    <w:rsid w:val="00B30A7F"/>
    <w:rsid w:val="00B32C25"/>
    <w:rsid w:val="00B44808"/>
    <w:rsid w:val="00B47412"/>
    <w:rsid w:val="00B51750"/>
    <w:rsid w:val="00B524F1"/>
    <w:rsid w:val="00B56255"/>
    <w:rsid w:val="00B653B4"/>
    <w:rsid w:val="00B657E1"/>
    <w:rsid w:val="00B67516"/>
    <w:rsid w:val="00B67EE9"/>
    <w:rsid w:val="00B701C6"/>
    <w:rsid w:val="00B70DAF"/>
    <w:rsid w:val="00B76121"/>
    <w:rsid w:val="00B81471"/>
    <w:rsid w:val="00B83897"/>
    <w:rsid w:val="00B859CD"/>
    <w:rsid w:val="00B87031"/>
    <w:rsid w:val="00B938CA"/>
    <w:rsid w:val="00B93C08"/>
    <w:rsid w:val="00B94431"/>
    <w:rsid w:val="00B94E35"/>
    <w:rsid w:val="00BA3457"/>
    <w:rsid w:val="00BA4363"/>
    <w:rsid w:val="00BA4EFE"/>
    <w:rsid w:val="00BA58AB"/>
    <w:rsid w:val="00BA5FC3"/>
    <w:rsid w:val="00BA63FC"/>
    <w:rsid w:val="00BA6E7B"/>
    <w:rsid w:val="00BB1987"/>
    <w:rsid w:val="00BB3A1A"/>
    <w:rsid w:val="00BC1BFB"/>
    <w:rsid w:val="00BC32F4"/>
    <w:rsid w:val="00BC55A5"/>
    <w:rsid w:val="00BC6FA6"/>
    <w:rsid w:val="00BD0DC5"/>
    <w:rsid w:val="00BD2FBD"/>
    <w:rsid w:val="00BD4221"/>
    <w:rsid w:val="00BD45FD"/>
    <w:rsid w:val="00BD62AE"/>
    <w:rsid w:val="00BE06B1"/>
    <w:rsid w:val="00BE2E9B"/>
    <w:rsid w:val="00BE4D9F"/>
    <w:rsid w:val="00BE4EEA"/>
    <w:rsid w:val="00BE7361"/>
    <w:rsid w:val="00BF0783"/>
    <w:rsid w:val="00BF3397"/>
    <w:rsid w:val="00BF659A"/>
    <w:rsid w:val="00BF6D4D"/>
    <w:rsid w:val="00C00081"/>
    <w:rsid w:val="00C013D1"/>
    <w:rsid w:val="00C10862"/>
    <w:rsid w:val="00C16869"/>
    <w:rsid w:val="00C2149B"/>
    <w:rsid w:val="00C21EAB"/>
    <w:rsid w:val="00C263F5"/>
    <w:rsid w:val="00C3229B"/>
    <w:rsid w:val="00C33768"/>
    <w:rsid w:val="00C46744"/>
    <w:rsid w:val="00C50089"/>
    <w:rsid w:val="00C5039B"/>
    <w:rsid w:val="00C56A7F"/>
    <w:rsid w:val="00C60C9A"/>
    <w:rsid w:val="00C61573"/>
    <w:rsid w:val="00C628D7"/>
    <w:rsid w:val="00C63F5F"/>
    <w:rsid w:val="00C65FBA"/>
    <w:rsid w:val="00C67794"/>
    <w:rsid w:val="00C67F66"/>
    <w:rsid w:val="00C70D38"/>
    <w:rsid w:val="00C754A6"/>
    <w:rsid w:val="00C7745C"/>
    <w:rsid w:val="00C83542"/>
    <w:rsid w:val="00C86267"/>
    <w:rsid w:val="00C872ED"/>
    <w:rsid w:val="00C9230E"/>
    <w:rsid w:val="00C93C17"/>
    <w:rsid w:val="00CA0072"/>
    <w:rsid w:val="00CA0F2C"/>
    <w:rsid w:val="00CA1411"/>
    <w:rsid w:val="00CA79F7"/>
    <w:rsid w:val="00CB1F42"/>
    <w:rsid w:val="00CB4740"/>
    <w:rsid w:val="00CC1A73"/>
    <w:rsid w:val="00CC3D7A"/>
    <w:rsid w:val="00CC48D0"/>
    <w:rsid w:val="00CC7933"/>
    <w:rsid w:val="00CD491C"/>
    <w:rsid w:val="00CD7387"/>
    <w:rsid w:val="00CE3790"/>
    <w:rsid w:val="00CE3E18"/>
    <w:rsid w:val="00CE3E76"/>
    <w:rsid w:val="00CE6B88"/>
    <w:rsid w:val="00CE79BA"/>
    <w:rsid w:val="00CE7A2A"/>
    <w:rsid w:val="00CF1015"/>
    <w:rsid w:val="00CF1510"/>
    <w:rsid w:val="00CF1EFE"/>
    <w:rsid w:val="00CF2F43"/>
    <w:rsid w:val="00CF3D62"/>
    <w:rsid w:val="00D026BF"/>
    <w:rsid w:val="00D02B6C"/>
    <w:rsid w:val="00D03109"/>
    <w:rsid w:val="00D04F3C"/>
    <w:rsid w:val="00D07657"/>
    <w:rsid w:val="00D07B01"/>
    <w:rsid w:val="00D07E1B"/>
    <w:rsid w:val="00D12172"/>
    <w:rsid w:val="00D13CC1"/>
    <w:rsid w:val="00D15567"/>
    <w:rsid w:val="00D221C9"/>
    <w:rsid w:val="00D27791"/>
    <w:rsid w:val="00D32130"/>
    <w:rsid w:val="00D32AF6"/>
    <w:rsid w:val="00D32C32"/>
    <w:rsid w:val="00D3368F"/>
    <w:rsid w:val="00D35DD6"/>
    <w:rsid w:val="00D44176"/>
    <w:rsid w:val="00D452FB"/>
    <w:rsid w:val="00D4590B"/>
    <w:rsid w:val="00D47307"/>
    <w:rsid w:val="00D50AEE"/>
    <w:rsid w:val="00D52F13"/>
    <w:rsid w:val="00D53B36"/>
    <w:rsid w:val="00D6300A"/>
    <w:rsid w:val="00D64E98"/>
    <w:rsid w:val="00D66A8D"/>
    <w:rsid w:val="00D72A37"/>
    <w:rsid w:val="00D7655B"/>
    <w:rsid w:val="00D7736E"/>
    <w:rsid w:val="00D7770E"/>
    <w:rsid w:val="00D80573"/>
    <w:rsid w:val="00D81E5A"/>
    <w:rsid w:val="00D846B1"/>
    <w:rsid w:val="00D86354"/>
    <w:rsid w:val="00D86628"/>
    <w:rsid w:val="00D90505"/>
    <w:rsid w:val="00D92617"/>
    <w:rsid w:val="00D92C7B"/>
    <w:rsid w:val="00D93EDC"/>
    <w:rsid w:val="00DA00C8"/>
    <w:rsid w:val="00DA3649"/>
    <w:rsid w:val="00DA365B"/>
    <w:rsid w:val="00DA5254"/>
    <w:rsid w:val="00DA56FE"/>
    <w:rsid w:val="00DA6284"/>
    <w:rsid w:val="00DB6C6F"/>
    <w:rsid w:val="00DB7EDE"/>
    <w:rsid w:val="00DC069F"/>
    <w:rsid w:val="00DC081A"/>
    <w:rsid w:val="00DC43A1"/>
    <w:rsid w:val="00DD3666"/>
    <w:rsid w:val="00DE0FE7"/>
    <w:rsid w:val="00DE1C07"/>
    <w:rsid w:val="00DE1E1B"/>
    <w:rsid w:val="00DE52DC"/>
    <w:rsid w:val="00DE5693"/>
    <w:rsid w:val="00DF0384"/>
    <w:rsid w:val="00DF19AC"/>
    <w:rsid w:val="00DF79D0"/>
    <w:rsid w:val="00E001FC"/>
    <w:rsid w:val="00E01B65"/>
    <w:rsid w:val="00E0448E"/>
    <w:rsid w:val="00E06659"/>
    <w:rsid w:val="00E077C9"/>
    <w:rsid w:val="00E14844"/>
    <w:rsid w:val="00E159FC"/>
    <w:rsid w:val="00E22752"/>
    <w:rsid w:val="00E237FD"/>
    <w:rsid w:val="00E23B6F"/>
    <w:rsid w:val="00E26AD3"/>
    <w:rsid w:val="00E276CA"/>
    <w:rsid w:val="00E3333F"/>
    <w:rsid w:val="00E33E58"/>
    <w:rsid w:val="00E34A16"/>
    <w:rsid w:val="00E34B79"/>
    <w:rsid w:val="00E351D6"/>
    <w:rsid w:val="00E37935"/>
    <w:rsid w:val="00E4360E"/>
    <w:rsid w:val="00E56AC9"/>
    <w:rsid w:val="00E57024"/>
    <w:rsid w:val="00E624F0"/>
    <w:rsid w:val="00E627EC"/>
    <w:rsid w:val="00E74081"/>
    <w:rsid w:val="00E76E39"/>
    <w:rsid w:val="00E8038A"/>
    <w:rsid w:val="00E84860"/>
    <w:rsid w:val="00E8489D"/>
    <w:rsid w:val="00E85186"/>
    <w:rsid w:val="00E852AB"/>
    <w:rsid w:val="00E87ADC"/>
    <w:rsid w:val="00E91B46"/>
    <w:rsid w:val="00E95C9F"/>
    <w:rsid w:val="00EB0758"/>
    <w:rsid w:val="00EB5F58"/>
    <w:rsid w:val="00EB6160"/>
    <w:rsid w:val="00EC1405"/>
    <w:rsid w:val="00EC4142"/>
    <w:rsid w:val="00EC5355"/>
    <w:rsid w:val="00EC5764"/>
    <w:rsid w:val="00EC7AA9"/>
    <w:rsid w:val="00ED0B28"/>
    <w:rsid w:val="00ED1299"/>
    <w:rsid w:val="00ED2635"/>
    <w:rsid w:val="00ED3839"/>
    <w:rsid w:val="00ED3D63"/>
    <w:rsid w:val="00ED3D7B"/>
    <w:rsid w:val="00ED7B72"/>
    <w:rsid w:val="00ED7BE4"/>
    <w:rsid w:val="00EE14D9"/>
    <w:rsid w:val="00EE2EAB"/>
    <w:rsid w:val="00EE33EE"/>
    <w:rsid w:val="00EF1792"/>
    <w:rsid w:val="00EF5891"/>
    <w:rsid w:val="00EF6262"/>
    <w:rsid w:val="00EF7A72"/>
    <w:rsid w:val="00F0631F"/>
    <w:rsid w:val="00F111D8"/>
    <w:rsid w:val="00F148A2"/>
    <w:rsid w:val="00F205A1"/>
    <w:rsid w:val="00F2080A"/>
    <w:rsid w:val="00F24002"/>
    <w:rsid w:val="00F317B6"/>
    <w:rsid w:val="00F32154"/>
    <w:rsid w:val="00F32DD2"/>
    <w:rsid w:val="00F3379E"/>
    <w:rsid w:val="00F345C2"/>
    <w:rsid w:val="00F34898"/>
    <w:rsid w:val="00F35D41"/>
    <w:rsid w:val="00F35FC7"/>
    <w:rsid w:val="00F36B0A"/>
    <w:rsid w:val="00F40EAA"/>
    <w:rsid w:val="00F43A65"/>
    <w:rsid w:val="00F50D43"/>
    <w:rsid w:val="00F55450"/>
    <w:rsid w:val="00F565FF"/>
    <w:rsid w:val="00F5713E"/>
    <w:rsid w:val="00F62CDD"/>
    <w:rsid w:val="00F658DC"/>
    <w:rsid w:val="00F65CAB"/>
    <w:rsid w:val="00F75E9A"/>
    <w:rsid w:val="00F83768"/>
    <w:rsid w:val="00F8383E"/>
    <w:rsid w:val="00F83E66"/>
    <w:rsid w:val="00F86A17"/>
    <w:rsid w:val="00F8771F"/>
    <w:rsid w:val="00F91886"/>
    <w:rsid w:val="00F9430C"/>
    <w:rsid w:val="00FB2871"/>
    <w:rsid w:val="00FB4232"/>
    <w:rsid w:val="00FC1041"/>
    <w:rsid w:val="00FC3E5F"/>
    <w:rsid w:val="00FC630A"/>
    <w:rsid w:val="00FC722B"/>
    <w:rsid w:val="00FC744E"/>
    <w:rsid w:val="00FC7467"/>
    <w:rsid w:val="00FC7766"/>
    <w:rsid w:val="00FD2E2F"/>
    <w:rsid w:val="00FE01D5"/>
    <w:rsid w:val="00FE3000"/>
    <w:rsid w:val="00FE5B54"/>
    <w:rsid w:val="00FF03C6"/>
    <w:rsid w:val="00FF0502"/>
    <w:rsid w:val="00FF483A"/>
    <w:rsid w:val="00FF552F"/>
    <w:rsid w:val="00FF6AEE"/>
    <w:rsid w:val="00FF73C1"/>
    <w:rsid w:val="00FF7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EF5213"/>
  <w15:docId w15:val="{988C684A-EA6E-4CCE-9FD5-7CEBBFBAD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iPriority="0"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0502"/>
  </w:style>
  <w:style w:type="paragraph" w:styleId="Titre1">
    <w:name w:val="heading 1"/>
    <w:basedOn w:val="Normal"/>
    <w:next w:val="Normal"/>
    <w:qFormat/>
    <w:rsid w:val="00187752"/>
    <w:pPr>
      <w:keepNext/>
      <w:tabs>
        <w:tab w:val="right" w:pos="9072"/>
      </w:tabs>
      <w:jc w:val="center"/>
      <w:outlineLvl w:val="0"/>
    </w:pPr>
    <w:rPr>
      <w:rFonts w:ascii="Arial" w:hAnsi="Arial" w:cs="Arial"/>
      <w:b/>
      <w:bCs/>
      <w:spacing w:val="30"/>
      <w:sz w:val="48"/>
      <w:szCs w:val="48"/>
    </w:rPr>
  </w:style>
  <w:style w:type="paragraph" w:styleId="Titre2">
    <w:name w:val="heading 2"/>
    <w:basedOn w:val="Normal"/>
    <w:next w:val="Normal"/>
    <w:qFormat/>
    <w:rsid w:val="00187752"/>
    <w:pPr>
      <w:keepNext/>
      <w:outlineLvl w:val="1"/>
    </w:pPr>
    <w:rPr>
      <w:rFonts w:ascii="Arial" w:hAnsi="Arial" w:cs="Arial"/>
      <w:sz w:val="44"/>
      <w:szCs w:val="44"/>
    </w:rPr>
  </w:style>
  <w:style w:type="paragraph" w:styleId="Titre3">
    <w:name w:val="heading 3"/>
    <w:aliases w:val="Stat Titre 1"/>
    <w:basedOn w:val="Normal"/>
    <w:next w:val="Normal"/>
    <w:qFormat/>
    <w:rsid w:val="0073782D"/>
    <w:pPr>
      <w:keepNext/>
      <w:spacing w:before="100" w:beforeAutospacing="1" w:line="168" w:lineRule="auto"/>
      <w:ind w:left="113"/>
      <w:outlineLvl w:val="2"/>
    </w:pPr>
    <w:rPr>
      <w:rFonts w:ascii="Arial Black" w:hAnsi="Arial Black"/>
      <w:iCs/>
      <w:color w:val="547889"/>
      <w:sz w:val="28"/>
      <w:szCs w:val="28"/>
    </w:rPr>
  </w:style>
  <w:style w:type="paragraph" w:styleId="Titre4">
    <w:name w:val="heading 4"/>
    <w:basedOn w:val="Normal"/>
    <w:next w:val="Normal"/>
    <w:link w:val="Titre4Car"/>
    <w:unhideWhenUsed/>
    <w:qFormat/>
    <w:rsid w:val="00CE3E76"/>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qFormat/>
    <w:rsid w:val="00CE3E76"/>
    <w:pPr>
      <w:spacing w:before="240" w:after="120"/>
      <w:ind w:left="284" w:hanging="284"/>
      <w:outlineLvl w:val="4"/>
    </w:pPr>
    <w:rPr>
      <w:b/>
      <w:bCs/>
      <w:i/>
      <w:iCs/>
      <w:sz w:val="22"/>
      <w:szCs w:val="22"/>
    </w:rPr>
  </w:style>
  <w:style w:type="paragraph" w:styleId="Titre6">
    <w:name w:val="heading 6"/>
    <w:basedOn w:val="Normal"/>
    <w:next w:val="Normal"/>
    <w:link w:val="Titre6Car"/>
    <w:qFormat/>
    <w:rsid w:val="00CE3E76"/>
    <w:pPr>
      <w:keepNext/>
      <w:outlineLvl w:val="5"/>
    </w:pPr>
    <w:rPr>
      <w:rFonts w:ascii="Arial Black" w:hAnsi="Arial Black"/>
      <w:i/>
      <w:iCs/>
      <w:sz w:val="32"/>
      <w:szCs w:val="32"/>
    </w:rPr>
  </w:style>
  <w:style w:type="paragraph" w:styleId="Titre7">
    <w:name w:val="heading 7"/>
    <w:basedOn w:val="Normal"/>
    <w:next w:val="Normal"/>
    <w:link w:val="Titre7Car"/>
    <w:qFormat/>
    <w:rsid w:val="00CE3E76"/>
    <w:pPr>
      <w:keepNext/>
      <w:jc w:val="center"/>
      <w:outlineLvl w:val="6"/>
    </w:pPr>
    <w:rPr>
      <w:rFonts w:ascii="Arial" w:hAnsi="Arial" w:cs="Arial"/>
      <w:b/>
      <w:bCs/>
      <w:spacing w:val="-2"/>
      <w:sz w:val="16"/>
      <w:szCs w:val="16"/>
      <w:lang w:val="en-US"/>
    </w:rPr>
  </w:style>
  <w:style w:type="paragraph" w:styleId="Titre8">
    <w:name w:val="heading 8"/>
    <w:basedOn w:val="Normal"/>
    <w:next w:val="Normal"/>
    <w:link w:val="Titre8Car"/>
    <w:qFormat/>
    <w:rsid w:val="00CE3E76"/>
    <w:pPr>
      <w:keepNext/>
      <w:spacing w:before="144"/>
      <w:ind w:left="60"/>
      <w:outlineLvl w:val="7"/>
    </w:pPr>
    <w:rPr>
      <w:rFonts w:ascii="Arial" w:hAnsi="Arial" w:cs="Arial"/>
      <w:b/>
      <w:bCs/>
      <w:spacing w:val="-4"/>
      <w:sz w:val="18"/>
      <w:szCs w:val="18"/>
    </w:rPr>
  </w:style>
  <w:style w:type="paragraph" w:styleId="Titre9">
    <w:name w:val="heading 9"/>
    <w:basedOn w:val="Normal"/>
    <w:next w:val="Normal"/>
    <w:link w:val="Titre9Car"/>
    <w:unhideWhenUsed/>
    <w:qFormat/>
    <w:rsid w:val="00CE3E76"/>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187752"/>
    <w:pPr>
      <w:tabs>
        <w:tab w:val="center" w:pos="4536"/>
        <w:tab w:val="right" w:pos="9072"/>
      </w:tabs>
    </w:pPr>
  </w:style>
  <w:style w:type="paragraph" w:styleId="Pieddepage">
    <w:name w:val="footer"/>
    <w:basedOn w:val="Normal"/>
    <w:link w:val="PieddepageCar"/>
    <w:rsid w:val="00187752"/>
    <w:pPr>
      <w:tabs>
        <w:tab w:val="center" w:pos="4536"/>
        <w:tab w:val="right" w:pos="9072"/>
      </w:tabs>
    </w:pPr>
  </w:style>
  <w:style w:type="paragraph" w:customStyle="1" w:styleId="TitreNote">
    <w:name w:val="Titre Note"/>
    <w:basedOn w:val="Normal"/>
    <w:next w:val="Normal"/>
    <w:rsid w:val="00187752"/>
    <w:pPr>
      <w:keepNext/>
      <w:keepLines/>
      <w:spacing w:before="240" w:after="240"/>
      <w:jc w:val="center"/>
    </w:pPr>
    <w:rPr>
      <w:rFonts w:ascii="Arial" w:hAnsi="Arial" w:cs="Arial"/>
      <w:b/>
      <w:bCs/>
      <w:spacing w:val="10"/>
      <w:kern w:val="28"/>
      <w:sz w:val="30"/>
      <w:szCs w:val="30"/>
    </w:rPr>
  </w:style>
  <w:style w:type="paragraph" w:customStyle="1" w:styleId="GraphUnitmesure">
    <w:name w:val="Graph Unité mesure"/>
    <w:basedOn w:val="Normal"/>
    <w:next w:val="Normal"/>
    <w:rsid w:val="00187752"/>
    <w:rPr>
      <w:rFonts w:ascii="Arial" w:hAnsi="Arial" w:cs="Arial"/>
      <w:sz w:val="16"/>
      <w:szCs w:val="16"/>
    </w:rPr>
  </w:style>
  <w:style w:type="paragraph" w:customStyle="1" w:styleId="TabUnitmesure">
    <w:name w:val="Tab Unité mesure"/>
    <w:basedOn w:val="Normal"/>
    <w:next w:val="Normal"/>
    <w:rsid w:val="00187752"/>
    <w:pPr>
      <w:tabs>
        <w:tab w:val="right" w:pos="8222"/>
      </w:tabs>
      <w:jc w:val="right"/>
    </w:pPr>
    <w:rPr>
      <w:rFonts w:ascii="Arial" w:hAnsi="Arial" w:cs="Arial"/>
      <w:i/>
      <w:iCs/>
      <w:sz w:val="16"/>
      <w:szCs w:val="16"/>
    </w:rPr>
  </w:style>
  <w:style w:type="paragraph" w:customStyle="1" w:styleId="TabSource">
    <w:name w:val="Tab Source"/>
    <w:basedOn w:val="Normal"/>
    <w:next w:val="Normal"/>
    <w:rsid w:val="00187752"/>
    <w:pPr>
      <w:tabs>
        <w:tab w:val="right" w:pos="8222"/>
      </w:tabs>
      <w:spacing w:before="120"/>
    </w:pPr>
    <w:rPr>
      <w:rFonts w:ascii="Arial" w:hAnsi="Arial" w:cs="Arial"/>
      <w:sz w:val="16"/>
      <w:szCs w:val="16"/>
    </w:rPr>
  </w:style>
  <w:style w:type="paragraph" w:customStyle="1" w:styleId="Tableau">
    <w:name w:val="Tableau"/>
    <w:basedOn w:val="Normal"/>
    <w:next w:val="Normal"/>
    <w:rsid w:val="00187752"/>
    <w:pPr>
      <w:jc w:val="center"/>
    </w:pPr>
    <w:rPr>
      <w:noProof/>
    </w:rPr>
  </w:style>
  <w:style w:type="paragraph" w:styleId="Corpsdetexte2">
    <w:name w:val="Body Text 2"/>
    <w:basedOn w:val="Normal"/>
    <w:rsid w:val="00187752"/>
    <w:pPr>
      <w:jc w:val="both"/>
    </w:pPr>
  </w:style>
  <w:style w:type="paragraph" w:customStyle="1" w:styleId="GraphTitre">
    <w:name w:val="Graph Titre"/>
    <w:basedOn w:val="Normal"/>
    <w:next w:val="Normal"/>
    <w:rsid w:val="00187752"/>
    <w:rPr>
      <w:rFonts w:ascii="Arial" w:hAnsi="Arial" w:cs="Arial"/>
      <w:b/>
      <w:bCs/>
    </w:rPr>
  </w:style>
  <w:style w:type="paragraph" w:customStyle="1" w:styleId="GraphSource">
    <w:name w:val="Graph Source"/>
    <w:basedOn w:val="Normal"/>
    <w:next w:val="Normal"/>
    <w:rsid w:val="00187752"/>
    <w:pPr>
      <w:tabs>
        <w:tab w:val="right" w:pos="8222"/>
      </w:tabs>
    </w:pPr>
    <w:rPr>
      <w:rFonts w:ascii="Arial" w:hAnsi="Arial" w:cs="Arial"/>
      <w:sz w:val="16"/>
      <w:szCs w:val="16"/>
    </w:rPr>
  </w:style>
  <w:style w:type="paragraph" w:customStyle="1" w:styleId="TabTitre">
    <w:name w:val="Tab Titre"/>
    <w:basedOn w:val="Normal"/>
    <w:next w:val="TabUnitmesure"/>
    <w:rsid w:val="00187752"/>
    <w:rPr>
      <w:rFonts w:ascii="Arial" w:hAnsi="Arial" w:cs="Arial"/>
      <w:b/>
      <w:bCs/>
    </w:rPr>
  </w:style>
  <w:style w:type="character" w:styleId="Numrodepage">
    <w:name w:val="page number"/>
    <w:basedOn w:val="Policepardfaut"/>
    <w:rsid w:val="00187752"/>
  </w:style>
  <w:style w:type="paragraph" w:customStyle="1" w:styleId="TabRenvois">
    <w:name w:val="Tab Renvois"/>
    <w:basedOn w:val="Normal"/>
    <w:next w:val="TabSource"/>
    <w:rsid w:val="00187752"/>
    <w:pPr>
      <w:spacing w:before="40"/>
      <w:jc w:val="both"/>
    </w:pPr>
    <w:rPr>
      <w:rFonts w:ascii="Arial" w:hAnsi="Arial" w:cs="Arial"/>
      <w:sz w:val="16"/>
      <w:szCs w:val="16"/>
    </w:rPr>
  </w:style>
  <w:style w:type="paragraph" w:styleId="Normalcentr">
    <w:name w:val="Block Text"/>
    <w:basedOn w:val="Normal"/>
    <w:rsid w:val="00187752"/>
    <w:pPr>
      <w:tabs>
        <w:tab w:val="left" w:pos="567"/>
      </w:tabs>
      <w:spacing w:before="40"/>
      <w:ind w:left="198" w:right="567" w:hanging="198"/>
      <w:jc w:val="both"/>
    </w:pPr>
    <w:rPr>
      <w:rFonts w:ascii="Arial" w:hAnsi="Arial" w:cs="Arial"/>
      <w:i/>
      <w:iCs/>
      <w:sz w:val="16"/>
      <w:szCs w:val="16"/>
    </w:rPr>
  </w:style>
  <w:style w:type="paragraph" w:customStyle="1" w:styleId="question">
    <w:name w:val="question"/>
    <w:basedOn w:val="Normal"/>
    <w:autoRedefine/>
    <w:rsid w:val="00187752"/>
    <w:pPr>
      <w:jc w:val="both"/>
    </w:pPr>
    <w:rPr>
      <w:rFonts w:ascii="Arial" w:hAnsi="Arial" w:cs="Arial"/>
      <w:i/>
      <w:iCs/>
      <w:sz w:val="16"/>
      <w:szCs w:val="16"/>
    </w:rPr>
  </w:style>
  <w:style w:type="paragraph" w:styleId="Notedebasdepage">
    <w:name w:val="footnote text"/>
    <w:basedOn w:val="Normal"/>
    <w:semiHidden/>
    <w:rsid w:val="00187752"/>
  </w:style>
  <w:style w:type="character" w:styleId="Appelnotedebasdep">
    <w:name w:val="footnote reference"/>
    <w:basedOn w:val="Policepardfaut"/>
    <w:uiPriority w:val="99"/>
    <w:semiHidden/>
    <w:rsid w:val="00187752"/>
    <w:rPr>
      <w:vertAlign w:val="superscript"/>
    </w:rPr>
  </w:style>
  <w:style w:type="paragraph" w:styleId="Corpsdetexte">
    <w:name w:val="Body Text"/>
    <w:basedOn w:val="Normal"/>
    <w:link w:val="CorpsdetexteCar"/>
    <w:rsid w:val="00187752"/>
    <w:pPr>
      <w:jc w:val="both"/>
    </w:pPr>
    <w:rPr>
      <w:sz w:val="22"/>
      <w:szCs w:val="22"/>
    </w:rPr>
  </w:style>
  <w:style w:type="paragraph" w:styleId="Textedebulles">
    <w:name w:val="Balloon Text"/>
    <w:basedOn w:val="Normal"/>
    <w:semiHidden/>
    <w:rsid w:val="00187752"/>
    <w:rPr>
      <w:rFonts w:ascii="Tahoma" w:hAnsi="Tahoma" w:cs="Tahoma"/>
      <w:sz w:val="16"/>
      <w:szCs w:val="16"/>
    </w:rPr>
  </w:style>
  <w:style w:type="paragraph" w:styleId="Rvision">
    <w:name w:val="Revision"/>
    <w:hidden/>
    <w:uiPriority w:val="99"/>
    <w:semiHidden/>
    <w:rsid w:val="00187752"/>
  </w:style>
  <w:style w:type="character" w:styleId="Accentuation">
    <w:name w:val="Emphasis"/>
    <w:basedOn w:val="Policepardfaut"/>
    <w:qFormat/>
    <w:rsid w:val="00187752"/>
    <w:rPr>
      <w:i/>
      <w:iCs/>
    </w:rPr>
  </w:style>
  <w:style w:type="character" w:styleId="Marquedecommentaire">
    <w:name w:val="annotation reference"/>
    <w:basedOn w:val="Policepardfaut"/>
    <w:semiHidden/>
    <w:rsid w:val="00187752"/>
    <w:rPr>
      <w:sz w:val="16"/>
      <w:szCs w:val="16"/>
    </w:rPr>
  </w:style>
  <w:style w:type="paragraph" w:styleId="Commentaire">
    <w:name w:val="annotation text"/>
    <w:basedOn w:val="Normal"/>
    <w:semiHidden/>
    <w:rsid w:val="00187752"/>
  </w:style>
  <w:style w:type="paragraph" w:styleId="Objetducommentaire">
    <w:name w:val="annotation subject"/>
    <w:basedOn w:val="Commentaire"/>
    <w:next w:val="Commentaire"/>
    <w:semiHidden/>
    <w:rsid w:val="00187752"/>
    <w:rPr>
      <w:b/>
      <w:bCs/>
    </w:rPr>
  </w:style>
  <w:style w:type="paragraph" w:styleId="Paragraphedeliste">
    <w:name w:val="List Paragraph"/>
    <w:basedOn w:val="Normal"/>
    <w:uiPriority w:val="34"/>
    <w:qFormat/>
    <w:rsid w:val="00123192"/>
    <w:pPr>
      <w:ind w:left="720"/>
      <w:contextualSpacing/>
    </w:pPr>
  </w:style>
  <w:style w:type="paragraph" w:customStyle="1" w:styleId="STATTitre1">
    <w:name w:val="STAT Titre 1"/>
    <w:basedOn w:val="Titre3"/>
    <w:qFormat/>
    <w:rsid w:val="007A502D"/>
    <w:pPr>
      <w:ind w:left="0" w:right="567"/>
    </w:pPr>
  </w:style>
  <w:style w:type="paragraph" w:customStyle="1" w:styleId="STATDate">
    <w:name w:val="STAT Date"/>
    <w:autoRedefine/>
    <w:qFormat/>
    <w:rsid w:val="00CE3E76"/>
    <w:pPr>
      <w:jc w:val="both"/>
    </w:pPr>
    <w:rPr>
      <w:rFonts w:ascii="Arial" w:hAnsi="Arial" w:cs="Arial"/>
      <w:i/>
    </w:rPr>
  </w:style>
  <w:style w:type="paragraph" w:customStyle="1" w:styleId="STATTitre2">
    <w:name w:val="STAT Titre 2"/>
    <w:basedOn w:val="Normal"/>
    <w:qFormat/>
    <w:rsid w:val="00A96323"/>
    <w:pPr>
      <w:spacing w:before="480"/>
      <w:jc w:val="both"/>
    </w:pPr>
    <w:rPr>
      <w:rFonts w:ascii="Arial Black" w:hAnsi="Arial Black"/>
      <w:b/>
      <w:color w:val="547889"/>
      <w:spacing w:val="-4"/>
      <w:w w:val="90"/>
      <w:sz w:val="22"/>
      <w:szCs w:val="22"/>
    </w:rPr>
  </w:style>
  <w:style w:type="paragraph" w:customStyle="1" w:styleId="STATTexteCourant">
    <w:name w:val="STAT Texte Courant"/>
    <w:basedOn w:val="Normal"/>
    <w:qFormat/>
    <w:rsid w:val="00412708"/>
    <w:pPr>
      <w:autoSpaceDE w:val="0"/>
      <w:autoSpaceDN w:val="0"/>
      <w:adjustRightInd w:val="0"/>
      <w:spacing w:before="120"/>
      <w:ind w:left="34"/>
      <w:jc w:val="both"/>
    </w:pPr>
    <w:rPr>
      <w:rFonts w:ascii="Arial" w:hAnsi="Arial" w:cs="Arial"/>
      <w:iCs/>
    </w:rPr>
  </w:style>
  <w:style w:type="paragraph" w:customStyle="1" w:styleId="STATTextelistepuce">
    <w:name w:val="STAT Texte liste à puce"/>
    <w:basedOn w:val="Paragraphedeliste"/>
    <w:qFormat/>
    <w:rsid w:val="00E56AC9"/>
    <w:pPr>
      <w:numPr>
        <w:numId w:val="1"/>
      </w:numPr>
      <w:ind w:left="317" w:hanging="317"/>
      <w:jc w:val="both"/>
    </w:pPr>
    <w:rPr>
      <w:rFonts w:ascii="Arial" w:hAnsi="Arial" w:cs="Arial"/>
      <w:iCs/>
    </w:rPr>
  </w:style>
  <w:style w:type="table" w:styleId="Grilledutableau">
    <w:name w:val="Table Grid"/>
    <w:basedOn w:val="TableauNormal"/>
    <w:rsid w:val="004865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TNoteetsource">
    <w:name w:val="STAT Note et source"/>
    <w:basedOn w:val="STATTitre1"/>
    <w:qFormat/>
    <w:rsid w:val="00DA00C8"/>
    <w:pPr>
      <w:spacing w:before="60" w:beforeAutospacing="0" w:after="60" w:line="240" w:lineRule="auto"/>
    </w:pPr>
    <w:rPr>
      <w:rFonts w:ascii="Arial" w:hAnsi="Arial" w:cs="Arial"/>
      <w:i/>
      <w:sz w:val="18"/>
      <w:szCs w:val="18"/>
    </w:rPr>
  </w:style>
  <w:style w:type="paragraph" w:customStyle="1" w:styleId="STATLegende">
    <w:name w:val="STAT Legende"/>
    <w:basedOn w:val="STATTitre2"/>
    <w:qFormat/>
    <w:rsid w:val="00A96323"/>
    <w:pPr>
      <w:spacing w:before="60" w:after="20"/>
    </w:pPr>
    <w:rPr>
      <w:rFonts w:ascii="Arial" w:hAnsi="Arial" w:cs="Arial"/>
      <w:b w:val="0"/>
      <w:sz w:val="12"/>
      <w:szCs w:val="12"/>
    </w:rPr>
  </w:style>
  <w:style w:type="paragraph" w:customStyle="1" w:styleId="STATTitre2centr">
    <w:name w:val="STAT Titre 2 centré"/>
    <w:basedOn w:val="STATTitre2"/>
    <w:qFormat/>
    <w:rsid w:val="006E625C"/>
    <w:pPr>
      <w:spacing w:before="0" w:after="600"/>
      <w:jc w:val="center"/>
    </w:pPr>
  </w:style>
  <w:style w:type="paragraph" w:customStyle="1" w:styleId="STATTitreGraph">
    <w:name w:val="STAT Titre Graph"/>
    <w:qFormat/>
    <w:rsid w:val="00FF0502"/>
    <w:pPr>
      <w:ind w:left="113" w:right="113"/>
    </w:pPr>
    <w:rPr>
      <w:rFonts w:ascii="Arial" w:hAnsi="Arial" w:cs="Arial"/>
      <w:b/>
      <w:bCs/>
      <w:color w:val="547889"/>
      <w:w w:val="80"/>
      <w:sz w:val="22"/>
      <w:szCs w:val="18"/>
    </w:rPr>
  </w:style>
  <w:style w:type="paragraph" w:customStyle="1" w:styleId="STATSTITRE">
    <w:name w:val="STAT S/TITRE"/>
    <w:basedOn w:val="STATTitre2"/>
    <w:qFormat/>
    <w:rsid w:val="00263430"/>
    <w:pPr>
      <w:tabs>
        <w:tab w:val="right" w:pos="9639"/>
      </w:tabs>
    </w:pPr>
  </w:style>
  <w:style w:type="character" w:styleId="Lienhypertexte">
    <w:name w:val="Hyperlink"/>
    <w:basedOn w:val="Policepardfaut"/>
    <w:uiPriority w:val="99"/>
    <w:unhideWhenUsed/>
    <w:rsid w:val="00AD1599"/>
    <w:rPr>
      <w:color w:val="0000FF" w:themeColor="hyperlink"/>
      <w:u w:val="single"/>
    </w:rPr>
  </w:style>
  <w:style w:type="character" w:styleId="Lienhypertextesuivivisit">
    <w:name w:val="FollowedHyperlink"/>
    <w:basedOn w:val="Policepardfaut"/>
    <w:unhideWhenUsed/>
    <w:rsid w:val="00AD1599"/>
    <w:rPr>
      <w:color w:val="800080" w:themeColor="followedHyperlink"/>
      <w:u w:val="single"/>
    </w:rPr>
  </w:style>
  <w:style w:type="numbering" w:customStyle="1" w:styleId="Pucegale">
    <w:name w:val="Puce égale"/>
    <w:uiPriority w:val="99"/>
    <w:rsid w:val="00645DDB"/>
    <w:pPr>
      <w:numPr>
        <w:numId w:val="2"/>
      </w:numPr>
    </w:pPr>
  </w:style>
  <w:style w:type="numbering" w:customStyle="1" w:styleId="PuceBaisse">
    <w:name w:val="Puce Baisse"/>
    <w:uiPriority w:val="99"/>
    <w:rsid w:val="00645DDB"/>
    <w:pPr>
      <w:numPr>
        <w:numId w:val="3"/>
      </w:numPr>
    </w:pPr>
  </w:style>
  <w:style w:type="paragraph" w:customStyle="1" w:styleId="Paragraphestandard">
    <w:name w:val="[Paragraphe standard]"/>
    <w:basedOn w:val="Normal"/>
    <w:uiPriority w:val="99"/>
    <w:rsid w:val="00EF7A72"/>
    <w:pPr>
      <w:autoSpaceDE w:val="0"/>
      <w:autoSpaceDN w:val="0"/>
      <w:adjustRightInd w:val="0"/>
      <w:spacing w:line="288" w:lineRule="auto"/>
      <w:textAlignment w:val="center"/>
    </w:pPr>
    <w:rPr>
      <w:color w:val="000000"/>
      <w:sz w:val="24"/>
      <w:szCs w:val="24"/>
    </w:rPr>
  </w:style>
  <w:style w:type="character" w:customStyle="1" w:styleId="PieddepageCar">
    <w:name w:val="Pied de page Car"/>
    <w:basedOn w:val="Policepardfaut"/>
    <w:link w:val="Pieddepage"/>
    <w:semiHidden/>
    <w:rsid w:val="009338D4"/>
  </w:style>
  <w:style w:type="character" w:customStyle="1" w:styleId="CorpsdetexteCar">
    <w:name w:val="Corps de texte Car"/>
    <w:basedOn w:val="Policepardfaut"/>
    <w:link w:val="Corpsdetexte"/>
    <w:semiHidden/>
    <w:rsid w:val="007E2D26"/>
    <w:rPr>
      <w:sz w:val="22"/>
      <w:szCs w:val="22"/>
    </w:rPr>
  </w:style>
  <w:style w:type="paragraph" w:customStyle="1" w:styleId="STATChapeau">
    <w:name w:val="STAT Chapeau"/>
    <w:qFormat/>
    <w:rsid w:val="00357916"/>
    <w:pPr>
      <w:spacing w:before="120" w:after="100" w:afterAutospacing="1"/>
      <w:ind w:left="57"/>
    </w:pPr>
    <w:rPr>
      <w:rFonts w:ascii="Arial" w:hAnsi="Arial" w:cs="Arial"/>
      <w:b/>
      <w:bCs/>
      <w:w w:val="95"/>
      <w:sz w:val="24"/>
      <w:szCs w:val="24"/>
    </w:rPr>
  </w:style>
  <w:style w:type="paragraph" w:customStyle="1" w:styleId="STATlienSommaire">
    <w:name w:val="STAT lien Sommaire"/>
    <w:qFormat/>
    <w:rsid w:val="00E001FC"/>
    <w:pPr>
      <w:spacing w:before="120" w:after="100" w:afterAutospacing="1"/>
      <w:ind w:left="57"/>
    </w:pPr>
    <w:rPr>
      <w:rFonts w:ascii="Arial" w:hAnsi="Arial" w:cs="Arial"/>
      <w:b/>
      <w:bCs/>
      <w:color w:val="547889"/>
      <w:w w:val="90"/>
      <w:sz w:val="16"/>
      <w:szCs w:val="16"/>
      <w:u w:val="single"/>
    </w:rPr>
  </w:style>
  <w:style w:type="paragraph" w:customStyle="1" w:styleId="STATLienTexte">
    <w:name w:val="STAT Lien Texte"/>
    <w:basedOn w:val="STATlienSommaire"/>
    <w:qFormat/>
    <w:rsid w:val="00E001FC"/>
    <w:rPr>
      <w:w w:val="100"/>
    </w:rPr>
  </w:style>
  <w:style w:type="paragraph" w:customStyle="1" w:styleId="Style1">
    <w:name w:val="Style1"/>
    <w:qFormat/>
    <w:rsid w:val="00093554"/>
    <w:rPr>
      <w:rFonts w:ascii="Arial" w:hAnsi="Arial" w:cs="Arial"/>
      <w:bCs/>
      <w:color w:val="547889"/>
      <w:sz w:val="22"/>
      <w:szCs w:val="18"/>
    </w:rPr>
  </w:style>
  <w:style w:type="paragraph" w:customStyle="1" w:styleId="STATSous-TitreGraph">
    <w:name w:val="STAT Sous-Titre Graph"/>
    <w:qFormat/>
    <w:rsid w:val="00FF0502"/>
    <w:rPr>
      <w:rFonts w:ascii="Arial" w:hAnsi="Arial" w:cs="Arial"/>
      <w:bCs/>
      <w:color w:val="547889"/>
      <w:sz w:val="16"/>
      <w:szCs w:val="16"/>
    </w:rPr>
  </w:style>
  <w:style w:type="paragraph" w:customStyle="1" w:styleId="STATSous-TitreGraphCentr">
    <w:name w:val="STAT Sous-Titre Graph Centré"/>
    <w:qFormat/>
    <w:rsid w:val="00093554"/>
    <w:pPr>
      <w:jc w:val="center"/>
    </w:pPr>
    <w:rPr>
      <w:rFonts w:ascii="Arial" w:hAnsi="Arial" w:cs="Arial"/>
      <w:bCs/>
      <w:color w:val="547889"/>
      <w:sz w:val="22"/>
      <w:szCs w:val="18"/>
    </w:rPr>
  </w:style>
  <w:style w:type="paragraph" w:customStyle="1" w:styleId="STATtexteCourantGras">
    <w:name w:val="STAT  texte Courant Gras"/>
    <w:basedOn w:val="STATTexteCourant"/>
    <w:qFormat/>
    <w:rsid w:val="00FF0502"/>
    <w:rPr>
      <w:b/>
    </w:rPr>
  </w:style>
  <w:style w:type="paragraph" w:customStyle="1" w:styleId="STATTitreCartoucheChapitre">
    <w:name w:val="STAT Titre Cartouche Chapitre"/>
    <w:qFormat/>
    <w:rsid w:val="00FF0502"/>
    <w:pPr>
      <w:ind w:left="57"/>
    </w:pPr>
    <w:rPr>
      <w:rFonts w:ascii="Arial" w:hAnsi="Arial" w:cs="Arial"/>
      <w:b/>
      <w:bCs/>
      <w:color w:val="FFFFFF" w:themeColor="background1"/>
      <w:sz w:val="24"/>
      <w:szCs w:val="24"/>
    </w:rPr>
  </w:style>
  <w:style w:type="character" w:customStyle="1" w:styleId="Titre4Car">
    <w:name w:val="Titre 4 Car"/>
    <w:basedOn w:val="Policepardfaut"/>
    <w:link w:val="Titre4"/>
    <w:uiPriority w:val="9"/>
    <w:semiHidden/>
    <w:rsid w:val="00CE3E76"/>
    <w:rPr>
      <w:rFonts w:asciiTheme="majorHAnsi" w:eastAsiaTheme="majorEastAsia" w:hAnsiTheme="majorHAnsi" w:cstheme="majorBidi"/>
      <w:b/>
      <w:bCs/>
      <w:i/>
      <w:iCs/>
      <w:color w:val="4F81BD" w:themeColor="accent1"/>
    </w:rPr>
  </w:style>
  <w:style w:type="character" w:customStyle="1" w:styleId="Titre9Car">
    <w:name w:val="Titre 9 Car"/>
    <w:basedOn w:val="Policepardfaut"/>
    <w:link w:val="Titre9"/>
    <w:uiPriority w:val="9"/>
    <w:semiHidden/>
    <w:rsid w:val="00CE3E76"/>
    <w:rPr>
      <w:rFonts w:asciiTheme="majorHAnsi" w:eastAsiaTheme="majorEastAsia" w:hAnsiTheme="majorHAnsi" w:cstheme="majorBidi"/>
      <w:i/>
      <w:iCs/>
      <w:color w:val="404040" w:themeColor="text1" w:themeTint="BF"/>
    </w:rPr>
  </w:style>
  <w:style w:type="character" w:customStyle="1" w:styleId="Titre5Car">
    <w:name w:val="Titre 5 Car"/>
    <w:basedOn w:val="Policepardfaut"/>
    <w:link w:val="Titre5"/>
    <w:rsid w:val="00CE3E76"/>
    <w:rPr>
      <w:b/>
      <w:bCs/>
      <w:i/>
      <w:iCs/>
      <w:sz w:val="22"/>
      <w:szCs w:val="22"/>
    </w:rPr>
  </w:style>
  <w:style w:type="character" w:customStyle="1" w:styleId="Titre6Car">
    <w:name w:val="Titre 6 Car"/>
    <w:basedOn w:val="Policepardfaut"/>
    <w:link w:val="Titre6"/>
    <w:rsid w:val="00CE3E76"/>
    <w:rPr>
      <w:rFonts w:ascii="Arial Black" w:hAnsi="Arial Black"/>
      <w:i/>
      <w:iCs/>
      <w:sz w:val="32"/>
      <w:szCs w:val="32"/>
    </w:rPr>
  </w:style>
  <w:style w:type="character" w:customStyle="1" w:styleId="Titre7Car">
    <w:name w:val="Titre 7 Car"/>
    <w:basedOn w:val="Policepardfaut"/>
    <w:link w:val="Titre7"/>
    <w:rsid w:val="00CE3E76"/>
    <w:rPr>
      <w:rFonts w:ascii="Arial" w:hAnsi="Arial" w:cs="Arial"/>
      <w:b/>
      <w:bCs/>
      <w:spacing w:val="-2"/>
      <w:sz w:val="16"/>
      <w:szCs w:val="16"/>
      <w:lang w:val="en-US"/>
    </w:rPr>
  </w:style>
  <w:style w:type="character" w:customStyle="1" w:styleId="Titre8Car">
    <w:name w:val="Titre 8 Car"/>
    <w:basedOn w:val="Policepardfaut"/>
    <w:link w:val="Titre8"/>
    <w:rsid w:val="00CE3E76"/>
    <w:rPr>
      <w:rFonts w:ascii="Arial" w:hAnsi="Arial" w:cs="Arial"/>
      <w:b/>
      <w:bCs/>
      <w:spacing w:val="-4"/>
      <w:sz w:val="18"/>
      <w:szCs w:val="18"/>
    </w:rPr>
  </w:style>
  <w:style w:type="paragraph" w:styleId="Retraitcorpsdetexte">
    <w:name w:val="Body Text Indent"/>
    <w:basedOn w:val="Normal"/>
    <w:link w:val="RetraitcorpsdetexteCar"/>
    <w:rsid w:val="00CE3E76"/>
    <w:pPr>
      <w:tabs>
        <w:tab w:val="left" w:pos="2410"/>
      </w:tabs>
      <w:spacing w:before="40" w:after="40"/>
      <w:ind w:left="1134"/>
    </w:pPr>
    <w:rPr>
      <w:rFonts w:ascii="Arial" w:hAnsi="Arial" w:cs="Arial"/>
      <w:sz w:val="18"/>
      <w:szCs w:val="18"/>
    </w:rPr>
  </w:style>
  <w:style w:type="character" w:customStyle="1" w:styleId="RetraitcorpsdetexteCar">
    <w:name w:val="Retrait corps de texte Car"/>
    <w:basedOn w:val="Policepardfaut"/>
    <w:link w:val="Retraitcorpsdetexte"/>
    <w:rsid w:val="00CE3E76"/>
    <w:rPr>
      <w:rFonts w:ascii="Arial" w:hAnsi="Arial" w:cs="Arial"/>
      <w:sz w:val="18"/>
      <w:szCs w:val="18"/>
    </w:rPr>
  </w:style>
  <w:style w:type="paragraph" w:customStyle="1" w:styleId="titre1fiche">
    <w:name w:val="titre1 fiche"/>
    <w:basedOn w:val="Titre3"/>
    <w:rsid w:val="00CE3E76"/>
    <w:pPr>
      <w:tabs>
        <w:tab w:val="left" w:pos="737"/>
      </w:tabs>
      <w:spacing w:before="240" w:beforeAutospacing="0" w:after="240" w:line="240" w:lineRule="auto"/>
      <w:ind w:left="284" w:hanging="284"/>
    </w:pPr>
    <w:rPr>
      <w:rFonts w:ascii="Arial" w:hAnsi="Arial" w:cs="Arial"/>
      <w:b/>
      <w:bCs/>
      <w:iCs w:val="0"/>
      <w:color w:val="auto"/>
      <w:sz w:val="24"/>
      <w:szCs w:val="24"/>
    </w:rPr>
  </w:style>
  <w:style w:type="paragraph" w:customStyle="1" w:styleId="Style2">
    <w:name w:val="Style 2"/>
    <w:basedOn w:val="Normal"/>
    <w:rsid w:val="00CE3E76"/>
    <w:pPr>
      <w:widowControl w:val="0"/>
    </w:pPr>
    <w:rPr>
      <w:snapToGrid w:val="0"/>
      <w:sz w:val="24"/>
      <w:szCs w:val="24"/>
    </w:rPr>
  </w:style>
  <w:style w:type="paragraph" w:customStyle="1" w:styleId="Style10">
    <w:name w:val="Style 1"/>
    <w:basedOn w:val="Normal"/>
    <w:rsid w:val="00CE3E76"/>
    <w:pPr>
      <w:widowControl w:val="0"/>
      <w:spacing w:line="324" w:lineRule="atLeast"/>
      <w:jc w:val="center"/>
    </w:pPr>
    <w:rPr>
      <w:snapToGrid w:val="0"/>
      <w:sz w:val="24"/>
      <w:szCs w:val="24"/>
    </w:rPr>
  </w:style>
  <w:style w:type="paragraph" w:customStyle="1" w:styleId="Style3">
    <w:name w:val="Style 3"/>
    <w:basedOn w:val="Normal"/>
    <w:rsid w:val="00CE3E76"/>
    <w:pPr>
      <w:widowControl w:val="0"/>
      <w:spacing w:before="108" w:after="180" w:line="216" w:lineRule="atLeast"/>
      <w:ind w:left="144"/>
    </w:pPr>
    <w:rPr>
      <w:snapToGrid w:val="0"/>
      <w:sz w:val="24"/>
      <w:szCs w:val="24"/>
    </w:rPr>
  </w:style>
  <w:style w:type="paragraph" w:styleId="Retraitcorpsdetexte2">
    <w:name w:val="Body Text Indent 2"/>
    <w:basedOn w:val="Normal"/>
    <w:link w:val="Retraitcorpsdetexte2Car"/>
    <w:rsid w:val="00CE3E76"/>
    <w:pPr>
      <w:ind w:left="57"/>
    </w:pPr>
    <w:rPr>
      <w:rFonts w:ascii="Arial" w:hAnsi="Arial" w:cs="Arial"/>
      <w:spacing w:val="-4"/>
      <w:sz w:val="15"/>
      <w:szCs w:val="15"/>
    </w:rPr>
  </w:style>
  <w:style w:type="character" w:customStyle="1" w:styleId="Retraitcorpsdetexte2Car">
    <w:name w:val="Retrait corps de texte 2 Car"/>
    <w:basedOn w:val="Policepardfaut"/>
    <w:link w:val="Retraitcorpsdetexte2"/>
    <w:rsid w:val="00CE3E76"/>
    <w:rPr>
      <w:rFonts w:ascii="Arial" w:hAnsi="Arial" w:cs="Arial"/>
      <w:spacing w:val="-4"/>
      <w:sz w:val="15"/>
      <w:szCs w:val="15"/>
    </w:rPr>
  </w:style>
  <w:style w:type="paragraph" w:customStyle="1" w:styleId="ref">
    <w:name w:val="ref."/>
    <w:basedOn w:val="Normal"/>
    <w:rsid w:val="00CE3E76"/>
    <w:rPr>
      <w:rFonts w:ascii="Univers" w:hAnsi="Univers"/>
      <w:sz w:val="14"/>
    </w:rPr>
  </w:style>
  <w:style w:type="paragraph" w:styleId="Lgende">
    <w:name w:val="caption"/>
    <w:basedOn w:val="Normal"/>
    <w:next w:val="Normal"/>
    <w:uiPriority w:val="35"/>
    <w:qFormat/>
    <w:rsid w:val="00CE3E76"/>
    <w:pPr>
      <w:jc w:val="right"/>
    </w:pPr>
    <w:rPr>
      <w:rFonts w:ascii="Courier" w:hAnsi="Courier"/>
      <w:i/>
      <w:sz w:val="16"/>
    </w:rPr>
  </w:style>
  <w:style w:type="table" w:customStyle="1" w:styleId="Grilledutableau1">
    <w:name w:val="Grille du tableau1"/>
    <w:basedOn w:val="TableauNormal"/>
    <w:next w:val="Grilledutableau"/>
    <w:rsid w:val="00CE3E76"/>
    <w:pPr>
      <w:ind w:firstLine="680"/>
      <w:jc w:val="both"/>
    </w:pPr>
    <w:rPr>
      <w:rFonts w:ascii="Courier" w:hAnsi="Courie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Policepardfaut"/>
    <w:rsid w:val="00CE3E76"/>
  </w:style>
  <w:style w:type="table" w:styleId="Grilledetableau3">
    <w:name w:val="Table Grid 3"/>
    <w:basedOn w:val="TableauNormal"/>
    <w:rsid w:val="00CE3E7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1">
    <w:name w:val="Table Grid 1"/>
    <w:basedOn w:val="TableauNormal"/>
    <w:rsid w:val="00CE3E7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Default">
    <w:name w:val="Default"/>
    <w:rsid w:val="00586D92"/>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030A25"/>
    <w:pPr>
      <w:spacing w:before="100" w:beforeAutospacing="1" w:after="100" w:afterAutospacing="1"/>
    </w:pPr>
    <w:rPr>
      <w:sz w:val="24"/>
      <w:szCs w:val="24"/>
    </w:rPr>
  </w:style>
  <w:style w:type="paragraph" w:styleId="Sansinterligne">
    <w:name w:val="No Spacing"/>
    <w:uiPriority w:val="1"/>
    <w:qFormat/>
    <w:rsid w:val="00030A25"/>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90938">
      <w:bodyDiv w:val="1"/>
      <w:marLeft w:val="0"/>
      <w:marRight w:val="0"/>
      <w:marTop w:val="0"/>
      <w:marBottom w:val="0"/>
      <w:divBdr>
        <w:top w:val="none" w:sz="0" w:space="0" w:color="auto"/>
        <w:left w:val="none" w:sz="0" w:space="0" w:color="auto"/>
        <w:bottom w:val="none" w:sz="0" w:space="0" w:color="auto"/>
        <w:right w:val="none" w:sz="0" w:space="0" w:color="auto"/>
      </w:divBdr>
    </w:div>
    <w:div w:id="643779816">
      <w:bodyDiv w:val="1"/>
      <w:marLeft w:val="0"/>
      <w:marRight w:val="0"/>
      <w:marTop w:val="0"/>
      <w:marBottom w:val="0"/>
      <w:divBdr>
        <w:top w:val="none" w:sz="0" w:space="0" w:color="auto"/>
        <w:left w:val="none" w:sz="0" w:space="0" w:color="auto"/>
        <w:bottom w:val="none" w:sz="0" w:space="0" w:color="auto"/>
        <w:right w:val="none" w:sz="0" w:space="0" w:color="auto"/>
      </w:divBdr>
    </w:div>
    <w:div w:id="792674138">
      <w:bodyDiv w:val="1"/>
      <w:marLeft w:val="0"/>
      <w:marRight w:val="0"/>
      <w:marTop w:val="0"/>
      <w:marBottom w:val="0"/>
      <w:divBdr>
        <w:top w:val="none" w:sz="0" w:space="0" w:color="auto"/>
        <w:left w:val="none" w:sz="0" w:space="0" w:color="auto"/>
        <w:bottom w:val="none" w:sz="0" w:space="0" w:color="auto"/>
        <w:right w:val="none" w:sz="0" w:space="0" w:color="auto"/>
      </w:divBdr>
    </w:div>
    <w:div w:id="941107605">
      <w:bodyDiv w:val="1"/>
      <w:marLeft w:val="0"/>
      <w:marRight w:val="0"/>
      <w:marTop w:val="0"/>
      <w:marBottom w:val="0"/>
      <w:divBdr>
        <w:top w:val="none" w:sz="0" w:space="0" w:color="auto"/>
        <w:left w:val="none" w:sz="0" w:space="0" w:color="auto"/>
        <w:bottom w:val="none" w:sz="0" w:space="0" w:color="auto"/>
        <w:right w:val="none" w:sz="0" w:space="0" w:color="auto"/>
      </w:divBdr>
    </w:div>
    <w:div w:id="99006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ec.europa.eu/eurostat/documents/3859598/5925693/KS-02-13-269-EN.PDF.pdf/44cd9d01-bc64-40e5-bd40-d17df0c69334?t=1414781932000" TargetMode="External"/><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oter" Target="footer1.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3.png"/></Relationships>
</file>

<file path=word/_rels/footer3.xml.rels><?xml version="1.0" encoding="UTF-8" standalone="yes"?>
<Relationships xmlns="http://schemas.openxmlformats.org/package/2006/relationships"><Relationship Id="rId1" Type="http://schemas.openxmlformats.org/officeDocument/2006/relationships/image" Target="media/image23.png"/></Relationships>
</file>

<file path=word/_rels/footnotes.xml.rels><?xml version="1.0" encoding="UTF-8" standalone="yes"?>
<Relationships xmlns="http://schemas.openxmlformats.org/package/2006/relationships"><Relationship Id="rId3" Type="http://schemas.openxmlformats.org/officeDocument/2006/relationships/hyperlink" Target="https://www.banque-france.fr/en/statistics/savings-and-national-financial-accounts/financial-accounts/financial-accounts-and-financial-balance-sheets/national-financial-accounts-time-series" TargetMode="External"/><Relationship Id="rId7" Type="http://schemas.openxmlformats.org/officeDocument/2006/relationships/hyperlink" Target="https://webstat.banque-france.fr/ws_wsen/downloadFile.do?id=51052" TargetMode="External"/><Relationship Id="rId2" Type="http://schemas.openxmlformats.org/officeDocument/2006/relationships/hyperlink" Target="https://webstat.banque-france.fr/ws_wsen/downloadFile.do?id=12051" TargetMode="External"/><Relationship Id="rId1" Type="http://schemas.openxmlformats.org/officeDocument/2006/relationships/hyperlink" Target="https://webstat.banque-france.fr/en/" TargetMode="External"/><Relationship Id="rId6" Type="http://schemas.openxmlformats.org/officeDocument/2006/relationships/hyperlink" Target="https://webstat.banque-france.fr/en/" TargetMode="External"/><Relationship Id="rId5" Type="http://schemas.openxmlformats.org/officeDocument/2006/relationships/hyperlink" Target="https://www.banque-france.fr/sites/default/files/media/2021/02/22/methode_si_endettementanf_en_maj_2020.pdf" TargetMode="External"/><Relationship Id="rId4" Type="http://schemas.openxmlformats.org/officeDocument/2006/relationships/hyperlink" Target="https://www.banque-france.fr/en/statistics/loans/debt-and-securities/debt-ratios-institutional-sectors-international-comparisons"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FE1303-2826-46AC-9A3C-76024E3C1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6412</Words>
  <Characters>35270</Characters>
  <Application>Microsoft Office Word</Application>
  <DocSecurity>0</DocSecurity>
  <Lines>293</Lines>
  <Paragraphs>83</Paragraphs>
  <ScaleCrop>false</ScaleCrop>
  <HeadingPairs>
    <vt:vector size="2" baseType="variant">
      <vt:variant>
        <vt:lpstr>Titre</vt:lpstr>
      </vt:variant>
      <vt:variant>
        <vt:i4>1</vt:i4>
      </vt:variant>
    </vt:vector>
  </HeadingPairs>
  <TitlesOfParts>
    <vt:vector size="1" baseType="lpstr">
      <vt:lpstr>Stat Info</vt:lpstr>
    </vt:vector>
  </TitlesOfParts>
  <Company>Banque de France</Company>
  <LinksUpToDate>false</LinksUpToDate>
  <CharactersWithSpaces>41599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 Info</dc:title>
  <dc:creator>Marina RANDRIAMISAINA</dc:creator>
  <cp:lastModifiedBy>FONTAINE Gabriel (DGSEI DSMF)</cp:lastModifiedBy>
  <cp:revision>2</cp:revision>
  <cp:lastPrinted>2018-10-31T10:25:00Z</cp:lastPrinted>
  <dcterms:created xsi:type="dcterms:W3CDTF">2023-10-20T15:31:00Z</dcterms:created>
  <dcterms:modified xsi:type="dcterms:W3CDTF">2023-10-20T15:31:00Z</dcterms:modified>
</cp:coreProperties>
</file>