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08C" w:rsidRDefault="0021308C" w:rsidP="0021308C">
      <w:pPr>
        <w:autoSpaceDE w:val="0"/>
        <w:autoSpaceDN w:val="0"/>
        <w:adjustRightInd w:val="0"/>
        <w:spacing w:after="0" w:line="240" w:lineRule="auto"/>
        <w:ind w:left="1134" w:firstLine="1134"/>
        <w:jc w:val="right"/>
        <w:rPr>
          <w:rFonts w:ascii="Times New Roman" w:hAnsi="Times New Roman" w:cs="Times New Roman"/>
          <w:color w:val="000000"/>
          <w:sz w:val="24"/>
          <w:szCs w:val="24"/>
        </w:rPr>
      </w:pPr>
    </w:p>
    <w:p w:rsidR="0021308C" w:rsidRDefault="0021308C" w:rsidP="0021308C">
      <w:pPr>
        <w:autoSpaceDE w:val="0"/>
        <w:autoSpaceDN w:val="0"/>
        <w:adjustRightInd w:val="0"/>
        <w:spacing w:after="0" w:line="240" w:lineRule="auto"/>
        <w:ind w:left="1134" w:firstLine="1134"/>
        <w:jc w:val="right"/>
        <w:rPr>
          <w:rFonts w:ascii="Times New Roman" w:hAnsi="Times New Roman" w:cs="Times New Roman"/>
          <w:color w:val="000000"/>
          <w:sz w:val="24"/>
          <w:szCs w:val="24"/>
        </w:rPr>
      </w:pPr>
    </w:p>
    <w:p w:rsidR="0021308C" w:rsidRPr="00194749" w:rsidRDefault="0021308C" w:rsidP="0021308C">
      <w:pPr>
        <w:autoSpaceDE w:val="0"/>
        <w:autoSpaceDN w:val="0"/>
        <w:adjustRightInd w:val="0"/>
        <w:spacing w:after="0" w:line="240" w:lineRule="auto"/>
        <w:ind w:left="1134" w:firstLine="1134"/>
        <w:jc w:val="right"/>
        <w:rPr>
          <w:rFonts w:ascii="Times New Roman" w:hAnsi="Times New Roman" w:cs="Times New Roman"/>
          <w:color w:val="000000"/>
          <w:sz w:val="24"/>
          <w:szCs w:val="24"/>
        </w:rPr>
      </w:pPr>
      <w:r w:rsidRPr="00194749">
        <w:rPr>
          <w:rFonts w:ascii="Times New Roman" w:hAnsi="Times New Roman" w:cs="Times New Roman"/>
          <w:color w:val="000000"/>
          <w:sz w:val="24"/>
          <w:szCs w:val="24"/>
        </w:rPr>
        <w:t>Annexe 1</w:t>
      </w:r>
      <w:r>
        <w:rPr>
          <w:rFonts w:ascii="Times New Roman" w:hAnsi="Times New Roman" w:cs="Times New Roman"/>
          <w:color w:val="000000"/>
          <w:sz w:val="24"/>
          <w:szCs w:val="24"/>
        </w:rPr>
        <w:t xml:space="preserve"> </w:t>
      </w:r>
    </w:p>
    <w:p w:rsidR="0021308C" w:rsidRPr="00194749" w:rsidRDefault="0021308C" w:rsidP="0021308C">
      <w:pPr>
        <w:autoSpaceDE w:val="0"/>
        <w:autoSpaceDN w:val="0"/>
        <w:adjustRightInd w:val="0"/>
        <w:spacing w:after="0" w:line="240" w:lineRule="auto"/>
        <w:ind w:left="1134" w:firstLine="1134"/>
        <w:rPr>
          <w:rFonts w:ascii="Times New Roman" w:hAnsi="Times New Roman" w:cs="Times New Roman"/>
          <w:b/>
          <w:bCs/>
          <w:color w:val="000000"/>
          <w:sz w:val="24"/>
          <w:szCs w:val="24"/>
        </w:rPr>
      </w:pPr>
    </w:p>
    <w:p w:rsidR="0021308C" w:rsidRPr="009C1695" w:rsidRDefault="0021308C" w:rsidP="0021308C">
      <w:pPr>
        <w:autoSpaceDE w:val="0"/>
        <w:autoSpaceDN w:val="0"/>
        <w:adjustRightInd w:val="0"/>
        <w:spacing w:after="0" w:line="240" w:lineRule="auto"/>
        <w:ind w:left="1134"/>
        <w:jc w:val="center"/>
        <w:rPr>
          <w:rFonts w:ascii="Times New Roman" w:hAnsi="Times New Roman" w:cs="Times New Roman"/>
          <w:b/>
          <w:bCs/>
          <w:color w:val="000000"/>
          <w:sz w:val="24"/>
          <w:szCs w:val="24"/>
        </w:rPr>
      </w:pPr>
      <w:r w:rsidRPr="009C1695">
        <w:rPr>
          <w:rFonts w:ascii="Times New Roman" w:hAnsi="Times New Roman" w:cs="Times New Roman"/>
          <w:b/>
          <w:bCs/>
          <w:color w:val="000000"/>
          <w:sz w:val="24"/>
          <w:szCs w:val="24"/>
        </w:rPr>
        <w:t>Liste des documents à joindre</w:t>
      </w:r>
    </w:p>
    <w:p w:rsidR="0021308C" w:rsidRPr="009C1695" w:rsidRDefault="0021308C" w:rsidP="0021308C">
      <w:pPr>
        <w:autoSpaceDE w:val="0"/>
        <w:autoSpaceDN w:val="0"/>
        <w:adjustRightInd w:val="0"/>
        <w:spacing w:after="0" w:line="240" w:lineRule="auto"/>
        <w:ind w:left="1134"/>
        <w:jc w:val="center"/>
        <w:rPr>
          <w:rFonts w:ascii="Times New Roman" w:hAnsi="Times New Roman" w:cs="Times New Roman"/>
          <w:b/>
          <w:bCs/>
          <w:color w:val="000000"/>
          <w:sz w:val="24"/>
          <w:szCs w:val="24"/>
        </w:rPr>
      </w:pPr>
      <w:proofErr w:type="gramStart"/>
      <w:r w:rsidRPr="009C1695">
        <w:rPr>
          <w:rFonts w:ascii="Times New Roman" w:hAnsi="Times New Roman" w:cs="Times New Roman"/>
          <w:b/>
          <w:bCs/>
          <w:color w:val="000000"/>
          <w:sz w:val="24"/>
          <w:szCs w:val="24"/>
        </w:rPr>
        <w:t>au</w:t>
      </w:r>
      <w:proofErr w:type="gramEnd"/>
      <w:r w:rsidRPr="009C1695">
        <w:rPr>
          <w:rFonts w:ascii="Times New Roman" w:hAnsi="Times New Roman" w:cs="Times New Roman"/>
          <w:b/>
          <w:bCs/>
          <w:color w:val="000000"/>
          <w:sz w:val="24"/>
          <w:szCs w:val="24"/>
        </w:rPr>
        <w:t xml:space="preserve"> dossier de demande d’autorisation d’application</w:t>
      </w:r>
    </w:p>
    <w:p w:rsidR="0021308C" w:rsidRPr="009C1695" w:rsidRDefault="0021308C" w:rsidP="0021308C">
      <w:pPr>
        <w:autoSpaceDE w:val="0"/>
        <w:autoSpaceDN w:val="0"/>
        <w:adjustRightInd w:val="0"/>
        <w:spacing w:after="0" w:line="240" w:lineRule="auto"/>
        <w:ind w:left="1134"/>
        <w:jc w:val="center"/>
        <w:rPr>
          <w:rFonts w:ascii="Times New Roman" w:hAnsi="Times New Roman" w:cs="Times New Roman"/>
          <w:b/>
          <w:bCs/>
          <w:color w:val="000000"/>
          <w:sz w:val="24"/>
          <w:szCs w:val="24"/>
        </w:rPr>
      </w:pPr>
      <w:proofErr w:type="gramStart"/>
      <w:r w:rsidRPr="009C1695">
        <w:rPr>
          <w:rFonts w:ascii="Times New Roman" w:hAnsi="Times New Roman" w:cs="Times New Roman"/>
          <w:b/>
          <w:bCs/>
          <w:color w:val="000000"/>
          <w:sz w:val="24"/>
          <w:szCs w:val="24"/>
        </w:rPr>
        <w:t>de</w:t>
      </w:r>
      <w:proofErr w:type="gramEnd"/>
      <w:r w:rsidRPr="009C1695">
        <w:rPr>
          <w:rFonts w:ascii="Times New Roman" w:hAnsi="Times New Roman" w:cs="Times New Roman"/>
          <w:b/>
          <w:bCs/>
          <w:color w:val="000000"/>
          <w:sz w:val="24"/>
          <w:szCs w:val="24"/>
        </w:rPr>
        <w:t xml:space="preserve"> l’approche avancée du risque de liquidité</w:t>
      </w:r>
    </w:p>
    <w:p w:rsidR="0021308C" w:rsidRPr="009C1695" w:rsidRDefault="0021308C" w:rsidP="0021308C">
      <w:pPr>
        <w:autoSpaceDE w:val="0"/>
        <w:autoSpaceDN w:val="0"/>
        <w:adjustRightInd w:val="0"/>
        <w:spacing w:after="0" w:line="240" w:lineRule="auto"/>
        <w:ind w:left="1134" w:firstLine="1134"/>
        <w:jc w:val="center"/>
        <w:rPr>
          <w:rFonts w:ascii="Times New Roman" w:hAnsi="Times New Roman" w:cs="Times New Roman"/>
          <w:b/>
          <w:bCs/>
          <w:color w:val="000000"/>
          <w:sz w:val="24"/>
          <w:szCs w:val="24"/>
        </w:rPr>
      </w:pPr>
    </w:p>
    <w:p w:rsidR="0021308C" w:rsidRPr="009C1695" w:rsidRDefault="0021308C" w:rsidP="0021308C">
      <w:pPr>
        <w:autoSpaceDE w:val="0"/>
        <w:autoSpaceDN w:val="0"/>
        <w:adjustRightInd w:val="0"/>
        <w:spacing w:after="0" w:line="240" w:lineRule="auto"/>
        <w:ind w:left="1134" w:firstLine="1134"/>
        <w:jc w:val="center"/>
        <w:rPr>
          <w:rFonts w:ascii="Times New Roman" w:hAnsi="Times New Roman" w:cs="Times New Roman"/>
          <w:b/>
          <w:bCs/>
          <w:color w:val="000000"/>
          <w:sz w:val="24"/>
          <w:szCs w:val="24"/>
        </w:rPr>
      </w:pPr>
    </w:p>
    <w:p w:rsidR="0021308C" w:rsidRPr="009C1695" w:rsidRDefault="0021308C" w:rsidP="0021308C">
      <w:pPr>
        <w:pStyle w:val="Paragraphedeliste"/>
        <w:autoSpaceDE w:val="0"/>
        <w:autoSpaceDN w:val="0"/>
        <w:adjustRightInd w:val="0"/>
        <w:spacing w:after="0" w:line="240" w:lineRule="auto"/>
        <w:ind w:left="1134" w:firstLine="1134"/>
        <w:jc w:val="both"/>
        <w:rPr>
          <w:rFonts w:ascii="Times New Roman" w:hAnsi="Times New Roman" w:cs="Times New Roman"/>
          <w:b/>
          <w:bCs/>
          <w:color w:val="4F81BD" w:themeColor="accent1"/>
          <w:sz w:val="24"/>
          <w:szCs w:val="24"/>
        </w:rPr>
      </w:pPr>
      <w:r w:rsidRPr="009C1695">
        <w:rPr>
          <w:rFonts w:ascii="Times New Roman" w:hAnsi="Times New Roman" w:cs="Times New Roman"/>
          <w:b/>
          <w:bCs/>
          <w:color w:val="4F81BD" w:themeColor="accent1"/>
          <w:sz w:val="24"/>
          <w:szCs w:val="24"/>
        </w:rPr>
        <w:t xml:space="preserve">1) </w:t>
      </w:r>
      <w:r w:rsidRPr="008C6AAC">
        <w:rPr>
          <w:rFonts w:ascii="Times New Roman" w:hAnsi="Times New Roman" w:cs="Times New Roman"/>
          <w:b/>
          <w:bCs/>
          <w:color w:val="4F81BD" w:themeColor="accent1"/>
          <w:sz w:val="24"/>
          <w:szCs w:val="24"/>
          <w:u w:val="single"/>
        </w:rPr>
        <w:t>Les décisions prises concernant</w:t>
      </w:r>
      <w:r w:rsidRPr="009C1695">
        <w:rPr>
          <w:rFonts w:ascii="Times New Roman" w:hAnsi="Times New Roman" w:cs="Times New Roman"/>
          <w:b/>
          <w:bCs/>
          <w:color w:val="4F81BD" w:themeColor="accent1"/>
          <w:sz w:val="24"/>
          <w:szCs w:val="24"/>
        </w:rPr>
        <w:t xml:space="preserve"> :</w:t>
      </w:r>
    </w:p>
    <w:p w:rsidR="0021308C" w:rsidRPr="009C1695" w:rsidRDefault="0021308C" w:rsidP="0021308C">
      <w:pPr>
        <w:pStyle w:val="Paragraphedeliste"/>
        <w:autoSpaceDE w:val="0"/>
        <w:autoSpaceDN w:val="0"/>
        <w:adjustRightInd w:val="0"/>
        <w:spacing w:after="0" w:line="240" w:lineRule="auto"/>
        <w:ind w:left="1134" w:firstLine="1134"/>
        <w:jc w:val="both"/>
        <w:rPr>
          <w:rFonts w:ascii="Times New Roman" w:hAnsi="Times New Roman" w:cs="Times New Roman"/>
          <w:b/>
          <w:bCs/>
          <w:color w:val="4F81BD" w:themeColor="accent1"/>
          <w:sz w:val="24"/>
          <w:szCs w:val="24"/>
        </w:rPr>
      </w:pP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b/>
          <w:bCs/>
          <w:color w:val="000000"/>
          <w:sz w:val="24"/>
          <w:szCs w:val="24"/>
        </w:rPr>
        <w:t>le niveau de tolérance au risque</w:t>
      </w:r>
      <w:r w:rsidRPr="009C1695">
        <w:rPr>
          <w:rFonts w:ascii="Times New Roman" w:hAnsi="Times New Roman" w:cs="Times New Roman"/>
          <w:color w:val="000000"/>
          <w:sz w:val="24"/>
          <w:szCs w:val="24"/>
        </w:rPr>
        <w:t>, notamment l’horizon de survie retenu et les justifications de son caractère approprié en cas de crise, le cas échéant au regard de la nature systémique de l’entreprise assujettie ou du groupe ;</w:t>
      </w: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b/>
          <w:bCs/>
          <w:color w:val="000000"/>
          <w:sz w:val="24"/>
          <w:szCs w:val="24"/>
        </w:rPr>
        <w:t xml:space="preserve">la politique générale </w:t>
      </w:r>
      <w:r w:rsidRPr="009C1695">
        <w:rPr>
          <w:rFonts w:ascii="Times New Roman" w:hAnsi="Times New Roman" w:cs="Times New Roman"/>
          <w:color w:val="000000"/>
          <w:sz w:val="24"/>
          <w:szCs w:val="24"/>
        </w:rPr>
        <w:t>qui résulte du niveau de tolérance choisi, notamment les justifications de son caractère adapté à la taille et à la nature des activités de l’entreprise assujettie ou du groupe ;</w:t>
      </w: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b/>
          <w:bCs/>
          <w:color w:val="000000"/>
          <w:sz w:val="24"/>
          <w:szCs w:val="24"/>
        </w:rPr>
        <w:t xml:space="preserve">le périmètre de gestion </w:t>
      </w:r>
      <w:r w:rsidRPr="009C1695">
        <w:rPr>
          <w:rFonts w:ascii="Times New Roman" w:hAnsi="Times New Roman" w:cs="Times New Roman"/>
          <w:color w:val="000000"/>
          <w:sz w:val="24"/>
          <w:szCs w:val="24"/>
        </w:rPr>
        <w:t>et les sous-périmètres éventuels entendus comme les entités, zones géographiques, lignes d’activité ou lignes métiers sur lesquels, au sein du périmètre de gestion, peuvent être déclinées les limites globales ;</w:t>
      </w: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b/>
          <w:bCs/>
          <w:color w:val="000000"/>
          <w:sz w:val="24"/>
          <w:szCs w:val="24"/>
        </w:rPr>
        <w:t xml:space="preserve">les procédures, limites, systèmes et outils </w:t>
      </w:r>
      <w:r w:rsidRPr="009C1695">
        <w:rPr>
          <w:rFonts w:ascii="Times New Roman" w:hAnsi="Times New Roman" w:cs="Times New Roman"/>
          <w:color w:val="000000"/>
          <w:sz w:val="24"/>
          <w:szCs w:val="24"/>
        </w:rPr>
        <w:t>d’identification, de mesure, de gestion et de contrôle du risque de liquidité mis en œuvre dans le cadre de la politique générale ;</w:t>
      </w: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ainsi que les éléments sur la base desquels elles ont été prises et le procès-verbal des délibérations de l’organe de surveillance les concernant.</w:t>
      </w:r>
    </w:p>
    <w:p w:rsidR="0021308C"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Pr="009C1695" w:rsidRDefault="0021308C" w:rsidP="0021308C">
      <w:pPr>
        <w:pStyle w:val="Paragraphedeliste"/>
        <w:tabs>
          <w:tab w:val="left" w:pos="0"/>
        </w:tabs>
        <w:autoSpaceDE w:val="0"/>
        <w:autoSpaceDN w:val="0"/>
        <w:adjustRightInd w:val="0"/>
        <w:spacing w:after="0" w:line="240" w:lineRule="auto"/>
        <w:ind w:left="1134" w:firstLine="1134"/>
        <w:jc w:val="both"/>
        <w:rPr>
          <w:rFonts w:ascii="Times New Roman" w:hAnsi="Times New Roman" w:cs="Times New Roman"/>
          <w:color w:val="000000"/>
          <w:sz w:val="24"/>
          <w:szCs w:val="24"/>
        </w:rPr>
      </w:pPr>
      <w:r w:rsidRPr="009C1695">
        <w:rPr>
          <w:rFonts w:ascii="Times New Roman" w:hAnsi="Times New Roman" w:cs="Times New Roman"/>
          <w:b/>
          <w:bCs/>
          <w:color w:val="205AA8"/>
          <w:sz w:val="24"/>
          <w:szCs w:val="24"/>
        </w:rPr>
        <w:t xml:space="preserve">2) </w:t>
      </w:r>
      <w:r w:rsidRPr="00006AF7">
        <w:rPr>
          <w:rFonts w:ascii="Times New Roman" w:hAnsi="Times New Roman" w:cs="Times New Roman"/>
          <w:b/>
          <w:bCs/>
          <w:color w:val="205AA8"/>
          <w:sz w:val="24"/>
          <w:szCs w:val="24"/>
          <w:u w:val="single"/>
        </w:rPr>
        <w:t>Un descriptif de l’articulation</w:t>
      </w:r>
      <w:r w:rsidRPr="009C1695">
        <w:rPr>
          <w:rFonts w:ascii="Times New Roman" w:hAnsi="Times New Roman" w:cs="Times New Roman"/>
          <w:b/>
          <w:bCs/>
          <w:color w:val="205AA8"/>
          <w:sz w:val="24"/>
          <w:szCs w:val="24"/>
        </w:rPr>
        <w:t xml:space="preserve"> </w:t>
      </w:r>
      <w:r w:rsidRPr="009C1695">
        <w:rPr>
          <w:rFonts w:ascii="Times New Roman" w:hAnsi="Times New Roman" w:cs="Times New Roman"/>
          <w:color w:val="000000"/>
          <w:sz w:val="24"/>
          <w:szCs w:val="24"/>
        </w:rPr>
        <w:t xml:space="preserve">du dispositif d’identification, de mesure, de gestion et de contrôle du risque de liquidité (ci-après dénommé dispositif de gestion du risque de liquidité) </w:t>
      </w:r>
      <w:r w:rsidRPr="009C1695">
        <w:rPr>
          <w:rFonts w:ascii="Times New Roman" w:hAnsi="Times New Roman" w:cs="Times New Roman"/>
          <w:b/>
          <w:bCs/>
          <w:color w:val="000000"/>
          <w:sz w:val="24"/>
          <w:szCs w:val="24"/>
        </w:rPr>
        <w:t xml:space="preserve">avec le dispositif global de gestion des risques </w:t>
      </w:r>
      <w:r w:rsidRPr="009C1695">
        <w:rPr>
          <w:rFonts w:ascii="Times New Roman" w:hAnsi="Times New Roman" w:cs="Times New Roman"/>
          <w:color w:val="000000"/>
          <w:sz w:val="24"/>
          <w:szCs w:val="24"/>
        </w:rPr>
        <w:t>de l’entreprise assujettie ou du groupe.</w:t>
      </w:r>
    </w:p>
    <w:p w:rsidR="0021308C"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Pr="009C1695" w:rsidRDefault="0021308C" w:rsidP="0021308C">
      <w:pPr>
        <w:pStyle w:val="Paragraphedeliste"/>
        <w:autoSpaceDE w:val="0"/>
        <w:autoSpaceDN w:val="0"/>
        <w:adjustRightInd w:val="0"/>
        <w:spacing w:after="0" w:line="240" w:lineRule="auto"/>
        <w:ind w:left="1134" w:firstLine="1134"/>
        <w:jc w:val="both"/>
        <w:rPr>
          <w:rFonts w:ascii="Times New Roman" w:hAnsi="Times New Roman" w:cs="Times New Roman"/>
          <w:color w:val="000000"/>
          <w:sz w:val="24"/>
          <w:szCs w:val="24"/>
        </w:rPr>
      </w:pPr>
      <w:r w:rsidRPr="009C1695">
        <w:rPr>
          <w:rFonts w:ascii="Times New Roman" w:hAnsi="Times New Roman" w:cs="Times New Roman"/>
          <w:b/>
          <w:bCs/>
          <w:color w:val="205AA8"/>
          <w:sz w:val="24"/>
          <w:szCs w:val="24"/>
        </w:rPr>
        <w:t xml:space="preserve">3) </w:t>
      </w:r>
      <w:r w:rsidRPr="00006AF7">
        <w:rPr>
          <w:rFonts w:ascii="Times New Roman" w:hAnsi="Times New Roman" w:cs="Times New Roman"/>
          <w:b/>
          <w:bCs/>
          <w:color w:val="205AA8"/>
          <w:sz w:val="24"/>
          <w:szCs w:val="24"/>
          <w:u w:val="single"/>
        </w:rPr>
        <w:t>Une description de la gouvernance du dispositif de gestion du risque de liquidité en approche avancée</w:t>
      </w:r>
      <w:r w:rsidRPr="009C1695">
        <w:rPr>
          <w:rFonts w:ascii="Times New Roman" w:hAnsi="Times New Roman" w:cs="Times New Roman"/>
          <w:b/>
          <w:bCs/>
          <w:color w:val="205AA8"/>
          <w:sz w:val="24"/>
          <w:szCs w:val="24"/>
        </w:rPr>
        <w:t xml:space="preserve"> </w:t>
      </w:r>
      <w:r w:rsidRPr="009C1695">
        <w:rPr>
          <w:rFonts w:ascii="Times New Roman" w:hAnsi="Times New Roman" w:cs="Times New Roman"/>
          <w:color w:val="000000"/>
          <w:sz w:val="24"/>
          <w:szCs w:val="24"/>
        </w:rPr>
        <w:t>accompagné des textes pertinents (charte, procédures internes, etc.).</w:t>
      </w: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b/>
          <w:bCs/>
          <w:color w:val="205AA8"/>
          <w:sz w:val="24"/>
          <w:szCs w:val="24"/>
        </w:rPr>
      </w:pPr>
    </w:p>
    <w:p w:rsidR="0021308C"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sidRPr="009C1695">
        <w:rPr>
          <w:rFonts w:ascii="Times New Roman" w:hAnsi="Times New Roman" w:cs="Times New Roman"/>
          <w:b/>
          <w:bCs/>
          <w:color w:val="205AA8"/>
          <w:sz w:val="24"/>
          <w:szCs w:val="24"/>
        </w:rPr>
        <w:t xml:space="preserve">4) </w:t>
      </w:r>
      <w:r w:rsidRPr="00006AF7">
        <w:rPr>
          <w:rFonts w:ascii="Times New Roman" w:hAnsi="Times New Roman" w:cs="Times New Roman"/>
          <w:b/>
          <w:bCs/>
          <w:color w:val="205AA8"/>
          <w:sz w:val="24"/>
          <w:szCs w:val="24"/>
          <w:u w:val="single"/>
        </w:rPr>
        <w:t>Cartographie du périmètre de gestion</w:t>
      </w:r>
      <w:r>
        <w:rPr>
          <w:rFonts w:ascii="Times New Roman" w:hAnsi="Times New Roman" w:cs="Times New Roman"/>
          <w:b/>
          <w:bCs/>
          <w:color w:val="205AA8"/>
          <w:sz w:val="24"/>
          <w:szCs w:val="24"/>
        </w:rPr>
        <w:t> </w:t>
      </w:r>
      <w:r>
        <w:rPr>
          <w:rFonts w:ascii="Times New Roman" w:hAnsi="Times New Roman" w:cs="Times New Roman"/>
          <w:b/>
          <w:bCs/>
          <w:color w:val="000000"/>
          <w:sz w:val="24"/>
          <w:szCs w:val="24"/>
        </w:rPr>
        <w:t>: </w:t>
      </w:r>
      <w:r w:rsidRPr="009C1695">
        <w:rPr>
          <w:rFonts w:ascii="Times New Roman" w:hAnsi="Times New Roman" w:cs="Times New Roman"/>
          <w:color w:val="000000"/>
          <w:sz w:val="24"/>
          <w:szCs w:val="24"/>
        </w:rPr>
        <w:t>une cartographie détaillée, des entités, lignes de métier et devises entrant dans le périmètre de gestion de la liquidité, que ces entités soient situées en France ou à l’étranger :</w:t>
      </w: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entités bancaires et financières, y compris sociétés de financement</w:t>
      </w:r>
      <w:r>
        <w:rPr>
          <w:rFonts w:ascii="Times New Roman" w:hAnsi="Times New Roman" w:cs="Times New Roman"/>
          <w:color w:val="000000"/>
          <w:sz w:val="24"/>
          <w:szCs w:val="24"/>
        </w:rPr>
        <w:t> ;</w:t>
      </w: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compagnies d’</w:t>
      </w:r>
      <w:r>
        <w:rPr>
          <w:rFonts w:ascii="Times New Roman" w:hAnsi="Times New Roman" w:cs="Times New Roman"/>
          <w:color w:val="000000"/>
          <w:sz w:val="24"/>
          <w:szCs w:val="24"/>
        </w:rPr>
        <w:t>assurances ;</w:t>
      </w: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r w:rsidRPr="009C1695">
        <w:rPr>
          <w:rFonts w:ascii="Times New Roman" w:hAnsi="Times New Roman" w:cs="Times New Roman"/>
          <w:color w:val="000000"/>
          <w:sz w:val="24"/>
          <w:szCs w:val="24"/>
        </w:rPr>
        <w:t>sociétés de gestio</w:t>
      </w:r>
      <w:r>
        <w:rPr>
          <w:rFonts w:ascii="Times New Roman" w:hAnsi="Times New Roman" w:cs="Times New Roman"/>
          <w:color w:val="000000"/>
          <w:sz w:val="24"/>
          <w:szCs w:val="24"/>
        </w:rPr>
        <w:t>n d’actifs pour compte de tiers ;</w:t>
      </w: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véhicules ad hoc ;</w:t>
      </w: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toutes autres activités susceptibles de nécessiter un soutien ou apport en liquidité.</w:t>
      </w: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sidRPr="009C1695">
        <w:rPr>
          <w:rFonts w:ascii="Times New Roman" w:hAnsi="Times New Roman" w:cs="Times New Roman"/>
          <w:color w:val="000000"/>
          <w:sz w:val="24"/>
          <w:szCs w:val="24"/>
        </w:rPr>
        <w:t>Cette cartographie comprend, pour toutes les entités listées, les informations minimales suivantes sous forme d’un tableau de synthèse exploitable sous Excel :</w:t>
      </w: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nom ;</w:t>
      </w: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pays ;</w:t>
      </w: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nature (établissement de crédit, y compris société de financement/non-établissement de crédit) ;</w:t>
      </w: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activité ;</w:t>
      </w: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monnaie de compte ou devise opérationnelle (si différente) ;</w:t>
      </w: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total de bilan (en euros ou contre-valeur euros) ;</w:t>
      </w: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position prêteuse ou emprunteuse (hors activité clientèle de détail) moyenne sur l’année en contrevaleur euros ;</w:t>
      </w: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appartenance au périmètre de consolidation comptable ;</w:t>
      </w: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appartenance au périmètre de gestion du risque de liquidité ;</w:t>
      </w:r>
    </w:p>
    <w:p w:rsidR="0021308C" w:rsidRDefault="0021308C" w:rsidP="0021308C">
      <w:pPr>
        <w:tabs>
          <w:tab w:val="left" w:pos="426"/>
        </w:tabs>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assujettissement à une réglementation locale de la liquidité ;</w:t>
      </w:r>
    </w:p>
    <w:p w:rsidR="0021308C" w:rsidRPr="009C1695" w:rsidRDefault="0021308C" w:rsidP="0021308C">
      <w:pPr>
        <w:tabs>
          <w:tab w:val="left" w:pos="426"/>
        </w:tabs>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Pr="009C1695" w:rsidRDefault="0021308C" w:rsidP="0021308C">
      <w:pPr>
        <w:tabs>
          <w:tab w:val="left" w:pos="426"/>
        </w:tabs>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existence de contraintes juridiques ou opérationnelles pouvant entraver les transferts de fonds (les détailler, le cas échéant).</w:t>
      </w: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sidRPr="009C1695">
        <w:rPr>
          <w:rFonts w:ascii="Times New Roman" w:hAnsi="Times New Roman" w:cs="Times New Roman"/>
          <w:color w:val="000000"/>
          <w:sz w:val="24"/>
          <w:szCs w:val="24"/>
        </w:rPr>
        <w:t>Les entités listées sont classées dans les deux catégories ci-dessous puis, au sein de chacune, par ordre décroissant de total de bilan :</w:t>
      </w: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les entités incluses dans le périmètre de consolidation comptable et dans le périmètre de gestion de la liquidité ;</w:t>
      </w: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les entités non incluses dans le périmètre de consolidation comptable mais incluses dans le périmètre de gestion de la liquidité.</w:t>
      </w:r>
    </w:p>
    <w:p w:rsidR="0021308C"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Pr="00006AF7" w:rsidRDefault="0021308C" w:rsidP="0021308C">
      <w:pPr>
        <w:pStyle w:val="Paragraphedeliste"/>
        <w:numPr>
          <w:ilvl w:val="0"/>
          <w:numId w:val="2"/>
        </w:numPr>
        <w:autoSpaceDE w:val="0"/>
        <w:autoSpaceDN w:val="0"/>
        <w:adjustRightInd w:val="0"/>
        <w:spacing w:after="0" w:line="240" w:lineRule="auto"/>
        <w:ind w:left="1134" w:firstLine="1134"/>
        <w:jc w:val="both"/>
        <w:rPr>
          <w:rFonts w:ascii="Times New Roman" w:hAnsi="Times New Roman" w:cs="Times New Roman"/>
          <w:b/>
          <w:bCs/>
          <w:color w:val="205AA8"/>
          <w:sz w:val="24"/>
          <w:szCs w:val="24"/>
          <w:u w:val="single"/>
        </w:rPr>
      </w:pPr>
      <w:r w:rsidRPr="00006AF7">
        <w:rPr>
          <w:rFonts w:ascii="Times New Roman" w:hAnsi="Times New Roman" w:cs="Times New Roman"/>
          <w:b/>
          <w:bCs/>
          <w:color w:val="205AA8"/>
          <w:sz w:val="24"/>
          <w:szCs w:val="24"/>
          <w:u w:val="single"/>
        </w:rPr>
        <w:t>Exclusions du périmètre de gestion de la liquidité</w:t>
      </w: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205AA8"/>
          <w:sz w:val="24"/>
          <w:szCs w:val="24"/>
        </w:rPr>
      </w:pPr>
    </w:p>
    <w:p w:rsidR="0021308C" w:rsidRDefault="0021308C" w:rsidP="0021308C">
      <w:pPr>
        <w:pStyle w:val="Paragraphedeliste"/>
        <w:numPr>
          <w:ilvl w:val="0"/>
          <w:numId w:val="3"/>
        </w:numPr>
        <w:tabs>
          <w:tab w:val="left" w:pos="2410"/>
        </w:tabs>
        <w:autoSpaceDE w:val="0"/>
        <w:autoSpaceDN w:val="0"/>
        <w:adjustRightInd w:val="0"/>
        <w:spacing w:after="0" w:line="240" w:lineRule="auto"/>
        <w:ind w:left="1134" w:firstLine="1134"/>
        <w:jc w:val="both"/>
        <w:rPr>
          <w:rFonts w:ascii="Times New Roman" w:hAnsi="Times New Roman" w:cs="Times New Roman"/>
          <w:color w:val="000000"/>
          <w:sz w:val="24"/>
          <w:szCs w:val="24"/>
        </w:rPr>
      </w:pPr>
      <w:r w:rsidRPr="009C1695">
        <w:rPr>
          <w:rFonts w:ascii="Times New Roman" w:hAnsi="Times New Roman" w:cs="Times New Roman"/>
          <w:color w:val="205AA8"/>
          <w:sz w:val="24"/>
          <w:szCs w:val="24"/>
        </w:rPr>
        <w:t xml:space="preserve">a) </w:t>
      </w:r>
      <w:r w:rsidRPr="009C1695">
        <w:rPr>
          <w:rFonts w:ascii="Times New Roman" w:hAnsi="Times New Roman" w:cs="Times New Roman"/>
          <w:color w:val="000000"/>
          <w:sz w:val="24"/>
          <w:szCs w:val="24"/>
        </w:rPr>
        <w:t>Les informations suivantes relatives aux entités exclues du périmètre de gestion de la liquidité :</w:t>
      </w:r>
    </w:p>
    <w:p w:rsidR="0021308C" w:rsidRPr="009C1695" w:rsidRDefault="0021308C" w:rsidP="0021308C">
      <w:pPr>
        <w:pStyle w:val="Paragraphedeliste"/>
        <w:tabs>
          <w:tab w:val="left" w:pos="2410"/>
        </w:tabs>
        <w:autoSpaceDE w:val="0"/>
        <w:autoSpaceDN w:val="0"/>
        <w:adjustRightInd w:val="0"/>
        <w:spacing w:after="0" w:line="240" w:lineRule="auto"/>
        <w:ind w:left="2268"/>
        <w:jc w:val="both"/>
        <w:rPr>
          <w:rFonts w:ascii="Times New Roman" w:hAnsi="Times New Roman" w:cs="Times New Roman"/>
          <w:color w:val="000000"/>
          <w:sz w:val="24"/>
          <w:szCs w:val="24"/>
        </w:rPr>
      </w:pPr>
    </w:p>
    <w:p w:rsidR="0021308C"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r w:rsidRPr="009C1695">
        <w:rPr>
          <w:rFonts w:ascii="Times New Roman" w:hAnsi="Times New Roman" w:cs="Times New Roman"/>
          <w:color w:val="000000"/>
          <w:sz w:val="24"/>
          <w:szCs w:val="24"/>
        </w:rPr>
        <w:t>nom ;</w:t>
      </w:r>
    </w:p>
    <w:p w:rsidR="0021308C" w:rsidRPr="009C1695" w:rsidRDefault="0021308C" w:rsidP="0021308C">
      <w:pPr>
        <w:autoSpaceDE w:val="0"/>
        <w:autoSpaceDN w:val="0"/>
        <w:adjustRightInd w:val="0"/>
        <w:spacing w:after="0" w:line="240" w:lineRule="auto"/>
        <w:jc w:val="both"/>
        <w:rPr>
          <w:rFonts w:ascii="Times New Roman" w:hAnsi="Times New Roman" w:cs="Times New Roman"/>
          <w:color w:val="000000"/>
          <w:sz w:val="24"/>
          <w:szCs w:val="24"/>
        </w:rPr>
      </w:pPr>
    </w:p>
    <w:p w:rsidR="0021308C"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pays ;</w:t>
      </w:r>
    </w:p>
    <w:p w:rsidR="0021308C" w:rsidRPr="009C1695" w:rsidRDefault="0021308C" w:rsidP="0021308C">
      <w:pPr>
        <w:autoSpaceDE w:val="0"/>
        <w:autoSpaceDN w:val="0"/>
        <w:adjustRightInd w:val="0"/>
        <w:spacing w:after="0" w:line="240" w:lineRule="auto"/>
        <w:jc w:val="both"/>
        <w:rPr>
          <w:rFonts w:ascii="Times New Roman" w:hAnsi="Times New Roman" w:cs="Times New Roman"/>
          <w:color w:val="000000"/>
          <w:sz w:val="24"/>
          <w:szCs w:val="24"/>
        </w:rPr>
      </w:pPr>
    </w:p>
    <w:p w:rsidR="0021308C"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nature (établissement de crédit, y compris société de financement/non-établissement de crédit</w:t>
      </w:r>
      <w:proofErr w:type="gramStart"/>
      <w:r w:rsidRPr="009C1695">
        <w:rPr>
          <w:rFonts w:ascii="Times New Roman" w:hAnsi="Times New Roman" w:cs="Times New Roman"/>
          <w:color w:val="000000"/>
          <w:sz w:val="24"/>
          <w:szCs w:val="24"/>
        </w:rPr>
        <w:t>), ;</w:t>
      </w:r>
      <w:proofErr w:type="gramEnd"/>
    </w:p>
    <w:p w:rsidR="0021308C" w:rsidRPr="009C1695" w:rsidRDefault="0021308C" w:rsidP="0021308C">
      <w:pPr>
        <w:autoSpaceDE w:val="0"/>
        <w:autoSpaceDN w:val="0"/>
        <w:adjustRightInd w:val="0"/>
        <w:spacing w:after="0" w:line="240" w:lineRule="auto"/>
        <w:jc w:val="both"/>
        <w:rPr>
          <w:rFonts w:ascii="Times New Roman" w:hAnsi="Times New Roman" w:cs="Times New Roman"/>
          <w:color w:val="000000"/>
          <w:sz w:val="24"/>
          <w:szCs w:val="24"/>
        </w:rPr>
      </w:pPr>
    </w:p>
    <w:p w:rsidR="0021308C"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activité ;</w:t>
      </w:r>
    </w:p>
    <w:p w:rsidR="0021308C" w:rsidRPr="009C1695" w:rsidRDefault="0021308C" w:rsidP="0021308C">
      <w:pPr>
        <w:autoSpaceDE w:val="0"/>
        <w:autoSpaceDN w:val="0"/>
        <w:adjustRightInd w:val="0"/>
        <w:spacing w:after="0" w:line="240" w:lineRule="auto"/>
        <w:jc w:val="both"/>
        <w:rPr>
          <w:rFonts w:ascii="Times New Roman" w:hAnsi="Times New Roman" w:cs="Times New Roman"/>
          <w:color w:val="000000"/>
          <w:sz w:val="24"/>
          <w:szCs w:val="24"/>
        </w:rPr>
      </w:pPr>
    </w:p>
    <w:p w:rsidR="0021308C"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monnaie de compte ou devise opérationnelle (si différente) ;</w:t>
      </w:r>
    </w:p>
    <w:p w:rsidR="0021308C" w:rsidRPr="009C1695" w:rsidRDefault="0021308C" w:rsidP="0021308C">
      <w:pPr>
        <w:autoSpaceDE w:val="0"/>
        <w:autoSpaceDN w:val="0"/>
        <w:adjustRightInd w:val="0"/>
        <w:spacing w:after="0" w:line="240" w:lineRule="auto"/>
        <w:jc w:val="both"/>
        <w:rPr>
          <w:rFonts w:ascii="Times New Roman" w:hAnsi="Times New Roman" w:cs="Times New Roman"/>
          <w:color w:val="000000"/>
          <w:sz w:val="24"/>
          <w:szCs w:val="24"/>
        </w:rPr>
      </w:pPr>
    </w:p>
    <w:p w:rsidR="0021308C"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total de bilan (en euros ou contre-valeur euros) ;</w:t>
      </w:r>
    </w:p>
    <w:p w:rsidR="0021308C" w:rsidRPr="009C1695" w:rsidRDefault="0021308C" w:rsidP="0021308C">
      <w:pPr>
        <w:autoSpaceDE w:val="0"/>
        <w:autoSpaceDN w:val="0"/>
        <w:adjustRightInd w:val="0"/>
        <w:spacing w:after="0" w:line="240" w:lineRule="auto"/>
        <w:jc w:val="both"/>
        <w:rPr>
          <w:rFonts w:ascii="Times New Roman" w:hAnsi="Times New Roman" w:cs="Times New Roman"/>
          <w:color w:val="000000"/>
          <w:sz w:val="24"/>
          <w:szCs w:val="24"/>
        </w:rPr>
      </w:pPr>
    </w:p>
    <w:p w:rsidR="0021308C"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position prêteuse ou emprunteuse (hors activité clientèle de détail) moyenne sur l’année en contre-valeur euros ;</w:t>
      </w: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appartenance au périmètre de consolidation comptable ;</w:t>
      </w: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Default="0021308C" w:rsidP="0021308C">
      <w:pPr>
        <w:pStyle w:val="Paragraphedeliste"/>
        <w:numPr>
          <w:ilvl w:val="0"/>
          <w:numId w:val="3"/>
        </w:numPr>
        <w:tabs>
          <w:tab w:val="left" w:pos="2410"/>
        </w:tabs>
        <w:autoSpaceDE w:val="0"/>
        <w:autoSpaceDN w:val="0"/>
        <w:adjustRightInd w:val="0"/>
        <w:spacing w:after="0" w:line="240" w:lineRule="auto"/>
        <w:ind w:left="1134" w:firstLine="1134"/>
        <w:jc w:val="both"/>
        <w:rPr>
          <w:rFonts w:ascii="Times New Roman" w:hAnsi="Times New Roman" w:cs="Times New Roman"/>
          <w:color w:val="000000"/>
          <w:sz w:val="24"/>
          <w:szCs w:val="24"/>
        </w:rPr>
      </w:pPr>
      <w:r w:rsidRPr="009C1695">
        <w:rPr>
          <w:rFonts w:ascii="Times New Roman" w:hAnsi="Times New Roman" w:cs="Times New Roman"/>
          <w:color w:val="205AA8"/>
          <w:sz w:val="24"/>
          <w:szCs w:val="24"/>
        </w:rPr>
        <w:t xml:space="preserve">b) </w:t>
      </w:r>
      <w:r w:rsidRPr="009C1695">
        <w:rPr>
          <w:rFonts w:ascii="Times New Roman" w:hAnsi="Times New Roman" w:cs="Times New Roman"/>
          <w:color w:val="000000"/>
          <w:sz w:val="24"/>
          <w:szCs w:val="24"/>
        </w:rPr>
        <w:t>Le régime réglementaire qui leur est appliqué :</w:t>
      </w:r>
    </w:p>
    <w:p w:rsidR="0021308C" w:rsidRPr="009C1695" w:rsidRDefault="0021308C" w:rsidP="0021308C">
      <w:pPr>
        <w:pStyle w:val="Paragraphedeliste"/>
        <w:tabs>
          <w:tab w:val="left" w:pos="2410"/>
        </w:tabs>
        <w:autoSpaceDE w:val="0"/>
        <w:autoSpaceDN w:val="0"/>
        <w:adjustRightInd w:val="0"/>
        <w:spacing w:after="0" w:line="240" w:lineRule="auto"/>
        <w:ind w:left="2268"/>
        <w:jc w:val="both"/>
        <w:rPr>
          <w:rFonts w:ascii="Times New Roman" w:hAnsi="Times New Roman" w:cs="Times New Roman"/>
          <w:color w:val="000000"/>
          <w:sz w:val="24"/>
          <w:szCs w:val="24"/>
        </w:rPr>
      </w:pPr>
    </w:p>
    <w:p w:rsidR="0021308C"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pour les entités françaises soumises à la réglementation de la liquidité, le régime de liquidité suivi (approche standard ou avancée) ;</w:t>
      </w:r>
    </w:p>
    <w:p w:rsidR="0021308C" w:rsidRPr="009C1695" w:rsidRDefault="0021308C" w:rsidP="0021308C">
      <w:pPr>
        <w:autoSpaceDE w:val="0"/>
        <w:autoSpaceDN w:val="0"/>
        <w:adjustRightInd w:val="0"/>
        <w:spacing w:after="0" w:line="240" w:lineRule="auto"/>
        <w:jc w:val="both"/>
        <w:rPr>
          <w:rFonts w:ascii="Times New Roman" w:hAnsi="Times New Roman" w:cs="Times New Roman"/>
          <w:color w:val="000000"/>
          <w:sz w:val="24"/>
          <w:szCs w:val="24"/>
        </w:rPr>
      </w:pP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 xml:space="preserve">pour les entités étrangères, </w:t>
      </w:r>
      <w:proofErr w:type="gramStart"/>
      <w:r w:rsidRPr="009C1695">
        <w:rPr>
          <w:rFonts w:ascii="Times New Roman" w:hAnsi="Times New Roman" w:cs="Times New Roman"/>
          <w:color w:val="000000"/>
          <w:sz w:val="24"/>
          <w:szCs w:val="24"/>
        </w:rPr>
        <w:t>préciser</w:t>
      </w:r>
      <w:proofErr w:type="gramEnd"/>
      <w:r w:rsidRPr="009C1695">
        <w:rPr>
          <w:rFonts w:ascii="Times New Roman" w:hAnsi="Times New Roman" w:cs="Times New Roman"/>
          <w:color w:val="000000"/>
          <w:sz w:val="24"/>
          <w:szCs w:val="24"/>
        </w:rPr>
        <w:t xml:space="preserve"> si elles sont assujetties à des exigences réglementaires locales ;</w:t>
      </w: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Pr="009C1695" w:rsidRDefault="0021308C" w:rsidP="0021308C">
      <w:pPr>
        <w:pStyle w:val="Paragraphedeliste"/>
        <w:numPr>
          <w:ilvl w:val="0"/>
          <w:numId w:val="3"/>
        </w:numPr>
        <w:tabs>
          <w:tab w:val="left" w:pos="2410"/>
        </w:tabs>
        <w:autoSpaceDE w:val="0"/>
        <w:autoSpaceDN w:val="0"/>
        <w:adjustRightInd w:val="0"/>
        <w:spacing w:after="0" w:line="240" w:lineRule="auto"/>
        <w:ind w:left="1134" w:firstLine="1134"/>
        <w:jc w:val="both"/>
        <w:rPr>
          <w:rFonts w:ascii="Times New Roman" w:hAnsi="Times New Roman" w:cs="Times New Roman"/>
          <w:color w:val="000000"/>
          <w:sz w:val="24"/>
          <w:szCs w:val="24"/>
        </w:rPr>
      </w:pPr>
      <w:r w:rsidRPr="009C1695">
        <w:rPr>
          <w:rFonts w:ascii="Times New Roman" w:hAnsi="Times New Roman" w:cs="Times New Roman"/>
          <w:color w:val="205AA8"/>
          <w:sz w:val="24"/>
          <w:szCs w:val="24"/>
        </w:rPr>
        <w:t xml:space="preserve">c) </w:t>
      </w:r>
      <w:r w:rsidRPr="009C1695">
        <w:rPr>
          <w:rFonts w:ascii="Times New Roman" w:hAnsi="Times New Roman" w:cs="Times New Roman"/>
          <w:color w:val="000000"/>
          <w:sz w:val="24"/>
          <w:szCs w:val="24"/>
        </w:rPr>
        <w:t>Les raisons conduisant à écarter des entités ou devises.</w:t>
      </w: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b/>
          <w:bCs/>
          <w:color w:val="000000"/>
          <w:sz w:val="24"/>
          <w:szCs w:val="24"/>
        </w:rPr>
      </w:pPr>
      <w:r w:rsidRPr="009C1695">
        <w:rPr>
          <w:rFonts w:ascii="Times New Roman" w:hAnsi="Times New Roman" w:cs="Times New Roman"/>
          <w:b/>
          <w:bCs/>
          <w:color w:val="205AA8"/>
          <w:sz w:val="24"/>
          <w:szCs w:val="24"/>
        </w:rPr>
        <w:t xml:space="preserve">6) </w:t>
      </w:r>
      <w:r w:rsidRPr="00006AF7">
        <w:rPr>
          <w:rFonts w:ascii="Times New Roman" w:hAnsi="Times New Roman" w:cs="Times New Roman"/>
          <w:b/>
          <w:bCs/>
          <w:color w:val="205AA8"/>
          <w:sz w:val="24"/>
          <w:szCs w:val="24"/>
          <w:u w:val="single"/>
        </w:rPr>
        <w:t>Les indicateurs et stocks d’actifs liquides</w:t>
      </w: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les différentes classes d’actifs que l’entreprise assujettie compte inclure dans son stock d’actifs liquides par devises et les principes déterminant leurs modalités de prise en compte (horizon de temps considéré, calcul des décotes) ;</w:t>
      </w: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une description de l’utilisation qui est faite du stock d’actifs liquides dans le dispositif de gestion du risque de liquidité : règles de gestion, indicateurs et limites.</w:t>
      </w:r>
    </w:p>
    <w:p w:rsidR="0021308C"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b/>
          <w:bCs/>
          <w:color w:val="205AA8"/>
          <w:sz w:val="24"/>
          <w:szCs w:val="24"/>
        </w:rPr>
      </w:pPr>
      <w:r w:rsidRPr="009C1695">
        <w:rPr>
          <w:rFonts w:ascii="Times New Roman" w:hAnsi="Times New Roman" w:cs="Times New Roman"/>
          <w:b/>
          <w:bCs/>
          <w:color w:val="205AA8"/>
          <w:sz w:val="24"/>
          <w:szCs w:val="24"/>
        </w:rPr>
        <w:t xml:space="preserve">7) </w:t>
      </w:r>
      <w:r w:rsidRPr="00006AF7">
        <w:rPr>
          <w:rFonts w:ascii="Times New Roman" w:hAnsi="Times New Roman" w:cs="Times New Roman"/>
          <w:b/>
          <w:bCs/>
          <w:color w:val="205AA8"/>
          <w:sz w:val="24"/>
          <w:szCs w:val="24"/>
          <w:u w:val="single"/>
        </w:rPr>
        <w:t>Les limites</w:t>
      </w: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b/>
          <w:bCs/>
          <w:color w:val="205AA8"/>
          <w:sz w:val="24"/>
          <w:szCs w:val="24"/>
        </w:rPr>
      </w:pP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sidRPr="009C1695">
        <w:rPr>
          <w:rFonts w:ascii="Times New Roman" w:hAnsi="Times New Roman" w:cs="Times New Roman"/>
          <w:color w:val="000000"/>
          <w:sz w:val="24"/>
          <w:szCs w:val="24"/>
        </w:rPr>
        <w:t>La liste des limites (et éventuelles sous-limites) en précisant pour chacune :</w:t>
      </w:r>
    </w:p>
    <w:p w:rsidR="0021308C"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son objectif ;</w:t>
      </w: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son mode et sa périodicité de calcul ;</w:t>
      </w: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la justification du niveau retenu</w:t>
      </w:r>
      <w:r>
        <w:rPr>
          <w:rFonts w:ascii="Times New Roman" w:hAnsi="Times New Roman" w:cs="Times New Roman"/>
          <w:color w:val="000000"/>
          <w:sz w:val="24"/>
          <w:szCs w:val="24"/>
        </w:rPr>
        <w:t> ;</w:t>
      </w: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les unités chargées :</w:t>
      </w: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Default="0021308C" w:rsidP="0021308C">
      <w:pPr>
        <w:pStyle w:val="Paragraphedeliste"/>
        <w:numPr>
          <w:ilvl w:val="0"/>
          <w:numId w:val="1"/>
        </w:numPr>
        <w:tabs>
          <w:tab w:val="left" w:pos="2977"/>
        </w:tabs>
        <w:autoSpaceDE w:val="0"/>
        <w:autoSpaceDN w:val="0"/>
        <w:adjustRightInd w:val="0"/>
        <w:spacing w:after="0" w:line="240" w:lineRule="auto"/>
        <w:ind w:left="1134" w:firstLine="1701"/>
        <w:jc w:val="both"/>
        <w:rPr>
          <w:rFonts w:ascii="Times New Roman" w:hAnsi="Times New Roman" w:cs="Times New Roman"/>
          <w:color w:val="000000"/>
          <w:sz w:val="24"/>
          <w:szCs w:val="24"/>
        </w:rPr>
      </w:pPr>
      <w:r>
        <w:rPr>
          <w:rFonts w:ascii="Times New Roman" w:hAnsi="Times New Roman" w:cs="Times New Roman"/>
          <w:color w:val="000000"/>
          <w:sz w:val="24"/>
          <w:szCs w:val="24"/>
        </w:rPr>
        <w:t>de son calcul ;</w:t>
      </w:r>
    </w:p>
    <w:p w:rsidR="0021308C" w:rsidRPr="009C1695" w:rsidRDefault="0021308C" w:rsidP="0021308C">
      <w:pPr>
        <w:pStyle w:val="Paragraphedeliste"/>
        <w:tabs>
          <w:tab w:val="left" w:pos="2977"/>
        </w:tabs>
        <w:autoSpaceDE w:val="0"/>
        <w:autoSpaceDN w:val="0"/>
        <w:adjustRightInd w:val="0"/>
        <w:spacing w:after="0" w:line="240" w:lineRule="auto"/>
        <w:ind w:left="2835"/>
        <w:jc w:val="both"/>
        <w:rPr>
          <w:rFonts w:ascii="Times New Roman" w:hAnsi="Times New Roman" w:cs="Times New Roman"/>
          <w:color w:val="000000"/>
          <w:sz w:val="24"/>
          <w:szCs w:val="24"/>
        </w:rPr>
      </w:pPr>
    </w:p>
    <w:p w:rsidR="0021308C" w:rsidRDefault="0021308C" w:rsidP="0021308C">
      <w:pPr>
        <w:pStyle w:val="Paragraphedeliste"/>
        <w:numPr>
          <w:ilvl w:val="0"/>
          <w:numId w:val="1"/>
        </w:numPr>
        <w:tabs>
          <w:tab w:val="left" w:pos="2977"/>
        </w:tabs>
        <w:autoSpaceDE w:val="0"/>
        <w:autoSpaceDN w:val="0"/>
        <w:adjustRightInd w:val="0"/>
        <w:spacing w:after="0" w:line="240" w:lineRule="auto"/>
        <w:ind w:left="1134" w:firstLine="1701"/>
        <w:jc w:val="both"/>
        <w:rPr>
          <w:rFonts w:ascii="Times New Roman" w:hAnsi="Times New Roman" w:cs="Times New Roman"/>
          <w:color w:val="000000"/>
          <w:sz w:val="24"/>
          <w:szCs w:val="24"/>
        </w:rPr>
      </w:pPr>
      <w:r>
        <w:rPr>
          <w:rFonts w:ascii="Times New Roman" w:hAnsi="Times New Roman" w:cs="Times New Roman"/>
          <w:color w:val="000000"/>
          <w:sz w:val="24"/>
          <w:szCs w:val="24"/>
        </w:rPr>
        <w:t>de son respect ;</w:t>
      </w:r>
    </w:p>
    <w:p w:rsidR="0021308C" w:rsidRPr="00F51929" w:rsidRDefault="0021308C" w:rsidP="0021308C">
      <w:pPr>
        <w:tabs>
          <w:tab w:val="left" w:pos="2977"/>
        </w:tabs>
        <w:autoSpaceDE w:val="0"/>
        <w:autoSpaceDN w:val="0"/>
        <w:adjustRightInd w:val="0"/>
        <w:spacing w:after="0" w:line="240" w:lineRule="auto"/>
        <w:jc w:val="both"/>
        <w:rPr>
          <w:rFonts w:ascii="Times New Roman" w:hAnsi="Times New Roman" w:cs="Times New Roman"/>
          <w:color w:val="000000"/>
          <w:sz w:val="24"/>
          <w:szCs w:val="24"/>
        </w:rPr>
      </w:pPr>
    </w:p>
    <w:p w:rsidR="0021308C" w:rsidRDefault="0021308C" w:rsidP="0021308C">
      <w:pPr>
        <w:pStyle w:val="Paragraphedeliste"/>
        <w:numPr>
          <w:ilvl w:val="0"/>
          <w:numId w:val="1"/>
        </w:numPr>
        <w:tabs>
          <w:tab w:val="left" w:pos="2977"/>
        </w:tabs>
        <w:autoSpaceDE w:val="0"/>
        <w:autoSpaceDN w:val="0"/>
        <w:adjustRightInd w:val="0"/>
        <w:spacing w:after="0" w:line="240" w:lineRule="auto"/>
        <w:ind w:left="1134" w:firstLine="1701"/>
        <w:jc w:val="both"/>
        <w:rPr>
          <w:rFonts w:ascii="Times New Roman" w:hAnsi="Times New Roman" w:cs="Times New Roman"/>
          <w:color w:val="000000"/>
          <w:sz w:val="24"/>
          <w:szCs w:val="24"/>
        </w:rPr>
      </w:pPr>
      <w:r>
        <w:rPr>
          <w:rFonts w:ascii="Times New Roman" w:hAnsi="Times New Roman" w:cs="Times New Roman"/>
          <w:color w:val="000000"/>
          <w:sz w:val="24"/>
          <w:szCs w:val="24"/>
        </w:rPr>
        <w:t>de sa surveillance ;</w:t>
      </w:r>
    </w:p>
    <w:p w:rsidR="0021308C" w:rsidRPr="00F51929" w:rsidRDefault="0021308C" w:rsidP="0021308C">
      <w:pPr>
        <w:tabs>
          <w:tab w:val="left" w:pos="2977"/>
        </w:tabs>
        <w:autoSpaceDE w:val="0"/>
        <w:autoSpaceDN w:val="0"/>
        <w:adjustRightInd w:val="0"/>
        <w:spacing w:after="0" w:line="240" w:lineRule="auto"/>
        <w:jc w:val="both"/>
        <w:rPr>
          <w:rFonts w:ascii="Times New Roman" w:hAnsi="Times New Roman" w:cs="Times New Roman"/>
          <w:color w:val="000000"/>
          <w:sz w:val="24"/>
          <w:szCs w:val="24"/>
        </w:rPr>
      </w:pPr>
    </w:p>
    <w:p w:rsidR="0021308C" w:rsidRDefault="0021308C" w:rsidP="0021308C">
      <w:pPr>
        <w:pStyle w:val="Paragraphedeliste"/>
        <w:numPr>
          <w:ilvl w:val="0"/>
          <w:numId w:val="1"/>
        </w:numPr>
        <w:tabs>
          <w:tab w:val="left" w:pos="2977"/>
        </w:tabs>
        <w:autoSpaceDE w:val="0"/>
        <w:autoSpaceDN w:val="0"/>
        <w:adjustRightInd w:val="0"/>
        <w:spacing w:after="0" w:line="240" w:lineRule="auto"/>
        <w:ind w:left="1134" w:firstLine="1701"/>
        <w:jc w:val="both"/>
        <w:rPr>
          <w:rFonts w:ascii="Times New Roman" w:hAnsi="Times New Roman" w:cs="Times New Roman"/>
          <w:color w:val="000000"/>
          <w:sz w:val="24"/>
          <w:szCs w:val="24"/>
        </w:rPr>
      </w:pPr>
      <w:r w:rsidRPr="009C1695">
        <w:rPr>
          <w:rFonts w:ascii="Times New Roman" w:hAnsi="Times New Roman" w:cs="Times New Roman"/>
          <w:color w:val="000000"/>
          <w:sz w:val="24"/>
          <w:szCs w:val="24"/>
        </w:rPr>
        <w:t>et des procédures en cas de dépassement</w:t>
      </w:r>
      <w:r>
        <w:rPr>
          <w:rFonts w:ascii="Times New Roman" w:hAnsi="Times New Roman" w:cs="Times New Roman"/>
          <w:color w:val="000000"/>
          <w:sz w:val="24"/>
          <w:szCs w:val="24"/>
        </w:rPr>
        <w:t>.</w:t>
      </w:r>
    </w:p>
    <w:p w:rsidR="0021308C" w:rsidRPr="009C1695" w:rsidRDefault="0021308C" w:rsidP="0021308C">
      <w:pPr>
        <w:pStyle w:val="Paragraphedeliste"/>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 xml:space="preserve">le circuit (instances destinataires) et la périodicité de </w:t>
      </w:r>
      <w:proofErr w:type="spellStart"/>
      <w:r w:rsidRPr="009C1695">
        <w:rPr>
          <w:rFonts w:ascii="Times New Roman" w:hAnsi="Times New Roman" w:cs="Times New Roman"/>
          <w:color w:val="000000"/>
          <w:sz w:val="24"/>
          <w:szCs w:val="24"/>
        </w:rPr>
        <w:t>reporting</w:t>
      </w:r>
      <w:proofErr w:type="spellEnd"/>
      <w:r w:rsidRPr="009C1695">
        <w:rPr>
          <w:rFonts w:ascii="Times New Roman" w:hAnsi="Times New Roman" w:cs="Times New Roman"/>
          <w:color w:val="000000"/>
          <w:sz w:val="24"/>
          <w:szCs w:val="24"/>
        </w:rPr>
        <w:t>.</w:t>
      </w: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sidRPr="009C1695">
        <w:rPr>
          <w:rFonts w:ascii="Times New Roman" w:hAnsi="Times New Roman" w:cs="Times New Roman"/>
          <w:color w:val="000000"/>
          <w:sz w:val="24"/>
          <w:szCs w:val="24"/>
        </w:rPr>
        <w:t>L’évolution de la situation de l’entreprise assujettie au regard des limites proposées au cours des 12 derniers mois.</w:t>
      </w: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sidRPr="009C1695">
        <w:rPr>
          <w:rFonts w:ascii="Times New Roman" w:hAnsi="Times New Roman" w:cs="Times New Roman"/>
          <w:b/>
          <w:bCs/>
          <w:color w:val="205AA8"/>
          <w:sz w:val="24"/>
          <w:szCs w:val="24"/>
        </w:rPr>
        <w:t xml:space="preserve">8) </w:t>
      </w:r>
      <w:r w:rsidRPr="00006AF7">
        <w:rPr>
          <w:rFonts w:ascii="Times New Roman" w:hAnsi="Times New Roman" w:cs="Times New Roman"/>
          <w:b/>
          <w:bCs/>
          <w:color w:val="205AA8"/>
          <w:sz w:val="24"/>
          <w:szCs w:val="24"/>
          <w:u w:val="single"/>
        </w:rPr>
        <w:t>Obligations d’information envers l’Autorité de contrôle prudentiel et de résolution</w:t>
      </w:r>
      <w:r w:rsidRPr="00006AF7">
        <w:rPr>
          <w:rFonts w:ascii="Times New Roman" w:hAnsi="Times New Roman" w:cs="Times New Roman"/>
          <w:b/>
          <w:bCs/>
          <w:color w:val="000000"/>
          <w:sz w:val="24"/>
          <w:szCs w:val="24"/>
          <w:u w:val="single"/>
        </w:rPr>
        <w:t xml:space="preserve">: </w:t>
      </w:r>
      <w:r w:rsidRPr="00006AF7">
        <w:rPr>
          <w:rFonts w:ascii="Times New Roman" w:hAnsi="Times New Roman" w:cs="Times New Roman"/>
          <w:color w:val="000000"/>
          <w:sz w:val="24"/>
          <w:szCs w:val="24"/>
          <w:u w:val="single"/>
        </w:rPr>
        <w:t>tout élément susceptible de permettre d’apprécier la capacité de l’entreprise assujettie à répondre à ses obligations d’information, en particulier</w:t>
      </w:r>
      <w:r w:rsidRPr="009C1695">
        <w:rPr>
          <w:rFonts w:ascii="Times New Roman" w:hAnsi="Times New Roman" w:cs="Times New Roman"/>
          <w:color w:val="000000"/>
          <w:sz w:val="24"/>
          <w:szCs w:val="24"/>
        </w:rPr>
        <w:t xml:space="preserve"> :</w:t>
      </w: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 xml:space="preserve">le modèle des informations, états de suivi et </w:t>
      </w:r>
      <w:proofErr w:type="spellStart"/>
      <w:r w:rsidRPr="009C1695">
        <w:rPr>
          <w:rFonts w:ascii="Times New Roman" w:hAnsi="Times New Roman" w:cs="Times New Roman"/>
          <w:color w:val="000000"/>
          <w:sz w:val="24"/>
          <w:szCs w:val="24"/>
        </w:rPr>
        <w:t>reporting</w:t>
      </w:r>
      <w:proofErr w:type="spellEnd"/>
      <w:r w:rsidRPr="009C1695">
        <w:rPr>
          <w:rFonts w:ascii="Times New Roman" w:hAnsi="Times New Roman" w:cs="Times New Roman"/>
          <w:color w:val="000000"/>
          <w:sz w:val="24"/>
          <w:szCs w:val="24"/>
        </w:rPr>
        <w:t xml:space="preserve"> produit en interne aux différents niveaux de son organisation (trésorerie, comité ALM, direction financière, direction des risques) pour la gestion et le suivi de sa liquidité (y compris de sa transformation) dans le cadre de l’approche avancée ;</w:t>
      </w: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la périodicité à laquelle sont produites en interne les différentes informations relatives à la gestion de sa liquidité (y compris de sa transformation) en approche avancée (impasses, échéanciers de trésorerie, indicateurs, limites, stocks d’actifs liquides, etc.) ;</w:t>
      </w:r>
    </w:p>
    <w:p w:rsidR="0021308C" w:rsidRPr="009C1695" w:rsidRDefault="0021308C" w:rsidP="0021308C">
      <w:pPr>
        <w:autoSpaceDE w:val="0"/>
        <w:autoSpaceDN w:val="0"/>
        <w:adjustRightInd w:val="0"/>
        <w:spacing w:after="0" w:line="240" w:lineRule="auto"/>
        <w:ind w:left="1134" w:firstLine="1134"/>
        <w:jc w:val="both"/>
        <w:rPr>
          <w:rFonts w:ascii="Times New Roman" w:hAnsi="Times New Roman" w:cs="Times New Roman"/>
          <w:color w:val="000000"/>
          <w:sz w:val="24"/>
          <w:szCs w:val="24"/>
        </w:rPr>
      </w:pPr>
    </w:p>
    <w:p w:rsidR="007B6E10" w:rsidRDefault="0021308C" w:rsidP="0021308C">
      <w:pPr>
        <w:autoSpaceDE w:val="0"/>
        <w:autoSpaceDN w:val="0"/>
        <w:adjustRightInd w:val="0"/>
        <w:spacing w:after="0" w:line="240" w:lineRule="auto"/>
        <w:ind w:left="1134" w:firstLine="1134"/>
        <w:jc w:val="both"/>
      </w:pPr>
      <w:r>
        <w:rPr>
          <w:rFonts w:ascii="Times New Roman" w:hAnsi="Times New Roman" w:cs="Times New Roman"/>
          <w:color w:val="000000"/>
          <w:sz w:val="24"/>
          <w:szCs w:val="24"/>
        </w:rPr>
        <w:t>- </w:t>
      </w:r>
      <w:r w:rsidRPr="009C1695">
        <w:rPr>
          <w:rFonts w:ascii="Times New Roman" w:hAnsi="Times New Roman" w:cs="Times New Roman"/>
          <w:color w:val="000000"/>
          <w:sz w:val="24"/>
          <w:szCs w:val="24"/>
        </w:rPr>
        <w:t>le délai de sortie de ces mêmes informations à compter de la date à laquelle elles sont arrêtées.</w:t>
      </w:r>
      <w:bookmarkStart w:id="0" w:name="_GoBack"/>
      <w:bookmarkEnd w:id="0"/>
    </w:p>
    <w:sectPr w:rsidR="007B6E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2941"/>
    <w:multiLevelType w:val="hybridMultilevel"/>
    <w:tmpl w:val="CD1C44F0"/>
    <w:lvl w:ilvl="0" w:tplc="040C0011">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F305E87"/>
    <w:multiLevelType w:val="hybridMultilevel"/>
    <w:tmpl w:val="79AC45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02D514F"/>
    <w:multiLevelType w:val="hybridMultilevel"/>
    <w:tmpl w:val="36E2F518"/>
    <w:lvl w:ilvl="0" w:tplc="CAEA316E">
      <w:start w:val="1"/>
      <w:numFmt w:val="bullet"/>
      <w:lvlText w:val=""/>
      <w:lvlJc w:val="left"/>
      <w:pPr>
        <w:ind w:left="1004" w:hanging="360"/>
      </w:pPr>
      <w:rPr>
        <w:rFonts w:ascii="Symbol" w:hAnsi="Symbol" w:hint="default"/>
        <w:color w:val="4F81BD" w:themeColor="accent1"/>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08C"/>
    <w:rsid w:val="0021308C"/>
    <w:rsid w:val="00AD309B"/>
    <w:rsid w:val="00B97C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0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3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0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3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68D0E9BC.dotm</Template>
  <TotalTime>1</TotalTime>
  <Pages>4</Pages>
  <Words>954</Words>
  <Characters>5250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RIESI</dc:creator>
  <cp:lastModifiedBy>Camille RIESI</cp:lastModifiedBy>
  <cp:revision>1</cp:revision>
  <dcterms:created xsi:type="dcterms:W3CDTF">2018-11-30T12:39:00Z</dcterms:created>
  <dcterms:modified xsi:type="dcterms:W3CDTF">2018-11-30T12:40:00Z</dcterms:modified>
</cp:coreProperties>
</file>