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D94" w:rsidRPr="00D03D5E" w:rsidRDefault="001C4D94" w:rsidP="001C4D94">
      <w:pPr>
        <w:pStyle w:val="Annexenumro"/>
        <w:rPr>
          <w:sz w:val="18"/>
          <w:szCs w:val="18"/>
        </w:rPr>
      </w:pPr>
      <w:bookmarkStart w:id="0" w:name="_GoBack"/>
      <w:bookmarkEnd w:id="0"/>
      <w:r w:rsidRPr="00D03D5E">
        <w:rPr>
          <w:sz w:val="18"/>
          <w:szCs w:val="18"/>
        </w:rPr>
        <w:t>Annexe III</w:t>
      </w:r>
    </w:p>
    <w:p w:rsidR="00D03D5E" w:rsidRPr="00190A9F" w:rsidRDefault="001C4D94" w:rsidP="00D03D5E">
      <w:pPr>
        <w:jc w:val="center"/>
        <w:rPr>
          <w:rFonts w:ascii="Arial" w:hAnsi="Arial" w:cs="Arial"/>
          <w:b/>
          <w:color w:val="548DD4" w:themeColor="text2" w:themeTint="99"/>
          <w:sz w:val="28"/>
          <w:szCs w:val="28"/>
        </w:rPr>
      </w:pPr>
      <w:r w:rsidRPr="00190A9F">
        <w:rPr>
          <w:rFonts w:ascii="Arial" w:hAnsi="Arial" w:cs="Arial"/>
          <w:b/>
          <w:color w:val="548DD4" w:themeColor="text2" w:themeTint="99"/>
          <w:sz w:val="28"/>
          <w:szCs w:val="28"/>
        </w:rPr>
        <w:t>Réglementation en vigueur</w:t>
      </w:r>
    </w:p>
    <w:tbl>
      <w:tblPr>
        <w:tblpPr w:leftFromText="141" w:rightFromText="141" w:vertAnchor="page" w:horzAnchor="margin" w:tblpY="16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5"/>
        <w:gridCol w:w="5105"/>
        <w:gridCol w:w="5066"/>
      </w:tblGrid>
      <w:tr w:rsidR="00D03D5E" w:rsidTr="00D03D5E">
        <w:tc>
          <w:tcPr>
            <w:tcW w:w="1671" w:type="pct"/>
            <w:tcBorders>
              <w:bottom w:val="single" w:sz="4" w:space="0" w:color="auto"/>
            </w:tcBorders>
            <w:vAlign w:val="center"/>
          </w:tcPr>
          <w:p w:rsidR="00D03D5E" w:rsidRPr="00E32D18" w:rsidRDefault="00D03D5E" w:rsidP="00D03D5E">
            <w:pPr>
              <w:jc w:val="center"/>
              <w:rPr>
                <w:rFonts w:ascii="Arial" w:hAnsi="Arial" w:cs="Arial"/>
                <w:b/>
              </w:rPr>
            </w:pPr>
            <w:r w:rsidRPr="00E32D18">
              <w:rPr>
                <w:rFonts w:ascii="Arial" w:hAnsi="Arial" w:cs="Arial"/>
                <w:b/>
              </w:rPr>
              <w:t>Code de la sécurité sociale</w:t>
            </w:r>
          </w:p>
        </w:tc>
        <w:tc>
          <w:tcPr>
            <w:tcW w:w="1671" w:type="pct"/>
            <w:vAlign w:val="center"/>
          </w:tcPr>
          <w:p w:rsidR="00D03D5E" w:rsidRPr="00E32D18" w:rsidRDefault="00D03D5E" w:rsidP="00B242E4">
            <w:pPr>
              <w:jc w:val="center"/>
              <w:rPr>
                <w:rFonts w:ascii="Arial" w:hAnsi="Arial" w:cs="Arial"/>
                <w:b/>
              </w:rPr>
            </w:pPr>
            <w:r w:rsidRPr="00E32D18">
              <w:rPr>
                <w:rFonts w:ascii="Arial" w:hAnsi="Arial" w:cs="Arial"/>
                <w:b/>
              </w:rPr>
              <w:t>Code de la mutualité</w:t>
            </w:r>
          </w:p>
        </w:tc>
        <w:tc>
          <w:tcPr>
            <w:tcW w:w="1658" w:type="pct"/>
            <w:vAlign w:val="center"/>
          </w:tcPr>
          <w:p w:rsidR="00D03D5E" w:rsidRPr="00E32D18" w:rsidRDefault="00D03D5E" w:rsidP="00B242E4">
            <w:pPr>
              <w:jc w:val="center"/>
              <w:rPr>
                <w:rFonts w:ascii="Arial" w:hAnsi="Arial" w:cs="Arial"/>
                <w:b/>
              </w:rPr>
            </w:pPr>
            <w:r w:rsidRPr="00E32D18">
              <w:rPr>
                <w:rFonts w:ascii="Arial" w:hAnsi="Arial" w:cs="Arial"/>
                <w:b/>
              </w:rPr>
              <w:t>Code des assurances</w:t>
            </w:r>
          </w:p>
        </w:tc>
      </w:tr>
      <w:tr w:rsidR="00D03D5E" w:rsidTr="00B242E4">
        <w:tc>
          <w:tcPr>
            <w:tcW w:w="1671" w:type="pct"/>
            <w:tcBorders>
              <w:bottom w:val="single" w:sz="4" w:space="0" w:color="auto"/>
            </w:tcBorders>
          </w:tcPr>
          <w:p w:rsidR="00D03D5E" w:rsidRPr="001C4D94" w:rsidRDefault="00D03D5E" w:rsidP="00DE7D8E">
            <w:pPr>
              <w:jc w:val="center"/>
              <w:rPr>
                <w:b/>
              </w:rPr>
            </w:pPr>
            <w:r w:rsidRPr="00F05BBA">
              <w:rPr>
                <w:b/>
              </w:rPr>
              <w:t>Article R. 931-10-42</w:t>
            </w:r>
            <w:r>
              <w:rPr>
                <w:b/>
              </w:rPr>
              <w:t xml:space="preserve"> </w:t>
            </w:r>
            <w:r>
              <w:rPr>
                <w:i/>
              </w:rPr>
              <w:t>– Modifié par la loi</w:t>
            </w:r>
            <w:r w:rsidR="006435CA">
              <w:rPr>
                <w:i/>
              </w:rPr>
              <w:t xml:space="preserve"> n</w:t>
            </w:r>
            <w:r w:rsidR="006435CA" w:rsidRPr="006435CA">
              <w:rPr>
                <w:i/>
                <w:vertAlign w:val="superscript"/>
              </w:rPr>
              <w:t>o</w:t>
            </w:r>
            <w:r>
              <w:rPr>
                <w:i/>
              </w:rPr>
              <w:t xml:space="preserve"> 2013-672 du 26</w:t>
            </w:r>
            <w:r w:rsidR="00DE7D8E">
              <w:rPr>
                <w:i/>
              </w:rPr>
              <w:t> </w:t>
            </w:r>
            <w:r>
              <w:rPr>
                <w:i/>
              </w:rPr>
              <w:t>juillet 2013 – art.</w:t>
            </w:r>
            <w:r w:rsidR="00DE7D8E">
              <w:rPr>
                <w:i/>
              </w:rPr>
              <w:t xml:space="preserve"> </w:t>
            </w:r>
            <w:r>
              <w:rPr>
                <w:i/>
              </w:rPr>
              <w:t>24 (V)</w:t>
            </w:r>
          </w:p>
        </w:tc>
        <w:tc>
          <w:tcPr>
            <w:tcW w:w="1671" w:type="pct"/>
            <w:vAlign w:val="center"/>
          </w:tcPr>
          <w:p w:rsidR="00D03D5E" w:rsidRDefault="00D03D5E" w:rsidP="00DE7D8E">
            <w:pPr>
              <w:jc w:val="center"/>
            </w:pPr>
            <w:r w:rsidRPr="00F05BBA">
              <w:rPr>
                <w:b/>
              </w:rPr>
              <w:t>Article R.</w:t>
            </w:r>
            <w:r>
              <w:rPr>
                <w:b/>
              </w:rPr>
              <w:t xml:space="preserve"> 212-54 </w:t>
            </w:r>
            <w:r>
              <w:rPr>
                <w:i/>
              </w:rPr>
              <w:t xml:space="preserve">– Modifié par </w:t>
            </w:r>
            <w:r w:rsidR="00DE7D8E">
              <w:rPr>
                <w:i/>
              </w:rPr>
              <w:t>la loi</w:t>
            </w:r>
            <w:r>
              <w:rPr>
                <w:i/>
              </w:rPr>
              <w:t xml:space="preserve"> n</w:t>
            </w:r>
            <w:r w:rsidR="006435CA" w:rsidRPr="006435CA">
              <w:rPr>
                <w:i/>
                <w:vertAlign w:val="superscript"/>
              </w:rPr>
              <w:t>o</w:t>
            </w:r>
            <w:r w:rsidR="00DE7D8E">
              <w:rPr>
                <w:i/>
              </w:rPr>
              <w:t xml:space="preserve"> </w:t>
            </w:r>
            <w:r>
              <w:rPr>
                <w:i/>
              </w:rPr>
              <w:t>2005-1564 du 15</w:t>
            </w:r>
            <w:r w:rsidR="00DE7D8E">
              <w:rPr>
                <w:i/>
              </w:rPr>
              <w:t> </w:t>
            </w:r>
            <w:r>
              <w:rPr>
                <w:i/>
              </w:rPr>
              <w:t>décembre 2005</w:t>
            </w:r>
            <w:r w:rsidR="00DE7D8E">
              <w:rPr>
                <w:i/>
              </w:rPr>
              <w:t xml:space="preserve"> –</w:t>
            </w:r>
            <w:r>
              <w:rPr>
                <w:i/>
              </w:rPr>
              <w:t xml:space="preserve"> art.14 (V) </w:t>
            </w:r>
            <w:r w:rsidR="00E32D18">
              <w:rPr>
                <w:i/>
              </w:rPr>
              <w:t xml:space="preserve">– </w:t>
            </w:r>
            <w:r>
              <w:rPr>
                <w:i/>
              </w:rPr>
              <w:t>JORF 16 décembre 2005</w:t>
            </w:r>
          </w:p>
        </w:tc>
        <w:tc>
          <w:tcPr>
            <w:tcW w:w="1658" w:type="pct"/>
            <w:vAlign w:val="center"/>
          </w:tcPr>
          <w:p w:rsidR="00D03D5E" w:rsidRDefault="00D03D5E" w:rsidP="00B242E4">
            <w:pPr>
              <w:jc w:val="center"/>
            </w:pPr>
            <w:r w:rsidRPr="00F05BBA">
              <w:rPr>
                <w:b/>
              </w:rPr>
              <w:t>Article R. 332-20-1</w:t>
            </w:r>
            <w:r w:rsidRPr="00901644">
              <w:rPr>
                <w:b/>
                <w:i/>
              </w:rPr>
              <w:t xml:space="preserve"> </w:t>
            </w:r>
            <w:r>
              <w:rPr>
                <w:i/>
              </w:rPr>
              <w:t>– Décret n</w:t>
            </w:r>
            <w:r w:rsidR="006435CA" w:rsidRPr="006435CA">
              <w:rPr>
                <w:i/>
                <w:vertAlign w:val="superscript"/>
              </w:rPr>
              <w:t>o</w:t>
            </w:r>
            <w:r w:rsidR="00E32D18">
              <w:rPr>
                <w:i/>
              </w:rPr>
              <w:t> 94-481 du 8 juin 1994</w:t>
            </w:r>
          </w:p>
        </w:tc>
      </w:tr>
      <w:tr w:rsidR="00D03D5E" w:rsidTr="00B242E4">
        <w:tc>
          <w:tcPr>
            <w:tcW w:w="1671" w:type="pct"/>
            <w:tcBorders>
              <w:top w:val="nil"/>
              <w:left w:val="single" w:sz="4" w:space="0" w:color="auto"/>
              <w:bottom w:val="single" w:sz="4" w:space="0" w:color="auto"/>
              <w:right w:val="single" w:sz="4" w:space="0" w:color="auto"/>
            </w:tcBorders>
          </w:tcPr>
          <w:p w:rsidR="00D03D5E" w:rsidRPr="00DE7D8E" w:rsidRDefault="00D03D5E" w:rsidP="00B242E4">
            <w:r>
              <w:t>Les valeurs énumérées à l</w:t>
            </w:r>
            <w:r w:rsidR="0019660D">
              <w:t>’</w:t>
            </w:r>
            <w:r>
              <w:t>article R. 931-10-21 et les autres placements financiers et immobiliers font l</w:t>
            </w:r>
            <w:r w:rsidR="0019660D">
              <w:t>’</w:t>
            </w:r>
            <w:r>
              <w:t xml:space="preserve">objet, aux fins notamment </w:t>
            </w:r>
            <w:r w:rsidRPr="00136986">
              <w:t>d</w:t>
            </w:r>
            <w:r w:rsidR="0019660D">
              <w:t>’</w:t>
            </w:r>
            <w:r w:rsidRPr="00136986">
              <w:t>effectuer le calcul prévu au premier alinéa du I de l</w:t>
            </w:r>
            <w:r w:rsidR="0019660D">
              <w:t>’</w:t>
            </w:r>
            <w:r w:rsidRPr="00136986">
              <w:t>article R. 931-11-9, d</w:t>
            </w:r>
            <w:r w:rsidR="0019660D">
              <w:t>’</w:t>
            </w:r>
            <w:r w:rsidRPr="00136986">
              <w:t>une évaluation sur la base de leur valeur de réalisation, dans les conditions ci-après</w:t>
            </w:r>
            <w:r w:rsidRPr="00DE7D8E">
              <w:t xml:space="preserve"> : </w:t>
            </w:r>
          </w:p>
          <w:p w:rsidR="00D03D5E" w:rsidRDefault="00D03D5E" w:rsidP="00B242E4">
            <w:r>
              <w:t>a) Les valeurs mobilières cotées et les titres cotés de toute nature sont retenus pour le dernier cours coté au jour de l</w:t>
            </w:r>
            <w:r w:rsidR="0019660D">
              <w:t>’</w:t>
            </w:r>
            <w:r>
              <w:t xml:space="preserve">inventaire ; </w:t>
            </w:r>
          </w:p>
          <w:p w:rsidR="00D03D5E" w:rsidRDefault="00D03D5E" w:rsidP="00B242E4">
            <w:r>
              <w:t>b) Les titres non cotés sont retenus pour leur valeur vénale correspondant au prix qui en serait obtenu dans des conditions normales de marché et en fonction de leur utilité pour l</w:t>
            </w:r>
            <w:r w:rsidR="0019660D">
              <w:t>’</w:t>
            </w:r>
            <w:r>
              <w:t>institution ou l</w:t>
            </w:r>
            <w:r w:rsidR="0019660D">
              <w:t>’</w:t>
            </w:r>
            <w:r>
              <w:t xml:space="preserve">union ; </w:t>
            </w:r>
          </w:p>
          <w:p w:rsidR="00D03D5E" w:rsidRDefault="00D03D5E" w:rsidP="00B242E4">
            <w:r>
              <w:t>c) Les actions de sociétés d</w:t>
            </w:r>
            <w:r w:rsidR="0019660D">
              <w:t>’</w:t>
            </w:r>
            <w:r>
              <w:t>investissement à capital variable et les parts de fonds communs de placement sont retenues pour le dernier prix de rachat publié au jour de l</w:t>
            </w:r>
            <w:r w:rsidR="0019660D">
              <w:t>’</w:t>
            </w:r>
            <w:r>
              <w:t>inventaire ;</w:t>
            </w:r>
          </w:p>
          <w:p w:rsidR="00D03D5E" w:rsidRDefault="00D03D5E" w:rsidP="00B242E4">
            <w:pPr>
              <w:rPr>
                <w:b/>
              </w:rPr>
            </w:pPr>
            <w:r w:rsidRPr="00136986">
              <w:rPr>
                <w:b/>
              </w:rPr>
              <w:t>d)</w:t>
            </w:r>
            <w:r>
              <w:t xml:space="preserve"> </w:t>
            </w:r>
            <w:r w:rsidRPr="00136986">
              <w:rPr>
                <w:b/>
              </w:rPr>
              <w:t>La valeur de réalisation des immeubles et des parts ou actions des sociétés immobilières ou foncières non inscrites à la cote d</w:t>
            </w:r>
            <w:r w:rsidR="0019660D">
              <w:rPr>
                <w:b/>
              </w:rPr>
              <w:t>’</w:t>
            </w:r>
            <w:r w:rsidRPr="00136986">
              <w:rPr>
                <w:b/>
              </w:rPr>
              <w:t>une bourse de valeurs d</w:t>
            </w:r>
            <w:r w:rsidR="0019660D">
              <w:rPr>
                <w:b/>
              </w:rPr>
              <w:t>’</w:t>
            </w:r>
            <w:r w:rsidRPr="00136986">
              <w:rPr>
                <w:b/>
              </w:rPr>
              <w:t xml:space="preserve">un </w:t>
            </w:r>
            <w:r w:rsidR="00DE7D8E" w:rsidRPr="00DE7D8E">
              <w:rPr>
                <w:b/>
                <w:caps/>
              </w:rPr>
              <w:t>é</w:t>
            </w:r>
            <w:r w:rsidRPr="00136986">
              <w:rPr>
                <w:b/>
              </w:rPr>
              <w:t>tat membre de l</w:t>
            </w:r>
            <w:r w:rsidR="0019660D">
              <w:rPr>
                <w:b/>
              </w:rPr>
              <w:t>’</w:t>
            </w:r>
            <w:r w:rsidR="00E32D18">
              <w:rPr>
                <w:b/>
              </w:rPr>
              <w:t>OCD</w:t>
            </w:r>
            <w:r w:rsidRPr="00136986">
              <w:rPr>
                <w:b/>
              </w:rPr>
              <w:t>E</w:t>
            </w:r>
            <w:r>
              <w:rPr>
                <w:b/>
              </w:rPr>
              <w:t xml:space="preserve"> est déterminée sur la base d</w:t>
            </w:r>
            <w:r w:rsidR="0019660D">
              <w:rPr>
                <w:b/>
              </w:rPr>
              <w:t>’</w:t>
            </w:r>
            <w:r>
              <w:rPr>
                <w:b/>
              </w:rPr>
              <w:t>une expertise quinquennale effectuée par un expert accepté par l’Autorité de contrôle prudentiel et de résolution instituée à l</w:t>
            </w:r>
            <w:r w:rsidR="0019660D">
              <w:rPr>
                <w:b/>
              </w:rPr>
              <w:t>’</w:t>
            </w:r>
            <w:r>
              <w:rPr>
                <w:b/>
              </w:rPr>
              <w:t>article L.</w:t>
            </w:r>
            <w:r w:rsidR="00DE7D8E">
              <w:rPr>
                <w:b/>
              </w:rPr>
              <w:t> </w:t>
            </w:r>
            <w:r>
              <w:rPr>
                <w:b/>
              </w:rPr>
              <w:t>951-1. Entre deux expertises, la valeur fait l</w:t>
            </w:r>
            <w:r w:rsidR="0019660D">
              <w:rPr>
                <w:b/>
              </w:rPr>
              <w:t>’</w:t>
            </w:r>
            <w:r>
              <w:rPr>
                <w:b/>
              </w:rPr>
              <w:t>objet d</w:t>
            </w:r>
            <w:r w:rsidR="0019660D">
              <w:rPr>
                <w:b/>
              </w:rPr>
              <w:t>’</w:t>
            </w:r>
            <w:r>
              <w:rPr>
                <w:b/>
              </w:rPr>
              <w:t xml:space="preserve">une estimation annuelle, certifiée par un expert accepté par cette Autorité ; </w:t>
            </w:r>
          </w:p>
          <w:p w:rsidR="00D03D5E" w:rsidRDefault="00D03D5E" w:rsidP="00B242E4">
            <w:r>
              <w:t>e) Les autres placements sont retenus pour leur valeur comptable déterminée comme il est prévu aux articles R. 931-10-40 et R. 931-10-41, sauf dans le cas où une autre valeur résulte soit d</w:t>
            </w:r>
            <w:r w:rsidR="0019660D">
              <w:t>’</w:t>
            </w:r>
            <w:r>
              <w:t>une expertise effectuée dans les conditions prévues à l</w:t>
            </w:r>
            <w:r w:rsidR="0019660D">
              <w:t>’</w:t>
            </w:r>
            <w:r>
              <w:t>article R. 931-10-44, soit d</w:t>
            </w:r>
            <w:r w:rsidR="0019660D">
              <w:t>’</w:t>
            </w:r>
            <w:r>
              <w:t>un accord entre l’Autorité de contrôle prudentiel et de résolution et l</w:t>
            </w:r>
            <w:r w:rsidR="0019660D">
              <w:t>’</w:t>
            </w:r>
            <w:r>
              <w:t>institution ou l</w:t>
            </w:r>
            <w:r w:rsidR="0019660D">
              <w:t>’</w:t>
            </w:r>
            <w:r>
              <w:t xml:space="preserve">union. </w:t>
            </w:r>
          </w:p>
          <w:p w:rsidR="00D03D5E" w:rsidRDefault="00D03D5E" w:rsidP="00B242E4">
            <w:pPr>
              <w:jc w:val="both"/>
              <w:rPr>
                <w:sz w:val="18"/>
              </w:rPr>
            </w:pPr>
            <w:r>
              <w:t>Pour les titres inscrits en comptabilité hors coupon couru en application des articles R. 931-10-40 et R. 931-10-41, il y a lieu de déduire de l</w:t>
            </w:r>
            <w:r w:rsidR="0019660D">
              <w:t>’</w:t>
            </w:r>
            <w:r>
              <w:t>évaluation prévue au présent article les intérêts courus depuis la dernière échéance jusqu</w:t>
            </w:r>
            <w:r w:rsidR="0019660D">
              <w:t>’</w:t>
            </w:r>
            <w:r>
              <w:t>à la date de l</w:t>
            </w:r>
            <w:r w:rsidR="0019660D">
              <w:t>’</w:t>
            </w:r>
            <w:r>
              <w:t xml:space="preserve">inventaire. </w:t>
            </w:r>
          </w:p>
          <w:p w:rsidR="00D03D5E" w:rsidRDefault="00D03D5E" w:rsidP="00D03D5E">
            <w:pPr>
              <w:tabs>
                <w:tab w:val="left" w:pos="3181"/>
              </w:tabs>
            </w:pPr>
            <w:r>
              <w:tab/>
            </w:r>
          </w:p>
        </w:tc>
        <w:tc>
          <w:tcPr>
            <w:tcW w:w="1671" w:type="pct"/>
            <w:tcBorders>
              <w:left w:val="nil"/>
            </w:tcBorders>
          </w:tcPr>
          <w:p w:rsidR="00D03D5E" w:rsidRPr="00136986" w:rsidRDefault="00D03D5E" w:rsidP="00B242E4">
            <w:r>
              <w:t>Les valeurs énumérées à l</w:t>
            </w:r>
            <w:r w:rsidR="0019660D">
              <w:t>’</w:t>
            </w:r>
            <w:r>
              <w:t>article R. 212-31 et les autres placements financiers et immobiliers font l</w:t>
            </w:r>
            <w:r w:rsidR="0019660D">
              <w:t>’</w:t>
            </w:r>
            <w:r>
              <w:t>objet, aux fins notamment d</w:t>
            </w:r>
            <w:r w:rsidR="0019660D">
              <w:t>’</w:t>
            </w:r>
            <w:r>
              <w:t>effectuer le calcul prévu au premier alinéa de l</w:t>
            </w:r>
            <w:r w:rsidR="0019660D">
              <w:t>’</w:t>
            </w:r>
            <w:r>
              <w:t xml:space="preserve">article L. 212-6, </w:t>
            </w:r>
            <w:r w:rsidRPr="00136986">
              <w:t>d</w:t>
            </w:r>
            <w:r w:rsidR="0019660D">
              <w:t>’</w:t>
            </w:r>
            <w:r w:rsidRPr="00136986">
              <w:t>une</w:t>
            </w:r>
            <w:r>
              <w:t xml:space="preserve"> </w:t>
            </w:r>
            <w:r w:rsidRPr="00136986">
              <w:t>évaluation sur la base de leur valeur de réalisation, dans les conditions ci-après :</w:t>
            </w:r>
          </w:p>
          <w:p w:rsidR="00D03D5E" w:rsidRDefault="00D03D5E" w:rsidP="00B242E4">
            <w:r>
              <w:t>a) Les valeurs mobilières cotées et les titres cotés de toute nature sont retenus pour le dernier cours coté au jour de l</w:t>
            </w:r>
            <w:r w:rsidR="0019660D">
              <w:t>’</w:t>
            </w:r>
            <w:r>
              <w:t>inventaire ;</w:t>
            </w:r>
          </w:p>
          <w:p w:rsidR="00D03D5E" w:rsidRDefault="00D03D5E" w:rsidP="00B242E4">
            <w:r>
              <w:t>b) Les titres non cotés sont retenus pour leur valeur vénale correspondant au prix qui en serait obtenu dans des conditions normales de marché et en fonction de leur utilité pour la mutuelle ou l</w:t>
            </w:r>
            <w:r w:rsidR="0019660D">
              <w:t>’</w:t>
            </w:r>
            <w:r>
              <w:t>union ;</w:t>
            </w:r>
          </w:p>
          <w:p w:rsidR="00D03D5E" w:rsidRDefault="00D03D5E" w:rsidP="00B242E4">
            <w:r>
              <w:t>c) Les actions de sociétés d</w:t>
            </w:r>
            <w:r w:rsidR="0019660D">
              <w:t>’</w:t>
            </w:r>
            <w:r>
              <w:t>investissement à capital variable et les parts de fonds communs de placement sont retenues pour le dernier prix de rachat publié au jour de l</w:t>
            </w:r>
            <w:r w:rsidR="0019660D">
              <w:t>’</w:t>
            </w:r>
            <w:r>
              <w:t>inventaire ;</w:t>
            </w:r>
          </w:p>
          <w:p w:rsidR="00D03D5E" w:rsidRDefault="00D03D5E" w:rsidP="00B242E4">
            <w:pPr>
              <w:rPr>
                <w:b/>
              </w:rPr>
            </w:pPr>
            <w:r w:rsidRPr="00136986">
              <w:rPr>
                <w:b/>
              </w:rPr>
              <w:t>d)</w:t>
            </w:r>
            <w:r>
              <w:t xml:space="preserve"> </w:t>
            </w:r>
            <w:r w:rsidRPr="00136986">
              <w:rPr>
                <w:b/>
              </w:rPr>
              <w:t>La valeur de réalisation des immeubles et des parts ou actions des sociétés immobilières ou foncières non inscrites à la cote d</w:t>
            </w:r>
            <w:r w:rsidR="0019660D">
              <w:rPr>
                <w:b/>
              </w:rPr>
              <w:t>’</w:t>
            </w:r>
            <w:r w:rsidRPr="00136986">
              <w:rPr>
                <w:b/>
              </w:rPr>
              <w:t>une bourse de valeurs d</w:t>
            </w:r>
            <w:r w:rsidR="0019660D">
              <w:rPr>
                <w:b/>
              </w:rPr>
              <w:t>’</w:t>
            </w:r>
            <w:r w:rsidRPr="00136986">
              <w:rPr>
                <w:b/>
              </w:rPr>
              <w:t xml:space="preserve">un </w:t>
            </w:r>
            <w:r w:rsidR="00DE7D8E" w:rsidRPr="00DE7D8E">
              <w:rPr>
                <w:b/>
                <w:caps/>
              </w:rPr>
              <w:t>é</w:t>
            </w:r>
            <w:r w:rsidRPr="00136986">
              <w:rPr>
                <w:b/>
              </w:rPr>
              <w:t>tat membre de l</w:t>
            </w:r>
            <w:r w:rsidR="0019660D">
              <w:rPr>
                <w:b/>
              </w:rPr>
              <w:t>’</w:t>
            </w:r>
            <w:r w:rsidRPr="00136986">
              <w:rPr>
                <w:b/>
              </w:rPr>
              <w:t>organisation de coopération et de développement économique</w:t>
            </w:r>
            <w:r>
              <w:t xml:space="preserve"> </w:t>
            </w:r>
            <w:r>
              <w:rPr>
                <w:b/>
              </w:rPr>
              <w:t>est déterminée sur la base d</w:t>
            </w:r>
            <w:r w:rsidR="0019660D">
              <w:rPr>
                <w:b/>
              </w:rPr>
              <w:t>’</w:t>
            </w:r>
            <w:r>
              <w:rPr>
                <w:b/>
              </w:rPr>
              <w:t>une expertise quinquennale effectuée par un expert accepté par l’Autorité de contrôle mentionnée à l</w:t>
            </w:r>
            <w:r w:rsidR="0019660D">
              <w:rPr>
                <w:b/>
              </w:rPr>
              <w:t>’</w:t>
            </w:r>
            <w:r>
              <w:rPr>
                <w:b/>
              </w:rPr>
              <w:t>article L. 510-1. Entre deux expertises, la valeur fait l</w:t>
            </w:r>
            <w:r w:rsidR="0019660D">
              <w:rPr>
                <w:b/>
              </w:rPr>
              <w:t>’</w:t>
            </w:r>
            <w:r>
              <w:rPr>
                <w:b/>
              </w:rPr>
              <w:t>objet d</w:t>
            </w:r>
            <w:r w:rsidR="0019660D">
              <w:rPr>
                <w:b/>
              </w:rPr>
              <w:t>’</w:t>
            </w:r>
            <w:r>
              <w:rPr>
                <w:b/>
              </w:rPr>
              <w:t>une estimation annuelle, certifiée par un expert accepté par cette Autorité</w:t>
            </w:r>
            <w:r w:rsidR="00DE7D8E">
              <w:rPr>
                <w:b/>
              </w:rPr>
              <w:t> ;</w:t>
            </w:r>
          </w:p>
          <w:p w:rsidR="00D03D5E" w:rsidRDefault="00D03D5E" w:rsidP="00B242E4">
            <w:r>
              <w:t>e) Les autres placements sont retenus pour leur valeur comptable déterminée comme il est prévu aux articles R. 212-52 et R. 212-53 ci-dessus, sauf dans le cas où une autre valeur résulte soit d</w:t>
            </w:r>
            <w:r w:rsidR="0019660D">
              <w:t>’</w:t>
            </w:r>
            <w:r>
              <w:t>une expertise effectuée dans les conditions prévues à l</w:t>
            </w:r>
            <w:r w:rsidR="0019660D">
              <w:t>’</w:t>
            </w:r>
            <w:r>
              <w:t>article R. 212-56, soit d</w:t>
            </w:r>
            <w:r w:rsidR="0019660D">
              <w:t>’</w:t>
            </w:r>
            <w:r>
              <w:t>un accord entre l’Autorité de contrôle mentionnée à l</w:t>
            </w:r>
            <w:r w:rsidR="0019660D">
              <w:t>’</w:t>
            </w:r>
            <w:r>
              <w:t>article L.</w:t>
            </w:r>
            <w:r w:rsidR="00DE7D8E">
              <w:t> </w:t>
            </w:r>
            <w:r>
              <w:t>510-1</w:t>
            </w:r>
            <w:r w:rsidR="00DE7D8E">
              <w:t xml:space="preserve"> </w:t>
            </w:r>
            <w:r>
              <w:t>et la mutuelle ou l</w:t>
            </w:r>
            <w:r w:rsidR="0019660D">
              <w:t>’</w:t>
            </w:r>
            <w:r>
              <w:t>union.</w:t>
            </w:r>
          </w:p>
          <w:p w:rsidR="00D03D5E" w:rsidRDefault="00D03D5E" w:rsidP="00B242E4">
            <w:r>
              <w:t>Pour les titres inscrits en comptabilité hors coupon couru en application des articles R. 212-52 et R. 212-53, il y a lieu de déduire de l</w:t>
            </w:r>
            <w:r w:rsidR="0019660D">
              <w:t>’</w:t>
            </w:r>
            <w:r>
              <w:t>évaluation prévue au présent article les prorata d</w:t>
            </w:r>
            <w:r w:rsidR="0019660D">
              <w:t>’</w:t>
            </w:r>
            <w:r>
              <w:t>intérêt courus depuis la dernière échéance jusqu</w:t>
            </w:r>
            <w:r w:rsidR="0019660D">
              <w:t>’</w:t>
            </w:r>
            <w:r>
              <w:t>à la date de l</w:t>
            </w:r>
            <w:r w:rsidR="0019660D">
              <w:t>’</w:t>
            </w:r>
            <w:r>
              <w:t>inventaire.</w:t>
            </w:r>
          </w:p>
        </w:tc>
        <w:tc>
          <w:tcPr>
            <w:tcW w:w="1658" w:type="pct"/>
          </w:tcPr>
          <w:p w:rsidR="00D03D5E" w:rsidRPr="00136986" w:rsidRDefault="00D03D5E" w:rsidP="00B242E4">
            <w:r>
              <w:t>Les valeurs énumérées à l</w:t>
            </w:r>
            <w:r w:rsidR="0019660D">
              <w:t>’</w:t>
            </w:r>
            <w:r>
              <w:t>article R. 332-2 et les autres placements financiers et immobiliers font l</w:t>
            </w:r>
            <w:r w:rsidR="0019660D">
              <w:t>’</w:t>
            </w:r>
            <w:r>
              <w:t>objet, aux fins notamment d</w:t>
            </w:r>
            <w:r w:rsidR="0019660D">
              <w:t>’</w:t>
            </w:r>
            <w:r>
              <w:t>effectuer le calcul prévu au premier alinéa de l</w:t>
            </w:r>
            <w:r w:rsidR="0019660D">
              <w:t>’</w:t>
            </w:r>
            <w:r>
              <w:t xml:space="preserve">article R. 344-1, </w:t>
            </w:r>
            <w:r w:rsidRPr="00136986">
              <w:t>d</w:t>
            </w:r>
            <w:r w:rsidR="0019660D">
              <w:t>’</w:t>
            </w:r>
            <w:r w:rsidRPr="00136986">
              <w:t xml:space="preserve">une évaluation sur la base de leur valeur de réalisation, dans les conditions ci-après : </w:t>
            </w:r>
          </w:p>
          <w:p w:rsidR="00D03D5E" w:rsidRDefault="00D03D5E" w:rsidP="00B242E4">
            <w:r>
              <w:t>a) les valeurs mobilières cotées et les titres cotés de toute nature sont retenus pour le dernier cours coté au jour de l</w:t>
            </w:r>
            <w:r w:rsidR="0019660D">
              <w:t>’</w:t>
            </w:r>
            <w:r>
              <w:t xml:space="preserve">inventaire ; </w:t>
            </w:r>
          </w:p>
          <w:p w:rsidR="00D03D5E" w:rsidRDefault="00D03D5E" w:rsidP="00B242E4">
            <w:r>
              <w:t>b) Les titres non cotés (</w:t>
            </w:r>
            <w:r w:rsidR="00DE7D8E">
              <w:t>d</w:t>
            </w:r>
            <w:r w:rsidR="0019660D">
              <w:t>écret</w:t>
            </w:r>
            <w:r>
              <w:t xml:space="preserve"> n</w:t>
            </w:r>
            <w:r w:rsidR="006435CA" w:rsidRPr="006435CA">
              <w:rPr>
                <w:vertAlign w:val="superscript"/>
              </w:rPr>
              <w:t>o</w:t>
            </w:r>
            <w:r w:rsidR="00DE7D8E">
              <w:t xml:space="preserve"> </w:t>
            </w:r>
            <w:r>
              <w:t>2013-717 du 2 août 2013, art</w:t>
            </w:r>
            <w:r w:rsidR="00E32D18">
              <w:t xml:space="preserve">icle </w:t>
            </w:r>
            <w:r>
              <w:t>1</w:t>
            </w:r>
            <w:r w:rsidRPr="00EC2E3D">
              <w:rPr>
                <w:vertAlign w:val="superscript"/>
              </w:rPr>
              <w:t>er</w:t>
            </w:r>
            <w:r w:rsidR="00DE7D8E">
              <w:t>-II-9</w:t>
            </w:r>
            <w:r w:rsidR="006435CA" w:rsidRPr="006435CA">
              <w:rPr>
                <w:vertAlign w:val="superscript"/>
              </w:rPr>
              <w:t>o</w:t>
            </w:r>
            <w:r w:rsidR="00DE7D8E">
              <w:t xml:space="preserve">) et les « prêts » </w:t>
            </w:r>
            <w:r>
              <w:t>sont retenus pour leur valeur vénale correspondant au prix qui en serait obtenu dans des conditions normales de marché et en fonction de leur utilité pour l</w:t>
            </w:r>
            <w:r w:rsidR="0019660D">
              <w:t>’</w:t>
            </w:r>
            <w:r>
              <w:t xml:space="preserve">entreprise ; </w:t>
            </w:r>
          </w:p>
          <w:p w:rsidR="00D03D5E" w:rsidRDefault="00D03D5E" w:rsidP="00B242E4">
            <w:r>
              <w:t>c) Les actions de sociétés d</w:t>
            </w:r>
            <w:r w:rsidR="0019660D">
              <w:t>’</w:t>
            </w:r>
            <w:r>
              <w:t>investissement à capital variable et les parts de fonds communs de placement sont retenues pour le dernier prix de rachat publié au jour de l</w:t>
            </w:r>
            <w:r w:rsidR="0019660D">
              <w:t>’</w:t>
            </w:r>
            <w:r>
              <w:t xml:space="preserve">inventaire ; </w:t>
            </w:r>
          </w:p>
          <w:p w:rsidR="00D03D5E" w:rsidRDefault="00D03D5E" w:rsidP="00B242E4">
            <w:pPr>
              <w:rPr>
                <w:b/>
              </w:rPr>
            </w:pPr>
            <w:r w:rsidRPr="00136986">
              <w:rPr>
                <w:b/>
              </w:rPr>
              <w:t>d) La valeur de réalisation des immeubles et des parts ou actions des sociétés immobilières ou foncières non inscrites à la cote d</w:t>
            </w:r>
            <w:r w:rsidR="0019660D">
              <w:rPr>
                <w:b/>
              </w:rPr>
              <w:t>’</w:t>
            </w:r>
            <w:r w:rsidRPr="00136986">
              <w:rPr>
                <w:b/>
              </w:rPr>
              <w:t>une bourse de valeurs d</w:t>
            </w:r>
            <w:r w:rsidR="0019660D">
              <w:rPr>
                <w:b/>
              </w:rPr>
              <w:t>’</w:t>
            </w:r>
            <w:r w:rsidRPr="00136986">
              <w:rPr>
                <w:b/>
              </w:rPr>
              <w:t xml:space="preserve">un </w:t>
            </w:r>
            <w:r w:rsidR="00DE7D8E" w:rsidRPr="00DE7D8E">
              <w:rPr>
                <w:b/>
                <w:caps/>
              </w:rPr>
              <w:t>é</w:t>
            </w:r>
            <w:r w:rsidRPr="00136986">
              <w:rPr>
                <w:b/>
              </w:rPr>
              <w:t>tat membre de l</w:t>
            </w:r>
            <w:r w:rsidR="0019660D">
              <w:rPr>
                <w:b/>
              </w:rPr>
              <w:t>’</w:t>
            </w:r>
            <w:r w:rsidRPr="00136986">
              <w:rPr>
                <w:b/>
              </w:rPr>
              <w:t>organisation de coopération et de développement économiques</w:t>
            </w:r>
            <w:r>
              <w:rPr>
                <w:b/>
              </w:rPr>
              <w:t xml:space="preserve"> est déterminée sur la base d</w:t>
            </w:r>
            <w:r w:rsidR="0019660D">
              <w:rPr>
                <w:b/>
              </w:rPr>
              <w:t>’</w:t>
            </w:r>
            <w:r>
              <w:rPr>
                <w:b/>
              </w:rPr>
              <w:t>une expertise quinquennale effectuée par un expert accepté par l’Autorité de contr</w:t>
            </w:r>
            <w:r w:rsidR="00DE7D8E">
              <w:rPr>
                <w:b/>
              </w:rPr>
              <w:t>ôle prudentiel et de résolution</w:t>
            </w:r>
            <w:r>
              <w:rPr>
                <w:b/>
              </w:rPr>
              <w:t>. Entre deux expertises, la valeur fait l</w:t>
            </w:r>
            <w:r w:rsidR="0019660D">
              <w:rPr>
                <w:b/>
              </w:rPr>
              <w:t>’</w:t>
            </w:r>
            <w:r>
              <w:rPr>
                <w:b/>
              </w:rPr>
              <w:t>objet d</w:t>
            </w:r>
            <w:r w:rsidR="0019660D">
              <w:rPr>
                <w:b/>
              </w:rPr>
              <w:t>’</w:t>
            </w:r>
            <w:r>
              <w:rPr>
                <w:b/>
              </w:rPr>
              <w:t>une estimation annuelle, cert</w:t>
            </w:r>
            <w:r w:rsidR="00DE7D8E">
              <w:rPr>
                <w:b/>
              </w:rPr>
              <w:t>ifiée par un expert accepté par</w:t>
            </w:r>
            <w:r>
              <w:rPr>
                <w:b/>
              </w:rPr>
              <w:t xml:space="preserve"> l’Autorité de contrôle prudentiel et de résolution ; </w:t>
            </w:r>
          </w:p>
          <w:p w:rsidR="00D03D5E" w:rsidRDefault="00D03D5E" w:rsidP="00B242E4">
            <w:r>
              <w:t>e) Les autres placements sont retenus pour leur valeur comptable déterminée com</w:t>
            </w:r>
            <w:r w:rsidR="00E32D18">
              <w:t>me il est prévu aux articles R. </w:t>
            </w:r>
            <w:r>
              <w:t>332-19 et R. 332-20 ci-dessus, sauf dans le cas où une autre valeur résulte soit d</w:t>
            </w:r>
            <w:r w:rsidR="0019660D">
              <w:t>’</w:t>
            </w:r>
            <w:r>
              <w:t>une expertise effectuée dans les conditions prévues à l</w:t>
            </w:r>
            <w:r w:rsidR="0019660D">
              <w:t>’</w:t>
            </w:r>
            <w:r>
              <w:t>article R.</w:t>
            </w:r>
            <w:r w:rsidR="00DE7D8E">
              <w:t xml:space="preserve"> 332-23, soit d</w:t>
            </w:r>
            <w:r w:rsidR="0019660D">
              <w:t>’</w:t>
            </w:r>
            <w:r w:rsidR="00DE7D8E">
              <w:t xml:space="preserve">un accord </w:t>
            </w:r>
            <w:r w:rsidR="00DE7D8E" w:rsidRPr="00DE7D8E">
              <w:t xml:space="preserve">entre </w:t>
            </w:r>
            <w:r w:rsidRPr="00DE7D8E">
              <w:t>l’Autorité de contrôle prudentiel et de résolution e</w:t>
            </w:r>
            <w:r>
              <w:t>t l</w:t>
            </w:r>
            <w:r w:rsidR="0019660D">
              <w:t>’</w:t>
            </w:r>
            <w:r>
              <w:t xml:space="preserve">entreprise. </w:t>
            </w:r>
          </w:p>
          <w:p w:rsidR="00D03D5E" w:rsidRDefault="00D03D5E" w:rsidP="00B242E4">
            <w:r>
              <w:t>Pour les titres inscrits en comptabilité hors coupon couru en application des articles R. 332-19 et R. 332-20, il y a lieu de déduire de l</w:t>
            </w:r>
            <w:r w:rsidR="0019660D">
              <w:t>’</w:t>
            </w:r>
            <w:r>
              <w:t>évaluation prévue au présent article les prorata d</w:t>
            </w:r>
            <w:r w:rsidR="0019660D">
              <w:t>’</w:t>
            </w:r>
            <w:r>
              <w:t>intérêt courus depuis la dernière échéance jusqu</w:t>
            </w:r>
            <w:r w:rsidR="0019660D">
              <w:t>’</w:t>
            </w:r>
            <w:r>
              <w:t>à la date de l</w:t>
            </w:r>
            <w:r w:rsidR="0019660D">
              <w:t>’</w:t>
            </w:r>
            <w:r>
              <w:t>inventaire</w:t>
            </w:r>
            <w:r w:rsidR="00DE7D8E">
              <w:t>.</w:t>
            </w:r>
          </w:p>
        </w:tc>
      </w:tr>
    </w:tbl>
    <w:p w:rsidR="00D03D5E" w:rsidRPr="00613294" w:rsidRDefault="00D03D5E" w:rsidP="00D03D5E"/>
    <w:sectPr w:rsidR="00D03D5E" w:rsidRPr="00613294" w:rsidSect="00D03D5E">
      <w:headerReference w:type="first" r:id="rId9"/>
      <w:footerReference w:type="first" r:id="rId10"/>
      <w:pgSz w:w="16838" w:h="11906" w:orient="landscape" w:code="9"/>
      <w:pgMar w:top="567" w:right="851" w:bottom="1134" w:left="851"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708" w:rsidRDefault="00961708" w:rsidP="004B05A0">
      <w:r>
        <w:separator/>
      </w:r>
    </w:p>
  </w:endnote>
  <w:endnote w:type="continuationSeparator" w:id="0">
    <w:p w:rsidR="00961708" w:rsidRDefault="00961708" w:rsidP="004B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659996574"/>
      <w:docPartObj>
        <w:docPartGallery w:val="Page Numbers (Bottom of Page)"/>
        <w:docPartUnique/>
      </w:docPartObj>
    </w:sdtPr>
    <w:sdtEndPr/>
    <w:sdtContent>
      <w:p w:rsidR="002F49AD" w:rsidRPr="002F49AD" w:rsidRDefault="002F49AD" w:rsidP="002F49AD">
        <w:pPr>
          <w:pStyle w:val="Pieddepage"/>
          <w:tabs>
            <w:tab w:val="clear" w:pos="4536"/>
            <w:tab w:val="clear" w:pos="9072"/>
            <w:tab w:val="center" w:pos="9639"/>
          </w:tabs>
          <w:jc w:val="both"/>
          <w:rPr>
            <w:rFonts w:ascii="Arial" w:hAnsi="Arial" w:cs="Arial"/>
            <w:sz w:val="18"/>
            <w:szCs w:val="18"/>
          </w:rPr>
        </w:pPr>
        <w:r w:rsidRPr="002F49AD">
          <w:rPr>
            <w:rFonts w:ascii="Arial" w:hAnsi="Arial" w:cs="Arial"/>
            <w:sz w:val="18"/>
            <w:szCs w:val="18"/>
          </w:rPr>
          <w:t>Autorité de contrôle prudentiel et de résolution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708" w:rsidRDefault="00961708" w:rsidP="004B05A0">
      <w:r>
        <w:separator/>
      </w:r>
    </w:p>
  </w:footnote>
  <w:footnote w:type="continuationSeparator" w:id="0">
    <w:p w:rsidR="00961708" w:rsidRDefault="00961708" w:rsidP="004B0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3D3" w:rsidRPr="006E7165" w:rsidRDefault="00A173D3" w:rsidP="00A173D3">
    <w:pPr>
      <w:pStyle w:val="En-tte"/>
      <w:jc w:val="right"/>
      <w:rPr>
        <w:rFonts w:ascii="Arial Narrow" w:hAnsi="Arial Narrow"/>
        <w:b/>
        <w:i/>
        <w:sz w:val="18"/>
        <w:szCs w:val="18"/>
      </w:rPr>
    </w:pPr>
    <w:r w:rsidRPr="006E7165">
      <w:rPr>
        <w:rFonts w:ascii="Arial Narrow" w:hAnsi="Arial Narrow"/>
        <w:b/>
        <w:i/>
        <w:sz w:val="18"/>
        <w:szCs w:val="18"/>
      </w:rPr>
      <w:t>Instruction n</w:t>
    </w:r>
    <w:r w:rsidRPr="006E7165">
      <w:rPr>
        <w:rFonts w:ascii="Arial Narrow" w:hAnsi="Arial Narrow"/>
        <w:b/>
        <w:i/>
        <w:sz w:val="18"/>
        <w:szCs w:val="18"/>
        <w:vertAlign w:val="superscript"/>
      </w:rPr>
      <w:t>o</w:t>
    </w:r>
    <w:r w:rsidRPr="006E7165">
      <w:rPr>
        <w:rFonts w:ascii="Arial Narrow" w:hAnsi="Arial Narrow"/>
        <w:b/>
        <w:i/>
        <w:sz w:val="18"/>
        <w:szCs w:val="18"/>
      </w:rPr>
      <w:t xml:space="preserve"> 2014-I-07 – Annexe I</w:t>
    </w:r>
    <w:r w:rsidR="006E7165" w:rsidRPr="006E7165">
      <w:rPr>
        <w:rFonts w:ascii="Arial Narrow" w:hAnsi="Arial Narrow"/>
        <w:b/>
        <w:i/>
        <w:sz w:val="18"/>
        <w:szCs w:val="18"/>
      </w:rPr>
      <w:t>I</w:t>
    </w:r>
    <w:r w:rsidR="00D03D5E">
      <w:rPr>
        <w:rFonts w:ascii="Arial Narrow" w:hAnsi="Arial Narrow"/>
        <w:b/>
        <w:i/>
        <w:sz w:val="18"/>
        <w:szCs w:val="18"/>
      </w:rPr>
      <w:t>I</w:t>
    </w:r>
    <w:r w:rsidRPr="006E7165">
      <w:rPr>
        <w:rFonts w:ascii="Arial Narrow" w:hAnsi="Arial Narrow"/>
        <w:b/>
        <w:i/>
        <w:sz w:val="18"/>
        <w:szCs w:val="18"/>
      </w:rPr>
      <w:t xml:space="preserve"> : </w:t>
    </w:r>
    <w:r w:rsidR="006E7165" w:rsidRPr="006E7165">
      <w:rPr>
        <w:rFonts w:ascii="Arial Narrow" w:hAnsi="Arial Narrow"/>
        <w:b/>
        <w:i/>
        <w:sz w:val="18"/>
        <w:szCs w:val="18"/>
      </w:rPr>
      <w:t>réglementation en</w:t>
    </w:r>
    <w:r w:rsidR="006E7165">
      <w:rPr>
        <w:rFonts w:ascii="Arial Narrow" w:hAnsi="Arial Narrow"/>
        <w:b/>
        <w:i/>
        <w:sz w:val="18"/>
        <w:szCs w:val="18"/>
      </w:rPr>
      <w:t xml:space="preserve"> vigueur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D36D7"/>
    <w:multiLevelType w:val="hybridMultilevel"/>
    <w:tmpl w:val="46B2B206"/>
    <w:lvl w:ilvl="0" w:tplc="0D5612D8">
      <w:start w:val="1"/>
      <w:numFmt w:val="bullet"/>
      <w:lvlText w:val=""/>
      <w:lvlJc w:val="left"/>
      <w:pPr>
        <w:ind w:left="1811" w:hanging="360"/>
      </w:pPr>
      <w:rPr>
        <w:rFonts w:ascii="Symbol" w:hAnsi="Symbol" w:hint="default"/>
      </w:rPr>
    </w:lvl>
    <w:lvl w:ilvl="1" w:tplc="040C0003" w:tentative="1">
      <w:start w:val="1"/>
      <w:numFmt w:val="bullet"/>
      <w:lvlText w:val="o"/>
      <w:lvlJc w:val="left"/>
      <w:pPr>
        <w:ind w:left="2531" w:hanging="360"/>
      </w:pPr>
      <w:rPr>
        <w:rFonts w:ascii="Courier New" w:hAnsi="Courier New" w:cs="Courier New" w:hint="default"/>
      </w:rPr>
    </w:lvl>
    <w:lvl w:ilvl="2" w:tplc="040C0005" w:tentative="1">
      <w:start w:val="1"/>
      <w:numFmt w:val="bullet"/>
      <w:lvlText w:val=""/>
      <w:lvlJc w:val="left"/>
      <w:pPr>
        <w:ind w:left="3251" w:hanging="360"/>
      </w:pPr>
      <w:rPr>
        <w:rFonts w:ascii="Wingdings" w:hAnsi="Wingdings" w:hint="default"/>
      </w:rPr>
    </w:lvl>
    <w:lvl w:ilvl="3" w:tplc="040C0001" w:tentative="1">
      <w:start w:val="1"/>
      <w:numFmt w:val="bullet"/>
      <w:lvlText w:val=""/>
      <w:lvlJc w:val="left"/>
      <w:pPr>
        <w:ind w:left="3971" w:hanging="360"/>
      </w:pPr>
      <w:rPr>
        <w:rFonts w:ascii="Symbol" w:hAnsi="Symbol" w:hint="default"/>
      </w:rPr>
    </w:lvl>
    <w:lvl w:ilvl="4" w:tplc="040C0003" w:tentative="1">
      <w:start w:val="1"/>
      <w:numFmt w:val="bullet"/>
      <w:lvlText w:val="o"/>
      <w:lvlJc w:val="left"/>
      <w:pPr>
        <w:ind w:left="4691" w:hanging="360"/>
      </w:pPr>
      <w:rPr>
        <w:rFonts w:ascii="Courier New" w:hAnsi="Courier New" w:cs="Courier New" w:hint="default"/>
      </w:rPr>
    </w:lvl>
    <w:lvl w:ilvl="5" w:tplc="040C0005" w:tentative="1">
      <w:start w:val="1"/>
      <w:numFmt w:val="bullet"/>
      <w:lvlText w:val=""/>
      <w:lvlJc w:val="left"/>
      <w:pPr>
        <w:ind w:left="5411" w:hanging="360"/>
      </w:pPr>
      <w:rPr>
        <w:rFonts w:ascii="Wingdings" w:hAnsi="Wingdings" w:hint="default"/>
      </w:rPr>
    </w:lvl>
    <w:lvl w:ilvl="6" w:tplc="040C0001" w:tentative="1">
      <w:start w:val="1"/>
      <w:numFmt w:val="bullet"/>
      <w:lvlText w:val=""/>
      <w:lvlJc w:val="left"/>
      <w:pPr>
        <w:ind w:left="6131" w:hanging="360"/>
      </w:pPr>
      <w:rPr>
        <w:rFonts w:ascii="Symbol" w:hAnsi="Symbol" w:hint="default"/>
      </w:rPr>
    </w:lvl>
    <w:lvl w:ilvl="7" w:tplc="040C0003" w:tentative="1">
      <w:start w:val="1"/>
      <w:numFmt w:val="bullet"/>
      <w:lvlText w:val="o"/>
      <w:lvlJc w:val="left"/>
      <w:pPr>
        <w:ind w:left="6851" w:hanging="360"/>
      </w:pPr>
      <w:rPr>
        <w:rFonts w:ascii="Courier New" w:hAnsi="Courier New" w:cs="Courier New" w:hint="default"/>
      </w:rPr>
    </w:lvl>
    <w:lvl w:ilvl="8" w:tplc="040C0005" w:tentative="1">
      <w:start w:val="1"/>
      <w:numFmt w:val="bullet"/>
      <w:lvlText w:val=""/>
      <w:lvlJc w:val="left"/>
      <w:pPr>
        <w:ind w:left="7571" w:hanging="360"/>
      </w:pPr>
      <w:rPr>
        <w:rFonts w:ascii="Wingdings" w:hAnsi="Wingdings" w:hint="default"/>
      </w:rPr>
    </w:lvl>
  </w:abstractNum>
  <w:abstractNum w:abstractNumId="1">
    <w:nsid w:val="6BD478A7"/>
    <w:multiLevelType w:val="hybridMultilevel"/>
    <w:tmpl w:val="E3B8B046"/>
    <w:lvl w:ilvl="0" w:tplc="0D5612D8">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A0"/>
    <w:rsid w:val="000359FE"/>
    <w:rsid w:val="001019D9"/>
    <w:rsid w:val="00146A34"/>
    <w:rsid w:val="00163AFB"/>
    <w:rsid w:val="00183538"/>
    <w:rsid w:val="00190A9F"/>
    <w:rsid w:val="0019660D"/>
    <w:rsid w:val="001C4D94"/>
    <w:rsid w:val="002F49AD"/>
    <w:rsid w:val="003122A5"/>
    <w:rsid w:val="003976D0"/>
    <w:rsid w:val="003B7CC5"/>
    <w:rsid w:val="004B05A0"/>
    <w:rsid w:val="00582F18"/>
    <w:rsid w:val="00595624"/>
    <w:rsid w:val="00613294"/>
    <w:rsid w:val="006326DA"/>
    <w:rsid w:val="006435CA"/>
    <w:rsid w:val="00684B4A"/>
    <w:rsid w:val="006935FD"/>
    <w:rsid w:val="006A67F2"/>
    <w:rsid w:val="006E7165"/>
    <w:rsid w:val="00723932"/>
    <w:rsid w:val="00736F29"/>
    <w:rsid w:val="00803A5E"/>
    <w:rsid w:val="008E7699"/>
    <w:rsid w:val="00961708"/>
    <w:rsid w:val="00976F57"/>
    <w:rsid w:val="009A3A82"/>
    <w:rsid w:val="009F4428"/>
    <w:rsid w:val="00A173D3"/>
    <w:rsid w:val="00A9667C"/>
    <w:rsid w:val="00AA7F35"/>
    <w:rsid w:val="00AE4FED"/>
    <w:rsid w:val="00B31E6D"/>
    <w:rsid w:val="00BC12D8"/>
    <w:rsid w:val="00D03D5E"/>
    <w:rsid w:val="00DD0627"/>
    <w:rsid w:val="00DE7D8E"/>
    <w:rsid w:val="00E32D18"/>
    <w:rsid w:val="00F05BBA"/>
    <w:rsid w:val="00F15287"/>
    <w:rsid w:val="00F23011"/>
    <w:rsid w:val="00FB3F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24"/>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803A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8">
    <w:name w:val="heading 8"/>
    <w:basedOn w:val="Normal"/>
    <w:next w:val="Normal"/>
    <w:link w:val="Titre8Car"/>
    <w:qFormat/>
    <w:rsid w:val="004B05A0"/>
    <w:pPr>
      <w:keepNext/>
      <w:jc w:val="center"/>
      <w:outlineLvl w:val="7"/>
    </w:pPr>
    <w:rPr>
      <w:rFonts w:ascii="Arial" w:hAnsi="Arial"/>
      <w:b/>
      <w:snapToGrid w:val="0"/>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4B05A0"/>
    <w:rPr>
      <w:rFonts w:ascii="Arial" w:eastAsia="Times New Roman" w:hAnsi="Arial" w:cs="Times New Roman"/>
      <w:b/>
      <w:snapToGrid w:val="0"/>
      <w:color w:val="000000"/>
      <w:sz w:val="20"/>
      <w:szCs w:val="20"/>
      <w:lang w:eastAsia="fr-FR"/>
    </w:rPr>
  </w:style>
  <w:style w:type="character" w:styleId="Appelnotedebasdep">
    <w:name w:val="footnote reference"/>
    <w:basedOn w:val="Policepardfaut"/>
    <w:semiHidden/>
    <w:rsid w:val="004B05A0"/>
    <w:rPr>
      <w:rFonts w:ascii="Times New Roman" w:hAnsi="Times New Roman"/>
      <w:position w:val="6"/>
      <w:sz w:val="12"/>
      <w:bdr w:val="none" w:sz="0" w:space="0" w:color="auto"/>
    </w:rPr>
  </w:style>
  <w:style w:type="paragraph" w:styleId="Notedebasdepage">
    <w:name w:val="footnote text"/>
    <w:basedOn w:val="Normal"/>
    <w:link w:val="NotedebasdepageCar"/>
    <w:rsid w:val="004B05A0"/>
    <w:pPr>
      <w:spacing w:before="40" w:after="40"/>
      <w:ind w:left="170" w:right="851" w:hanging="170"/>
    </w:pPr>
    <w:rPr>
      <w:sz w:val="16"/>
    </w:rPr>
  </w:style>
  <w:style w:type="character" w:customStyle="1" w:styleId="NotedebasdepageCar">
    <w:name w:val="Note de bas de page Car"/>
    <w:basedOn w:val="Policepardfaut"/>
    <w:link w:val="Notedebasdepage"/>
    <w:rsid w:val="004B05A0"/>
    <w:rPr>
      <w:rFonts w:ascii="Times New Roman" w:eastAsia="Times New Roman" w:hAnsi="Times New Roman" w:cs="Times New Roman"/>
      <w:sz w:val="16"/>
      <w:szCs w:val="20"/>
      <w:lang w:eastAsia="fr-FR"/>
    </w:rPr>
  </w:style>
  <w:style w:type="paragraph" w:styleId="En-tte">
    <w:name w:val="header"/>
    <w:basedOn w:val="Normal"/>
    <w:link w:val="En-tteCar"/>
    <w:uiPriority w:val="99"/>
    <w:rsid w:val="004B05A0"/>
    <w:pPr>
      <w:tabs>
        <w:tab w:val="center" w:pos="4536"/>
        <w:tab w:val="right" w:pos="9072"/>
      </w:tabs>
    </w:pPr>
  </w:style>
  <w:style w:type="character" w:customStyle="1" w:styleId="En-tteCar">
    <w:name w:val="En-tête Car"/>
    <w:basedOn w:val="Policepardfaut"/>
    <w:link w:val="En-tte"/>
    <w:uiPriority w:val="99"/>
    <w:rsid w:val="004B05A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DD0627"/>
    <w:pPr>
      <w:ind w:left="720"/>
      <w:contextualSpacing/>
    </w:pPr>
  </w:style>
  <w:style w:type="character" w:customStyle="1" w:styleId="st">
    <w:name w:val="st"/>
    <w:rsid w:val="006326DA"/>
  </w:style>
  <w:style w:type="paragraph" w:styleId="Textedebulles">
    <w:name w:val="Balloon Text"/>
    <w:basedOn w:val="Normal"/>
    <w:link w:val="TextedebullesCar"/>
    <w:uiPriority w:val="99"/>
    <w:semiHidden/>
    <w:unhideWhenUsed/>
    <w:rsid w:val="00723932"/>
    <w:rPr>
      <w:rFonts w:ascii="Tahoma" w:hAnsi="Tahoma" w:cs="Tahoma"/>
      <w:sz w:val="16"/>
      <w:szCs w:val="16"/>
    </w:rPr>
  </w:style>
  <w:style w:type="character" w:customStyle="1" w:styleId="TextedebullesCar">
    <w:name w:val="Texte de bulles Car"/>
    <w:basedOn w:val="Policepardfaut"/>
    <w:link w:val="Textedebulles"/>
    <w:uiPriority w:val="99"/>
    <w:semiHidden/>
    <w:rsid w:val="0072393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976F57"/>
    <w:rPr>
      <w:sz w:val="16"/>
      <w:szCs w:val="16"/>
    </w:rPr>
  </w:style>
  <w:style w:type="paragraph" w:styleId="Commentaire">
    <w:name w:val="annotation text"/>
    <w:basedOn w:val="Normal"/>
    <w:link w:val="CommentaireCar"/>
    <w:uiPriority w:val="99"/>
    <w:semiHidden/>
    <w:unhideWhenUsed/>
    <w:rsid w:val="00976F57"/>
  </w:style>
  <w:style w:type="character" w:customStyle="1" w:styleId="CommentaireCar">
    <w:name w:val="Commentaire Car"/>
    <w:basedOn w:val="Policepardfaut"/>
    <w:link w:val="Commentaire"/>
    <w:uiPriority w:val="99"/>
    <w:semiHidden/>
    <w:rsid w:val="00976F5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76F57"/>
    <w:rPr>
      <w:b/>
      <w:bCs/>
    </w:rPr>
  </w:style>
  <w:style w:type="character" w:customStyle="1" w:styleId="ObjetducommentaireCar">
    <w:name w:val="Objet du commentaire Car"/>
    <w:basedOn w:val="CommentaireCar"/>
    <w:link w:val="Objetducommentaire"/>
    <w:uiPriority w:val="99"/>
    <w:semiHidden/>
    <w:rsid w:val="00976F57"/>
    <w:rPr>
      <w:rFonts w:ascii="Times New Roman" w:eastAsia="Times New Roman" w:hAnsi="Times New Roman" w:cs="Times New Roman"/>
      <w:b/>
      <w:bCs/>
      <w:sz w:val="20"/>
      <w:szCs w:val="20"/>
      <w:lang w:eastAsia="fr-FR"/>
    </w:rPr>
  </w:style>
  <w:style w:type="paragraph" w:customStyle="1" w:styleId="Annexenumro">
    <w:name w:val="Annexe numéro"/>
    <w:basedOn w:val="Normal"/>
    <w:link w:val="AnnexenumroCar"/>
    <w:qFormat/>
    <w:rsid w:val="00613294"/>
    <w:pPr>
      <w:jc w:val="right"/>
    </w:pPr>
    <w:rPr>
      <w:rFonts w:ascii="Arial" w:eastAsiaTheme="minorHAnsi" w:hAnsi="Arial" w:cs="Arial"/>
      <w:lang w:eastAsia="en-US"/>
    </w:rPr>
  </w:style>
  <w:style w:type="character" w:customStyle="1" w:styleId="AnnexenumroCar">
    <w:name w:val="Annexe numéro Car"/>
    <w:basedOn w:val="Policepardfaut"/>
    <w:link w:val="Annexenumro"/>
    <w:rsid w:val="00613294"/>
    <w:rPr>
      <w:rFonts w:ascii="Arial" w:hAnsi="Arial" w:cs="Arial"/>
      <w:sz w:val="20"/>
      <w:szCs w:val="20"/>
    </w:rPr>
  </w:style>
  <w:style w:type="paragraph" w:customStyle="1" w:styleId="Publitextecourant">
    <w:name w:val="Publi texte courant"/>
    <w:basedOn w:val="Normal"/>
    <w:link w:val="PublitextecourantCar"/>
    <w:qFormat/>
    <w:rsid w:val="00803A5E"/>
    <w:pPr>
      <w:jc w:val="both"/>
    </w:pPr>
    <w:rPr>
      <w:rFonts w:eastAsiaTheme="minorHAnsi" w:cstheme="minorBidi"/>
      <w:sz w:val="22"/>
      <w:szCs w:val="22"/>
      <w:lang w:eastAsia="en-US"/>
    </w:rPr>
  </w:style>
  <w:style w:type="character" w:customStyle="1" w:styleId="PublitextecourantCar">
    <w:name w:val="Publi texte courant Car"/>
    <w:basedOn w:val="Policepardfaut"/>
    <w:link w:val="Publitextecourant"/>
    <w:rsid w:val="00803A5E"/>
    <w:rPr>
      <w:rFonts w:ascii="Times New Roman" w:hAnsi="Times New Roman"/>
    </w:rPr>
  </w:style>
  <w:style w:type="paragraph" w:customStyle="1" w:styleId="Annexesous-titre1">
    <w:name w:val="Annexe sous-titre 1"/>
    <w:basedOn w:val="Titre1"/>
    <w:next w:val="Normal"/>
    <w:link w:val="Annexesous-titre1Car"/>
    <w:qFormat/>
    <w:rsid w:val="00803A5E"/>
    <w:pPr>
      <w:spacing w:before="0"/>
    </w:pPr>
    <w:rPr>
      <w:rFonts w:ascii="Arial" w:eastAsia="Times New Roman" w:hAnsi="Arial" w:cs="Arial"/>
      <w:b w:val="0"/>
      <w:sz w:val="32"/>
      <w:szCs w:val="32"/>
    </w:rPr>
  </w:style>
  <w:style w:type="character" w:customStyle="1" w:styleId="Annexesous-titre1Car">
    <w:name w:val="Annexe sous-titre 1 Car"/>
    <w:basedOn w:val="Titre1Car"/>
    <w:link w:val="Annexesous-titre1"/>
    <w:rsid w:val="00803A5E"/>
    <w:rPr>
      <w:rFonts w:ascii="Arial" w:eastAsia="Times New Roman" w:hAnsi="Arial" w:cs="Arial"/>
      <w:b w:val="0"/>
      <w:bCs/>
      <w:color w:val="365F91" w:themeColor="accent1" w:themeShade="BF"/>
      <w:sz w:val="32"/>
      <w:szCs w:val="32"/>
      <w:lang w:eastAsia="fr-FR"/>
    </w:rPr>
  </w:style>
  <w:style w:type="character" w:customStyle="1" w:styleId="Titre1Car">
    <w:name w:val="Titre 1 Car"/>
    <w:basedOn w:val="Policepardfaut"/>
    <w:link w:val="Titre1"/>
    <w:uiPriority w:val="9"/>
    <w:rsid w:val="00803A5E"/>
    <w:rPr>
      <w:rFonts w:asciiTheme="majorHAnsi" w:eastAsiaTheme="majorEastAsia" w:hAnsiTheme="majorHAnsi" w:cstheme="majorBidi"/>
      <w:b/>
      <w:bCs/>
      <w:color w:val="365F91" w:themeColor="accent1" w:themeShade="BF"/>
      <w:sz w:val="28"/>
      <w:szCs w:val="28"/>
      <w:lang w:eastAsia="fr-FR"/>
    </w:rPr>
  </w:style>
  <w:style w:type="paragraph" w:styleId="Pieddepage">
    <w:name w:val="footer"/>
    <w:basedOn w:val="Normal"/>
    <w:link w:val="PieddepageCar"/>
    <w:uiPriority w:val="99"/>
    <w:unhideWhenUsed/>
    <w:rsid w:val="00A173D3"/>
    <w:pPr>
      <w:tabs>
        <w:tab w:val="center" w:pos="4536"/>
        <w:tab w:val="right" w:pos="9072"/>
      </w:tabs>
    </w:pPr>
  </w:style>
  <w:style w:type="character" w:customStyle="1" w:styleId="PieddepageCar">
    <w:name w:val="Pied de page Car"/>
    <w:basedOn w:val="Policepardfaut"/>
    <w:link w:val="Pieddepage"/>
    <w:uiPriority w:val="99"/>
    <w:rsid w:val="00A173D3"/>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24"/>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803A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8">
    <w:name w:val="heading 8"/>
    <w:basedOn w:val="Normal"/>
    <w:next w:val="Normal"/>
    <w:link w:val="Titre8Car"/>
    <w:qFormat/>
    <w:rsid w:val="004B05A0"/>
    <w:pPr>
      <w:keepNext/>
      <w:jc w:val="center"/>
      <w:outlineLvl w:val="7"/>
    </w:pPr>
    <w:rPr>
      <w:rFonts w:ascii="Arial" w:hAnsi="Arial"/>
      <w:b/>
      <w:snapToGrid w:val="0"/>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4B05A0"/>
    <w:rPr>
      <w:rFonts w:ascii="Arial" w:eastAsia="Times New Roman" w:hAnsi="Arial" w:cs="Times New Roman"/>
      <w:b/>
      <w:snapToGrid w:val="0"/>
      <w:color w:val="000000"/>
      <w:sz w:val="20"/>
      <w:szCs w:val="20"/>
      <w:lang w:eastAsia="fr-FR"/>
    </w:rPr>
  </w:style>
  <w:style w:type="character" w:styleId="Appelnotedebasdep">
    <w:name w:val="footnote reference"/>
    <w:basedOn w:val="Policepardfaut"/>
    <w:semiHidden/>
    <w:rsid w:val="004B05A0"/>
    <w:rPr>
      <w:rFonts w:ascii="Times New Roman" w:hAnsi="Times New Roman"/>
      <w:position w:val="6"/>
      <w:sz w:val="12"/>
      <w:bdr w:val="none" w:sz="0" w:space="0" w:color="auto"/>
    </w:rPr>
  </w:style>
  <w:style w:type="paragraph" w:styleId="Notedebasdepage">
    <w:name w:val="footnote text"/>
    <w:basedOn w:val="Normal"/>
    <w:link w:val="NotedebasdepageCar"/>
    <w:rsid w:val="004B05A0"/>
    <w:pPr>
      <w:spacing w:before="40" w:after="40"/>
      <w:ind w:left="170" w:right="851" w:hanging="170"/>
    </w:pPr>
    <w:rPr>
      <w:sz w:val="16"/>
    </w:rPr>
  </w:style>
  <w:style w:type="character" w:customStyle="1" w:styleId="NotedebasdepageCar">
    <w:name w:val="Note de bas de page Car"/>
    <w:basedOn w:val="Policepardfaut"/>
    <w:link w:val="Notedebasdepage"/>
    <w:rsid w:val="004B05A0"/>
    <w:rPr>
      <w:rFonts w:ascii="Times New Roman" w:eastAsia="Times New Roman" w:hAnsi="Times New Roman" w:cs="Times New Roman"/>
      <w:sz w:val="16"/>
      <w:szCs w:val="20"/>
      <w:lang w:eastAsia="fr-FR"/>
    </w:rPr>
  </w:style>
  <w:style w:type="paragraph" w:styleId="En-tte">
    <w:name w:val="header"/>
    <w:basedOn w:val="Normal"/>
    <w:link w:val="En-tteCar"/>
    <w:uiPriority w:val="99"/>
    <w:rsid w:val="004B05A0"/>
    <w:pPr>
      <w:tabs>
        <w:tab w:val="center" w:pos="4536"/>
        <w:tab w:val="right" w:pos="9072"/>
      </w:tabs>
    </w:pPr>
  </w:style>
  <w:style w:type="character" w:customStyle="1" w:styleId="En-tteCar">
    <w:name w:val="En-tête Car"/>
    <w:basedOn w:val="Policepardfaut"/>
    <w:link w:val="En-tte"/>
    <w:uiPriority w:val="99"/>
    <w:rsid w:val="004B05A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DD0627"/>
    <w:pPr>
      <w:ind w:left="720"/>
      <w:contextualSpacing/>
    </w:pPr>
  </w:style>
  <w:style w:type="character" w:customStyle="1" w:styleId="st">
    <w:name w:val="st"/>
    <w:rsid w:val="006326DA"/>
  </w:style>
  <w:style w:type="paragraph" w:styleId="Textedebulles">
    <w:name w:val="Balloon Text"/>
    <w:basedOn w:val="Normal"/>
    <w:link w:val="TextedebullesCar"/>
    <w:uiPriority w:val="99"/>
    <w:semiHidden/>
    <w:unhideWhenUsed/>
    <w:rsid w:val="00723932"/>
    <w:rPr>
      <w:rFonts w:ascii="Tahoma" w:hAnsi="Tahoma" w:cs="Tahoma"/>
      <w:sz w:val="16"/>
      <w:szCs w:val="16"/>
    </w:rPr>
  </w:style>
  <w:style w:type="character" w:customStyle="1" w:styleId="TextedebullesCar">
    <w:name w:val="Texte de bulles Car"/>
    <w:basedOn w:val="Policepardfaut"/>
    <w:link w:val="Textedebulles"/>
    <w:uiPriority w:val="99"/>
    <w:semiHidden/>
    <w:rsid w:val="0072393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976F57"/>
    <w:rPr>
      <w:sz w:val="16"/>
      <w:szCs w:val="16"/>
    </w:rPr>
  </w:style>
  <w:style w:type="paragraph" w:styleId="Commentaire">
    <w:name w:val="annotation text"/>
    <w:basedOn w:val="Normal"/>
    <w:link w:val="CommentaireCar"/>
    <w:uiPriority w:val="99"/>
    <w:semiHidden/>
    <w:unhideWhenUsed/>
    <w:rsid w:val="00976F57"/>
  </w:style>
  <w:style w:type="character" w:customStyle="1" w:styleId="CommentaireCar">
    <w:name w:val="Commentaire Car"/>
    <w:basedOn w:val="Policepardfaut"/>
    <w:link w:val="Commentaire"/>
    <w:uiPriority w:val="99"/>
    <w:semiHidden/>
    <w:rsid w:val="00976F5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76F57"/>
    <w:rPr>
      <w:b/>
      <w:bCs/>
    </w:rPr>
  </w:style>
  <w:style w:type="character" w:customStyle="1" w:styleId="ObjetducommentaireCar">
    <w:name w:val="Objet du commentaire Car"/>
    <w:basedOn w:val="CommentaireCar"/>
    <w:link w:val="Objetducommentaire"/>
    <w:uiPriority w:val="99"/>
    <w:semiHidden/>
    <w:rsid w:val="00976F57"/>
    <w:rPr>
      <w:rFonts w:ascii="Times New Roman" w:eastAsia="Times New Roman" w:hAnsi="Times New Roman" w:cs="Times New Roman"/>
      <w:b/>
      <w:bCs/>
      <w:sz w:val="20"/>
      <w:szCs w:val="20"/>
      <w:lang w:eastAsia="fr-FR"/>
    </w:rPr>
  </w:style>
  <w:style w:type="paragraph" w:customStyle="1" w:styleId="Annexenumro">
    <w:name w:val="Annexe numéro"/>
    <w:basedOn w:val="Normal"/>
    <w:link w:val="AnnexenumroCar"/>
    <w:qFormat/>
    <w:rsid w:val="00613294"/>
    <w:pPr>
      <w:jc w:val="right"/>
    </w:pPr>
    <w:rPr>
      <w:rFonts w:ascii="Arial" w:eastAsiaTheme="minorHAnsi" w:hAnsi="Arial" w:cs="Arial"/>
      <w:lang w:eastAsia="en-US"/>
    </w:rPr>
  </w:style>
  <w:style w:type="character" w:customStyle="1" w:styleId="AnnexenumroCar">
    <w:name w:val="Annexe numéro Car"/>
    <w:basedOn w:val="Policepardfaut"/>
    <w:link w:val="Annexenumro"/>
    <w:rsid w:val="00613294"/>
    <w:rPr>
      <w:rFonts w:ascii="Arial" w:hAnsi="Arial" w:cs="Arial"/>
      <w:sz w:val="20"/>
      <w:szCs w:val="20"/>
    </w:rPr>
  </w:style>
  <w:style w:type="paragraph" w:customStyle="1" w:styleId="Publitextecourant">
    <w:name w:val="Publi texte courant"/>
    <w:basedOn w:val="Normal"/>
    <w:link w:val="PublitextecourantCar"/>
    <w:qFormat/>
    <w:rsid w:val="00803A5E"/>
    <w:pPr>
      <w:jc w:val="both"/>
    </w:pPr>
    <w:rPr>
      <w:rFonts w:eastAsiaTheme="minorHAnsi" w:cstheme="minorBidi"/>
      <w:sz w:val="22"/>
      <w:szCs w:val="22"/>
      <w:lang w:eastAsia="en-US"/>
    </w:rPr>
  </w:style>
  <w:style w:type="character" w:customStyle="1" w:styleId="PublitextecourantCar">
    <w:name w:val="Publi texte courant Car"/>
    <w:basedOn w:val="Policepardfaut"/>
    <w:link w:val="Publitextecourant"/>
    <w:rsid w:val="00803A5E"/>
    <w:rPr>
      <w:rFonts w:ascii="Times New Roman" w:hAnsi="Times New Roman"/>
    </w:rPr>
  </w:style>
  <w:style w:type="paragraph" w:customStyle="1" w:styleId="Annexesous-titre1">
    <w:name w:val="Annexe sous-titre 1"/>
    <w:basedOn w:val="Titre1"/>
    <w:next w:val="Normal"/>
    <w:link w:val="Annexesous-titre1Car"/>
    <w:qFormat/>
    <w:rsid w:val="00803A5E"/>
    <w:pPr>
      <w:spacing w:before="0"/>
    </w:pPr>
    <w:rPr>
      <w:rFonts w:ascii="Arial" w:eastAsia="Times New Roman" w:hAnsi="Arial" w:cs="Arial"/>
      <w:b w:val="0"/>
      <w:sz w:val="32"/>
      <w:szCs w:val="32"/>
    </w:rPr>
  </w:style>
  <w:style w:type="character" w:customStyle="1" w:styleId="Annexesous-titre1Car">
    <w:name w:val="Annexe sous-titre 1 Car"/>
    <w:basedOn w:val="Titre1Car"/>
    <w:link w:val="Annexesous-titre1"/>
    <w:rsid w:val="00803A5E"/>
    <w:rPr>
      <w:rFonts w:ascii="Arial" w:eastAsia="Times New Roman" w:hAnsi="Arial" w:cs="Arial"/>
      <w:b w:val="0"/>
      <w:bCs/>
      <w:color w:val="365F91" w:themeColor="accent1" w:themeShade="BF"/>
      <w:sz w:val="32"/>
      <w:szCs w:val="32"/>
      <w:lang w:eastAsia="fr-FR"/>
    </w:rPr>
  </w:style>
  <w:style w:type="character" w:customStyle="1" w:styleId="Titre1Car">
    <w:name w:val="Titre 1 Car"/>
    <w:basedOn w:val="Policepardfaut"/>
    <w:link w:val="Titre1"/>
    <w:uiPriority w:val="9"/>
    <w:rsid w:val="00803A5E"/>
    <w:rPr>
      <w:rFonts w:asciiTheme="majorHAnsi" w:eastAsiaTheme="majorEastAsia" w:hAnsiTheme="majorHAnsi" w:cstheme="majorBidi"/>
      <w:b/>
      <w:bCs/>
      <w:color w:val="365F91" w:themeColor="accent1" w:themeShade="BF"/>
      <w:sz w:val="28"/>
      <w:szCs w:val="28"/>
      <w:lang w:eastAsia="fr-FR"/>
    </w:rPr>
  </w:style>
  <w:style w:type="paragraph" w:styleId="Pieddepage">
    <w:name w:val="footer"/>
    <w:basedOn w:val="Normal"/>
    <w:link w:val="PieddepageCar"/>
    <w:uiPriority w:val="99"/>
    <w:unhideWhenUsed/>
    <w:rsid w:val="00A173D3"/>
    <w:pPr>
      <w:tabs>
        <w:tab w:val="center" w:pos="4536"/>
        <w:tab w:val="right" w:pos="9072"/>
      </w:tabs>
    </w:pPr>
  </w:style>
  <w:style w:type="character" w:customStyle="1" w:styleId="PieddepageCar">
    <w:name w:val="Pied de page Car"/>
    <w:basedOn w:val="Policepardfaut"/>
    <w:link w:val="Pieddepage"/>
    <w:uiPriority w:val="99"/>
    <w:rsid w:val="00A173D3"/>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6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B02BF-098E-4A3B-9106-27D3F0C5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970</Words>
  <Characters>5341</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Autorité de contrôle prudentiel et de résolution</dc:creator>
  <cp:lastModifiedBy>Marc BERTRAND</cp:lastModifiedBy>
  <cp:revision>2</cp:revision>
  <cp:lastPrinted>2014-07-18T09:29:00Z</cp:lastPrinted>
  <dcterms:created xsi:type="dcterms:W3CDTF">2014-07-21T14:31:00Z</dcterms:created>
  <dcterms:modified xsi:type="dcterms:W3CDTF">2014-07-21T14:31:00Z</dcterms:modified>
</cp:coreProperties>
</file>