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2B9A" w14:textId="77777777" w:rsidR="00463A1C" w:rsidRDefault="00463A1C" w:rsidP="00463A1C">
      <w:pPr>
        <w:jc w:val="center"/>
        <w:rPr>
          <w:rFonts w:ascii="Arial" w:hAnsi="Arial" w:cs="Arial"/>
          <w:sz w:val="18"/>
          <w:szCs w:val="18"/>
        </w:rPr>
      </w:pPr>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à la Directrice générale de l</w:t>
      </w:r>
      <w:r w:rsidR="001224E7">
        <w:rPr>
          <w:rFonts w:ascii="Arial" w:hAnsi="Arial" w:cs="Arial"/>
          <w:sz w:val="18"/>
          <w:szCs w:val="18"/>
        </w:rPr>
        <w:t>’</w:t>
      </w:r>
      <w:r w:rsidR="00392789">
        <w:rPr>
          <w:rFonts w:ascii="Arial" w:hAnsi="Arial" w:cs="Arial"/>
          <w:sz w:val="18"/>
          <w:szCs w:val="18"/>
        </w:rPr>
        <w:t>A</w:t>
      </w:r>
      <w:r w:rsidRPr="00463A1C">
        <w:rPr>
          <w:rFonts w:ascii="Arial" w:hAnsi="Arial" w:cs="Arial"/>
          <w:sz w:val="18"/>
          <w:szCs w:val="18"/>
        </w:rPr>
        <w:t>ssociation française des établissements de crédit et des entreprises d</w:t>
      </w:r>
      <w:r w:rsidR="001224E7">
        <w:rPr>
          <w:rFonts w:ascii="Arial" w:hAnsi="Arial" w:cs="Arial"/>
          <w:sz w:val="18"/>
          <w:szCs w:val="18"/>
        </w:rPr>
        <w:t>’</w:t>
      </w:r>
      <w:r w:rsidRPr="00463A1C">
        <w:rPr>
          <w:rFonts w:ascii="Arial" w:hAnsi="Arial" w:cs="Arial"/>
          <w:sz w:val="18"/>
          <w:szCs w:val="18"/>
        </w:rPr>
        <w:t>investissement</w:t>
      </w:r>
    </w:p>
    <w:p w14:paraId="745E7B9F" w14:textId="77777777" w:rsidR="00463A1C" w:rsidRPr="007F2900" w:rsidRDefault="00463A1C" w:rsidP="00463A1C">
      <w:pPr>
        <w:pStyle w:val="SGACP-date"/>
      </w:pPr>
    </w:p>
    <w:p w14:paraId="67B98A4E" w14:textId="607B015C" w:rsidR="004F3BB8" w:rsidRDefault="00A9179A" w:rsidP="00463A1C">
      <w:pPr>
        <w:pStyle w:val="SGACP-date"/>
      </w:pPr>
      <w:r>
        <w:t>Jui</w:t>
      </w:r>
      <w:r w:rsidR="005E1D46">
        <w:t xml:space="preserve">llet </w:t>
      </w:r>
      <w:r w:rsidR="007111DC">
        <w:t>20</w:t>
      </w:r>
      <w:r w:rsidR="005C7ECC">
        <w:t>2</w:t>
      </w:r>
      <w:r w:rsidR="00134277">
        <w:t>2</w:t>
      </w:r>
    </w:p>
    <w:p w14:paraId="53FBC2CD" w14:textId="77777777" w:rsidR="005B70E0" w:rsidRPr="007F2900" w:rsidRDefault="005B70E0" w:rsidP="00463A1C">
      <w:pPr>
        <w:pStyle w:val="SGACP-date"/>
      </w:pPr>
    </w:p>
    <w:p w14:paraId="7C6D24F6" w14:textId="77777777" w:rsidR="00FE68E0" w:rsidRDefault="00463A1C" w:rsidP="00463A1C">
      <w:pPr>
        <w:pStyle w:val="SGACP-titredocument"/>
      </w:pPr>
      <w:r w:rsidRPr="007F2900">
        <w:t>Rapport sur le contrôle interne</w:t>
      </w:r>
      <w:r w:rsidR="00FE68E0">
        <w:t xml:space="preserve"> </w:t>
      </w:r>
    </w:p>
    <w:p w14:paraId="022FE031" w14:textId="77777777" w:rsidR="00463A1C" w:rsidRDefault="00FE68E0" w:rsidP="00463A1C">
      <w:pPr>
        <w:pStyle w:val="SGACP-titredocument"/>
      </w:pPr>
      <w:r>
        <w:t>Établissements de crédit, sociétés de financement et entreprises d’investissement</w:t>
      </w:r>
    </w:p>
    <w:p w14:paraId="01B85DCB" w14:textId="77777777" w:rsidR="004F3BB8" w:rsidRPr="007F2900" w:rsidRDefault="004F3BB8" w:rsidP="00463A1C">
      <w:pPr>
        <w:pStyle w:val="SGACP-titredocument"/>
      </w:pPr>
    </w:p>
    <w:p w14:paraId="18F2EBC0" w14:textId="1A35B8C7"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 xml:space="preserve">rrêté du 3 novembre 2014 </w:t>
      </w:r>
      <w:r w:rsidR="00DA1E95">
        <w:t xml:space="preserve">modifié </w:t>
      </w:r>
      <w:r w:rsidR="00B1279E">
        <w:t>relatif au contrôle interne des entreprises du secteur de la banque, des services de paiement et des services d'investissement soumises au contrôle de l'Autorité de contrôle prudentiel et de résolution</w:t>
      </w:r>
      <w:r w:rsidRPr="007F2900">
        <w:t>)</w:t>
      </w:r>
    </w:p>
    <w:p w14:paraId="63E5B1CC" w14:textId="77777777" w:rsidR="004F3BB8" w:rsidRDefault="004F3BB8" w:rsidP="00463A1C">
      <w:pPr>
        <w:pStyle w:val="SGACP-sous-titredocument"/>
      </w:pPr>
    </w:p>
    <w:p w14:paraId="7DE2CA07" w14:textId="77777777" w:rsidR="004F3BB8" w:rsidRDefault="004F3BB8" w:rsidP="00463A1C">
      <w:pPr>
        <w:pStyle w:val="SGACP-sous-titredocument"/>
      </w:pPr>
    </w:p>
    <w:p w14:paraId="006D7678" w14:textId="77777777"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14:paraId="026679E4" w14:textId="77777777" w:rsidR="00503D15" w:rsidRDefault="00503D15" w:rsidP="00463A1C">
      <w:pPr>
        <w:rPr>
          <w:rFonts w:ascii="Arial" w:hAnsi="Arial" w:cs="Arial"/>
          <w:b/>
          <w:sz w:val="22"/>
          <w:szCs w:val="22"/>
        </w:rPr>
      </w:pPr>
    </w:p>
    <w:p w14:paraId="2478AF20" w14:textId="57135B71" w:rsidR="00D30821"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106958060" w:history="1">
        <w:r w:rsidR="00D30821" w:rsidRPr="00F036F2">
          <w:rPr>
            <w:rStyle w:val="Lienhypertexte"/>
          </w:rPr>
          <w:t>Préambule</w:t>
        </w:r>
        <w:r w:rsidR="00D30821">
          <w:rPr>
            <w:webHidden/>
          </w:rPr>
          <w:tab/>
        </w:r>
        <w:r w:rsidR="00D30821">
          <w:rPr>
            <w:webHidden/>
          </w:rPr>
          <w:tab/>
        </w:r>
        <w:r w:rsidR="00D30821">
          <w:rPr>
            <w:webHidden/>
          </w:rPr>
          <w:fldChar w:fldCharType="begin"/>
        </w:r>
        <w:r w:rsidR="00D30821">
          <w:rPr>
            <w:webHidden/>
          </w:rPr>
          <w:instrText xml:space="preserve"> PAGEREF _Toc106958060 \h </w:instrText>
        </w:r>
        <w:r w:rsidR="00D30821">
          <w:rPr>
            <w:webHidden/>
          </w:rPr>
        </w:r>
        <w:r w:rsidR="00D30821">
          <w:rPr>
            <w:webHidden/>
          </w:rPr>
          <w:fldChar w:fldCharType="separate"/>
        </w:r>
        <w:r w:rsidR="00E23663">
          <w:rPr>
            <w:webHidden/>
          </w:rPr>
          <w:t>2</w:t>
        </w:r>
        <w:r w:rsidR="00D30821">
          <w:rPr>
            <w:webHidden/>
          </w:rPr>
          <w:fldChar w:fldCharType="end"/>
        </w:r>
      </w:hyperlink>
    </w:p>
    <w:p w14:paraId="44E31326" w14:textId="72116975" w:rsidR="00D30821" w:rsidRDefault="00D30821">
      <w:pPr>
        <w:pStyle w:val="TM1"/>
        <w:rPr>
          <w:rFonts w:asciiTheme="minorHAnsi" w:eastAsiaTheme="minorEastAsia" w:hAnsiTheme="minorHAnsi" w:cstheme="minorBidi"/>
          <w:bCs w:val="0"/>
          <w:sz w:val="22"/>
          <w:szCs w:val="22"/>
        </w:rPr>
      </w:pPr>
      <w:hyperlink w:anchor="_Toc106958061" w:history="1">
        <w:r w:rsidRPr="00F036F2">
          <w:rPr>
            <w:rStyle w:val="Lienhypertexte"/>
          </w:rPr>
          <w:t>1.</w:t>
        </w:r>
        <w:r>
          <w:rPr>
            <w:rFonts w:asciiTheme="minorHAnsi" w:eastAsiaTheme="minorEastAsia" w:hAnsiTheme="minorHAnsi" w:cstheme="minorBidi"/>
            <w:bCs w:val="0"/>
            <w:sz w:val="22"/>
            <w:szCs w:val="22"/>
          </w:rPr>
          <w:tab/>
        </w:r>
        <w:r w:rsidRPr="00F036F2">
          <w:rPr>
            <w:rStyle w:val="Lienhypertexte"/>
          </w:rPr>
          <w:t>Présentation générale des activités exercées et des risques encourus  par l’établissement</w:t>
        </w:r>
        <w:r>
          <w:rPr>
            <w:webHidden/>
          </w:rPr>
          <w:tab/>
        </w:r>
        <w:r>
          <w:rPr>
            <w:webHidden/>
          </w:rPr>
          <w:fldChar w:fldCharType="begin"/>
        </w:r>
        <w:r>
          <w:rPr>
            <w:webHidden/>
          </w:rPr>
          <w:instrText xml:space="preserve"> PAGEREF _Toc106958061 \h </w:instrText>
        </w:r>
        <w:r>
          <w:rPr>
            <w:webHidden/>
          </w:rPr>
        </w:r>
        <w:r>
          <w:rPr>
            <w:webHidden/>
          </w:rPr>
          <w:fldChar w:fldCharType="separate"/>
        </w:r>
        <w:r w:rsidR="00E23663">
          <w:rPr>
            <w:webHidden/>
          </w:rPr>
          <w:t>4</w:t>
        </w:r>
        <w:r>
          <w:rPr>
            <w:webHidden/>
          </w:rPr>
          <w:fldChar w:fldCharType="end"/>
        </w:r>
      </w:hyperlink>
    </w:p>
    <w:p w14:paraId="56627F4E" w14:textId="3D2A1B50" w:rsidR="00D30821" w:rsidRDefault="00D30821">
      <w:pPr>
        <w:pStyle w:val="TM1"/>
        <w:rPr>
          <w:rFonts w:asciiTheme="minorHAnsi" w:eastAsiaTheme="minorEastAsia" w:hAnsiTheme="minorHAnsi" w:cstheme="minorBidi"/>
          <w:bCs w:val="0"/>
          <w:sz w:val="22"/>
          <w:szCs w:val="22"/>
        </w:rPr>
      </w:pPr>
      <w:hyperlink w:anchor="_Toc106958062" w:history="1">
        <w:r w:rsidRPr="00F036F2">
          <w:rPr>
            <w:rStyle w:val="Lienhypertexte"/>
          </w:rPr>
          <w:t>2.</w:t>
        </w:r>
        <w:r>
          <w:rPr>
            <w:rFonts w:asciiTheme="minorHAnsi" w:eastAsiaTheme="minorEastAsia" w:hAnsiTheme="minorHAnsi" w:cstheme="minorBidi"/>
            <w:bCs w:val="0"/>
            <w:sz w:val="22"/>
            <w:szCs w:val="22"/>
          </w:rPr>
          <w:tab/>
        </w:r>
        <w:r w:rsidRPr="00F036F2">
          <w:rPr>
            <w:rStyle w:val="Lienhypertexte"/>
          </w:rPr>
          <w:t>Modifications significatives apportées à l’organisation du dispositif  de contrôle interne</w:t>
        </w:r>
        <w:r>
          <w:rPr>
            <w:webHidden/>
          </w:rPr>
          <w:tab/>
        </w:r>
        <w:r>
          <w:rPr>
            <w:webHidden/>
          </w:rPr>
          <w:fldChar w:fldCharType="begin"/>
        </w:r>
        <w:r>
          <w:rPr>
            <w:webHidden/>
          </w:rPr>
          <w:instrText xml:space="preserve"> PAGEREF _Toc106958062 \h </w:instrText>
        </w:r>
        <w:r>
          <w:rPr>
            <w:webHidden/>
          </w:rPr>
        </w:r>
        <w:r>
          <w:rPr>
            <w:webHidden/>
          </w:rPr>
          <w:fldChar w:fldCharType="separate"/>
        </w:r>
        <w:r w:rsidR="00E23663">
          <w:rPr>
            <w:webHidden/>
          </w:rPr>
          <w:t>5</w:t>
        </w:r>
        <w:r>
          <w:rPr>
            <w:webHidden/>
          </w:rPr>
          <w:fldChar w:fldCharType="end"/>
        </w:r>
      </w:hyperlink>
    </w:p>
    <w:p w14:paraId="1BBABFC2" w14:textId="64BDB7AA" w:rsidR="00D30821" w:rsidRDefault="00D30821">
      <w:pPr>
        <w:pStyle w:val="TM1"/>
        <w:rPr>
          <w:rFonts w:asciiTheme="minorHAnsi" w:eastAsiaTheme="minorEastAsia" w:hAnsiTheme="minorHAnsi" w:cstheme="minorBidi"/>
          <w:bCs w:val="0"/>
          <w:sz w:val="22"/>
          <w:szCs w:val="22"/>
        </w:rPr>
      </w:pPr>
      <w:hyperlink w:anchor="_Toc106958063" w:history="1">
        <w:r w:rsidRPr="00F036F2">
          <w:rPr>
            <w:rStyle w:val="Lienhypertexte"/>
          </w:rPr>
          <w:t>3.</w:t>
        </w:r>
        <w:r>
          <w:rPr>
            <w:rFonts w:asciiTheme="minorHAnsi" w:eastAsiaTheme="minorEastAsia" w:hAnsiTheme="minorHAnsi" w:cstheme="minorBidi"/>
            <w:bCs w:val="0"/>
            <w:sz w:val="22"/>
            <w:szCs w:val="22"/>
          </w:rPr>
          <w:tab/>
        </w:r>
        <w:r w:rsidRPr="00F036F2">
          <w:rPr>
            <w:rStyle w:val="Lienhypertexte"/>
          </w:rPr>
          <w:t>Gouvernance</w:t>
        </w:r>
        <w:r>
          <w:rPr>
            <w:webHidden/>
          </w:rPr>
          <w:tab/>
        </w:r>
        <w:r>
          <w:rPr>
            <w:webHidden/>
          </w:rPr>
          <w:fldChar w:fldCharType="begin"/>
        </w:r>
        <w:r>
          <w:rPr>
            <w:webHidden/>
          </w:rPr>
          <w:instrText xml:space="preserve"> PAGEREF _Toc106958063 \h </w:instrText>
        </w:r>
        <w:r>
          <w:rPr>
            <w:webHidden/>
          </w:rPr>
        </w:r>
        <w:r>
          <w:rPr>
            <w:webHidden/>
          </w:rPr>
          <w:fldChar w:fldCharType="separate"/>
        </w:r>
        <w:r w:rsidR="00E23663">
          <w:rPr>
            <w:webHidden/>
          </w:rPr>
          <w:t>6</w:t>
        </w:r>
        <w:r>
          <w:rPr>
            <w:webHidden/>
          </w:rPr>
          <w:fldChar w:fldCharType="end"/>
        </w:r>
      </w:hyperlink>
    </w:p>
    <w:p w14:paraId="665B48F2" w14:textId="5DC18F1A" w:rsidR="00D30821" w:rsidRDefault="00D30821">
      <w:pPr>
        <w:pStyle w:val="TM1"/>
        <w:rPr>
          <w:rFonts w:asciiTheme="minorHAnsi" w:eastAsiaTheme="minorEastAsia" w:hAnsiTheme="minorHAnsi" w:cstheme="minorBidi"/>
          <w:bCs w:val="0"/>
          <w:sz w:val="22"/>
          <w:szCs w:val="22"/>
        </w:rPr>
      </w:pPr>
      <w:hyperlink w:anchor="_Toc106958064" w:history="1">
        <w:r w:rsidRPr="00F036F2">
          <w:rPr>
            <w:rStyle w:val="Lienhypertexte"/>
          </w:rPr>
          <w:t>4.</w:t>
        </w:r>
        <w:r>
          <w:rPr>
            <w:rFonts w:asciiTheme="minorHAnsi" w:eastAsiaTheme="minorEastAsia" w:hAnsiTheme="minorHAnsi" w:cstheme="minorBidi"/>
            <w:bCs w:val="0"/>
            <w:sz w:val="22"/>
            <w:szCs w:val="22"/>
          </w:rPr>
          <w:tab/>
        </w:r>
        <w:r w:rsidRPr="00F036F2">
          <w:rPr>
            <w:rStyle w:val="Lienhypertexte"/>
          </w:rPr>
          <w:t>Résultats des contrôles périodiques effectués au cours de l’exercice écoulé (cf. article 12 de l’arrêté du 3 novembre 2014 modifié) (y compris pour les activités à l’étranger)</w:t>
        </w:r>
        <w:r>
          <w:rPr>
            <w:webHidden/>
          </w:rPr>
          <w:tab/>
        </w:r>
        <w:r>
          <w:rPr>
            <w:webHidden/>
          </w:rPr>
          <w:fldChar w:fldCharType="begin"/>
        </w:r>
        <w:r>
          <w:rPr>
            <w:webHidden/>
          </w:rPr>
          <w:instrText xml:space="preserve"> PAGEREF _Toc106958064 \h </w:instrText>
        </w:r>
        <w:r>
          <w:rPr>
            <w:webHidden/>
          </w:rPr>
        </w:r>
        <w:r>
          <w:rPr>
            <w:webHidden/>
          </w:rPr>
          <w:fldChar w:fldCharType="separate"/>
        </w:r>
        <w:r w:rsidR="00E23663">
          <w:rPr>
            <w:webHidden/>
          </w:rPr>
          <w:t>10</w:t>
        </w:r>
        <w:r>
          <w:rPr>
            <w:webHidden/>
          </w:rPr>
          <w:fldChar w:fldCharType="end"/>
        </w:r>
      </w:hyperlink>
    </w:p>
    <w:p w14:paraId="570A5317" w14:textId="22CB3868" w:rsidR="00D30821" w:rsidRDefault="00D30821">
      <w:pPr>
        <w:pStyle w:val="TM1"/>
        <w:rPr>
          <w:rFonts w:asciiTheme="minorHAnsi" w:eastAsiaTheme="minorEastAsia" w:hAnsiTheme="minorHAnsi" w:cstheme="minorBidi"/>
          <w:bCs w:val="0"/>
          <w:sz w:val="22"/>
          <w:szCs w:val="22"/>
        </w:rPr>
      </w:pPr>
      <w:hyperlink w:anchor="_Toc106958065" w:history="1">
        <w:r w:rsidRPr="00F036F2">
          <w:rPr>
            <w:rStyle w:val="Lienhypertexte"/>
          </w:rPr>
          <w:t>5.</w:t>
        </w:r>
        <w:r>
          <w:rPr>
            <w:rFonts w:asciiTheme="minorHAnsi" w:eastAsiaTheme="minorEastAsia" w:hAnsiTheme="minorHAnsi" w:cstheme="minorBidi"/>
            <w:bCs w:val="0"/>
            <w:sz w:val="22"/>
            <w:szCs w:val="22"/>
          </w:rPr>
          <w:tab/>
        </w:r>
        <w:r w:rsidRPr="00F036F2">
          <w:rPr>
            <w:rStyle w:val="Lienhypertexte"/>
          </w:rPr>
          <w:t>Recensement des opérations avec les dirigeants effectifs, les membres de l’organe de surveillance et les actionnaires principaux (cf. articles 113 et 259 g) ou 259 bis e) de l’arrêté du 3 novembre 2014 modifié)</w:t>
        </w:r>
        <w:r>
          <w:rPr>
            <w:webHidden/>
          </w:rPr>
          <w:tab/>
        </w:r>
        <w:r>
          <w:rPr>
            <w:webHidden/>
          </w:rPr>
          <w:fldChar w:fldCharType="begin"/>
        </w:r>
        <w:r>
          <w:rPr>
            <w:webHidden/>
          </w:rPr>
          <w:instrText xml:space="preserve"> PAGEREF _Toc106958065 \h </w:instrText>
        </w:r>
        <w:r>
          <w:rPr>
            <w:webHidden/>
          </w:rPr>
        </w:r>
        <w:r>
          <w:rPr>
            <w:webHidden/>
          </w:rPr>
          <w:fldChar w:fldCharType="separate"/>
        </w:r>
        <w:r w:rsidR="00E23663">
          <w:rPr>
            <w:webHidden/>
          </w:rPr>
          <w:t>11</w:t>
        </w:r>
        <w:r>
          <w:rPr>
            <w:webHidden/>
          </w:rPr>
          <w:fldChar w:fldCharType="end"/>
        </w:r>
      </w:hyperlink>
    </w:p>
    <w:p w14:paraId="422277C4" w14:textId="4C47AE0C" w:rsidR="00D30821" w:rsidRDefault="00D30821">
      <w:pPr>
        <w:pStyle w:val="TM1"/>
        <w:rPr>
          <w:rFonts w:asciiTheme="minorHAnsi" w:eastAsiaTheme="minorEastAsia" w:hAnsiTheme="minorHAnsi" w:cstheme="minorBidi"/>
          <w:bCs w:val="0"/>
          <w:sz w:val="22"/>
          <w:szCs w:val="22"/>
        </w:rPr>
      </w:pPr>
      <w:hyperlink w:anchor="_Toc106958066" w:history="1">
        <w:r w:rsidRPr="00F036F2">
          <w:rPr>
            <w:rStyle w:val="Lienhypertexte"/>
          </w:rPr>
          <w:t>6.</w:t>
        </w:r>
        <w:r>
          <w:rPr>
            <w:rFonts w:asciiTheme="minorHAnsi" w:eastAsiaTheme="minorEastAsia" w:hAnsiTheme="minorHAnsi" w:cstheme="minorBidi"/>
            <w:bCs w:val="0"/>
            <w:sz w:val="22"/>
            <w:szCs w:val="22"/>
          </w:rPr>
          <w:tab/>
        </w:r>
        <w:r w:rsidRPr="00F036F2">
          <w:rPr>
            <w:rStyle w:val="Lienhypertexte"/>
          </w:rPr>
          <w:t>Processus d’évaluation de l’adéquation du capital interne</w:t>
        </w:r>
        <w:r>
          <w:rPr>
            <w:webHidden/>
          </w:rPr>
          <w:tab/>
        </w:r>
        <w:r>
          <w:rPr>
            <w:webHidden/>
          </w:rPr>
          <w:fldChar w:fldCharType="begin"/>
        </w:r>
        <w:r>
          <w:rPr>
            <w:webHidden/>
          </w:rPr>
          <w:instrText xml:space="preserve"> PAGEREF _Toc106958066 \h </w:instrText>
        </w:r>
        <w:r>
          <w:rPr>
            <w:webHidden/>
          </w:rPr>
        </w:r>
        <w:r>
          <w:rPr>
            <w:webHidden/>
          </w:rPr>
          <w:fldChar w:fldCharType="separate"/>
        </w:r>
        <w:r w:rsidR="00E23663">
          <w:rPr>
            <w:webHidden/>
          </w:rPr>
          <w:t>11</w:t>
        </w:r>
        <w:r>
          <w:rPr>
            <w:webHidden/>
          </w:rPr>
          <w:fldChar w:fldCharType="end"/>
        </w:r>
      </w:hyperlink>
    </w:p>
    <w:p w14:paraId="3F596EF3" w14:textId="41299B46" w:rsidR="00D30821" w:rsidRDefault="00D30821">
      <w:pPr>
        <w:pStyle w:val="TM1"/>
        <w:rPr>
          <w:rFonts w:asciiTheme="minorHAnsi" w:eastAsiaTheme="minorEastAsia" w:hAnsiTheme="minorHAnsi" w:cstheme="minorBidi"/>
          <w:bCs w:val="0"/>
          <w:sz w:val="22"/>
          <w:szCs w:val="22"/>
        </w:rPr>
      </w:pPr>
      <w:hyperlink w:anchor="_Toc106958067" w:history="1">
        <w:r w:rsidRPr="00F036F2">
          <w:rPr>
            <w:rStyle w:val="Lienhypertexte"/>
          </w:rPr>
          <w:t>7.</w:t>
        </w:r>
        <w:r>
          <w:rPr>
            <w:rFonts w:asciiTheme="minorHAnsi" w:eastAsiaTheme="minorEastAsia" w:hAnsiTheme="minorHAnsi" w:cstheme="minorBidi"/>
            <w:bCs w:val="0"/>
            <w:sz w:val="22"/>
            <w:szCs w:val="22"/>
          </w:rPr>
          <w:tab/>
        </w:r>
        <w:r w:rsidRPr="00F036F2">
          <w:rPr>
            <w:rStyle w:val="Lienhypertexte"/>
          </w:rPr>
          <w:t>Risque de non conformité (hors risque de blanchiment des capitaux  et de financement du terrorisme)</w:t>
        </w:r>
        <w:r>
          <w:rPr>
            <w:webHidden/>
          </w:rPr>
          <w:tab/>
        </w:r>
        <w:r>
          <w:rPr>
            <w:webHidden/>
          </w:rPr>
          <w:fldChar w:fldCharType="begin"/>
        </w:r>
        <w:r>
          <w:rPr>
            <w:webHidden/>
          </w:rPr>
          <w:instrText xml:space="preserve"> PAGEREF _Toc106958067 \h </w:instrText>
        </w:r>
        <w:r>
          <w:rPr>
            <w:webHidden/>
          </w:rPr>
        </w:r>
        <w:r>
          <w:rPr>
            <w:webHidden/>
          </w:rPr>
          <w:fldChar w:fldCharType="separate"/>
        </w:r>
        <w:r w:rsidR="00E23663">
          <w:rPr>
            <w:webHidden/>
          </w:rPr>
          <w:t>12</w:t>
        </w:r>
        <w:r>
          <w:rPr>
            <w:webHidden/>
          </w:rPr>
          <w:fldChar w:fldCharType="end"/>
        </w:r>
      </w:hyperlink>
    </w:p>
    <w:p w14:paraId="65022476" w14:textId="6D9B8D7F" w:rsidR="00D30821" w:rsidRDefault="00D30821">
      <w:pPr>
        <w:pStyle w:val="TM1"/>
        <w:rPr>
          <w:rFonts w:asciiTheme="minorHAnsi" w:eastAsiaTheme="minorEastAsia" w:hAnsiTheme="minorHAnsi" w:cstheme="minorBidi"/>
          <w:bCs w:val="0"/>
          <w:sz w:val="22"/>
          <w:szCs w:val="22"/>
        </w:rPr>
      </w:pPr>
      <w:hyperlink w:anchor="_Toc106958068" w:history="1">
        <w:r w:rsidRPr="00F036F2">
          <w:rPr>
            <w:rStyle w:val="Lienhypertexte"/>
          </w:rPr>
          <w:t>8.</w:t>
        </w:r>
        <w:r>
          <w:rPr>
            <w:rFonts w:asciiTheme="minorHAnsi" w:eastAsiaTheme="minorEastAsia" w:hAnsiTheme="minorHAnsi" w:cstheme="minorBidi"/>
            <w:bCs w:val="0"/>
            <w:sz w:val="22"/>
            <w:szCs w:val="22"/>
          </w:rPr>
          <w:tab/>
        </w:r>
        <w:r w:rsidRPr="00F036F2">
          <w:rPr>
            <w:rStyle w:val="Lienhypertexte"/>
          </w:rPr>
          <w:t>Risque de crédit et de contrepartie (cf. articles 106 à 121 de l’arrêté du 3 novembre 2014 modifié)</w:t>
        </w:r>
        <w:r>
          <w:rPr>
            <w:webHidden/>
          </w:rPr>
          <w:tab/>
        </w:r>
        <w:r>
          <w:rPr>
            <w:webHidden/>
          </w:rPr>
          <w:fldChar w:fldCharType="begin"/>
        </w:r>
        <w:r>
          <w:rPr>
            <w:webHidden/>
          </w:rPr>
          <w:instrText xml:space="preserve"> PAGEREF _Toc106958068 \h </w:instrText>
        </w:r>
        <w:r>
          <w:rPr>
            <w:webHidden/>
          </w:rPr>
        </w:r>
        <w:r>
          <w:rPr>
            <w:webHidden/>
          </w:rPr>
          <w:fldChar w:fldCharType="separate"/>
        </w:r>
        <w:r w:rsidR="00E23663">
          <w:rPr>
            <w:webHidden/>
          </w:rPr>
          <w:t>14</w:t>
        </w:r>
        <w:r>
          <w:rPr>
            <w:webHidden/>
          </w:rPr>
          <w:fldChar w:fldCharType="end"/>
        </w:r>
      </w:hyperlink>
    </w:p>
    <w:p w14:paraId="1E3DA7F3" w14:textId="4F91FF14" w:rsidR="00D30821" w:rsidRDefault="00D30821">
      <w:pPr>
        <w:pStyle w:val="TM1"/>
        <w:rPr>
          <w:rFonts w:asciiTheme="minorHAnsi" w:eastAsiaTheme="minorEastAsia" w:hAnsiTheme="minorHAnsi" w:cstheme="minorBidi"/>
          <w:bCs w:val="0"/>
          <w:sz w:val="22"/>
          <w:szCs w:val="22"/>
        </w:rPr>
      </w:pPr>
      <w:hyperlink w:anchor="_Toc106958069" w:history="1">
        <w:r w:rsidRPr="00F036F2">
          <w:rPr>
            <w:rStyle w:val="Lienhypertexte"/>
          </w:rPr>
          <w:t>9.</w:t>
        </w:r>
        <w:r>
          <w:rPr>
            <w:rFonts w:asciiTheme="minorHAnsi" w:eastAsiaTheme="minorEastAsia" w:hAnsiTheme="minorHAnsi" w:cstheme="minorBidi"/>
            <w:bCs w:val="0"/>
            <w:sz w:val="22"/>
            <w:szCs w:val="22"/>
          </w:rPr>
          <w:tab/>
        </w:r>
        <w:r w:rsidRPr="00F036F2">
          <w:rPr>
            <w:rStyle w:val="Lienhypertexte"/>
          </w:rPr>
          <w:t>Risques associés aux contrats dérivés de gré à gré</w:t>
        </w:r>
        <w:r>
          <w:rPr>
            <w:webHidden/>
          </w:rPr>
          <w:tab/>
        </w:r>
        <w:r>
          <w:rPr>
            <w:webHidden/>
          </w:rPr>
          <w:fldChar w:fldCharType="begin"/>
        </w:r>
        <w:r>
          <w:rPr>
            <w:webHidden/>
          </w:rPr>
          <w:instrText xml:space="preserve"> PAGEREF _Toc106958069 \h </w:instrText>
        </w:r>
        <w:r>
          <w:rPr>
            <w:webHidden/>
          </w:rPr>
        </w:r>
        <w:r>
          <w:rPr>
            <w:webHidden/>
          </w:rPr>
          <w:fldChar w:fldCharType="separate"/>
        </w:r>
        <w:r w:rsidR="00E23663">
          <w:rPr>
            <w:webHidden/>
          </w:rPr>
          <w:t>19</w:t>
        </w:r>
        <w:r>
          <w:rPr>
            <w:webHidden/>
          </w:rPr>
          <w:fldChar w:fldCharType="end"/>
        </w:r>
      </w:hyperlink>
    </w:p>
    <w:p w14:paraId="3E60CA07" w14:textId="4C8599A5" w:rsidR="00D30821" w:rsidRDefault="00D30821">
      <w:pPr>
        <w:pStyle w:val="TM1"/>
        <w:rPr>
          <w:rFonts w:asciiTheme="minorHAnsi" w:eastAsiaTheme="minorEastAsia" w:hAnsiTheme="minorHAnsi" w:cstheme="minorBidi"/>
          <w:bCs w:val="0"/>
          <w:sz w:val="22"/>
          <w:szCs w:val="22"/>
        </w:rPr>
      </w:pPr>
      <w:hyperlink w:anchor="_Toc106958070" w:history="1">
        <w:r w:rsidRPr="00F036F2">
          <w:rPr>
            <w:rStyle w:val="Lienhypertexte"/>
          </w:rPr>
          <w:t>10.</w:t>
        </w:r>
        <w:r>
          <w:rPr>
            <w:rFonts w:asciiTheme="minorHAnsi" w:eastAsiaTheme="minorEastAsia" w:hAnsiTheme="minorHAnsi" w:cstheme="minorBidi"/>
            <w:bCs w:val="0"/>
            <w:sz w:val="22"/>
            <w:szCs w:val="22"/>
          </w:rPr>
          <w:tab/>
        </w:r>
        <w:r w:rsidRPr="00F036F2">
          <w:rPr>
            <w:rStyle w:val="Lienhypertexte"/>
          </w:rPr>
          <w:t>Risques de marché</w:t>
        </w:r>
        <w:r>
          <w:rPr>
            <w:webHidden/>
          </w:rPr>
          <w:tab/>
        </w:r>
        <w:r>
          <w:rPr>
            <w:webHidden/>
          </w:rPr>
          <w:fldChar w:fldCharType="begin"/>
        </w:r>
        <w:r>
          <w:rPr>
            <w:webHidden/>
          </w:rPr>
          <w:instrText xml:space="preserve"> PAGEREF _Toc106958070 \h </w:instrText>
        </w:r>
        <w:r>
          <w:rPr>
            <w:webHidden/>
          </w:rPr>
        </w:r>
        <w:r>
          <w:rPr>
            <w:webHidden/>
          </w:rPr>
          <w:fldChar w:fldCharType="separate"/>
        </w:r>
        <w:r w:rsidR="00E23663">
          <w:rPr>
            <w:webHidden/>
          </w:rPr>
          <w:t>20</w:t>
        </w:r>
        <w:r>
          <w:rPr>
            <w:webHidden/>
          </w:rPr>
          <w:fldChar w:fldCharType="end"/>
        </w:r>
      </w:hyperlink>
    </w:p>
    <w:p w14:paraId="22334397" w14:textId="6BE196C8" w:rsidR="00D30821" w:rsidRDefault="00D30821">
      <w:pPr>
        <w:pStyle w:val="TM1"/>
        <w:rPr>
          <w:rFonts w:asciiTheme="minorHAnsi" w:eastAsiaTheme="minorEastAsia" w:hAnsiTheme="minorHAnsi" w:cstheme="minorBidi"/>
          <w:bCs w:val="0"/>
          <w:sz w:val="22"/>
          <w:szCs w:val="22"/>
        </w:rPr>
      </w:pPr>
      <w:hyperlink w:anchor="_Toc106958071" w:history="1">
        <w:r w:rsidRPr="00F036F2">
          <w:rPr>
            <w:rStyle w:val="Lienhypertexte"/>
          </w:rPr>
          <w:t>11.</w:t>
        </w:r>
        <w:r>
          <w:rPr>
            <w:rFonts w:asciiTheme="minorHAnsi" w:eastAsiaTheme="minorEastAsia" w:hAnsiTheme="minorHAnsi" w:cstheme="minorBidi"/>
            <w:bCs w:val="0"/>
            <w:sz w:val="22"/>
            <w:szCs w:val="22"/>
          </w:rPr>
          <w:tab/>
        </w:r>
        <w:r w:rsidRPr="00F036F2">
          <w:rPr>
            <w:rStyle w:val="Lienhypertexte"/>
          </w:rPr>
          <w:t>Risque opérationnel</w:t>
        </w:r>
        <w:r>
          <w:rPr>
            <w:webHidden/>
          </w:rPr>
          <w:tab/>
        </w:r>
        <w:r>
          <w:rPr>
            <w:webHidden/>
          </w:rPr>
          <w:fldChar w:fldCharType="begin"/>
        </w:r>
        <w:r>
          <w:rPr>
            <w:webHidden/>
          </w:rPr>
          <w:instrText xml:space="preserve"> PAGEREF _Toc106958071 \h </w:instrText>
        </w:r>
        <w:r>
          <w:rPr>
            <w:webHidden/>
          </w:rPr>
        </w:r>
        <w:r>
          <w:rPr>
            <w:webHidden/>
          </w:rPr>
          <w:fldChar w:fldCharType="separate"/>
        </w:r>
        <w:r w:rsidR="00E23663">
          <w:rPr>
            <w:webHidden/>
          </w:rPr>
          <w:t>22</w:t>
        </w:r>
        <w:r>
          <w:rPr>
            <w:webHidden/>
          </w:rPr>
          <w:fldChar w:fldCharType="end"/>
        </w:r>
      </w:hyperlink>
    </w:p>
    <w:p w14:paraId="23B4B18D" w14:textId="7F5502D8" w:rsidR="00D30821" w:rsidRDefault="00D30821">
      <w:pPr>
        <w:pStyle w:val="TM1"/>
        <w:rPr>
          <w:rFonts w:asciiTheme="minorHAnsi" w:eastAsiaTheme="minorEastAsia" w:hAnsiTheme="minorHAnsi" w:cstheme="minorBidi"/>
          <w:bCs w:val="0"/>
          <w:sz w:val="22"/>
          <w:szCs w:val="22"/>
        </w:rPr>
      </w:pPr>
      <w:hyperlink w:anchor="_Toc106958072" w:history="1">
        <w:r w:rsidRPr="00F036F2">
          <w:rPr>
            <w:rStyle w:val="Lienhypertexte"/>
          </w:rPr>
          <w:t>12.</w:t>
        </w:r>
        <w:r>
          <w:rPr>
            <w:rFonts w:asciiTheme="minorHAnsi" w:eastAsiaTheme="minorEastAsia" w:hAnsiTheme="minorHAnsi" w:cstheme="minorBidi"/>
            <w:bCs w:val="0"/>
            <w:sz w:val="22"/>
            <w:szCs w:val="22"/>
          </w:rPr>
          <w:tab/>
        </w:r>
        <w:r w:rsidRPr="00F036F2">
          <w:rPr>
            <w:rStyle w:val="Lienhypertexte"/>
          </w:rPr>
          <w:t>Risque comptable</w:t>
        </w:r>
        <w:r>
          <w:rPr>
            <w:webHidden/>
          </w:rPr>
          <w:tab/>
        </w:r>
        <w:r>
          <w:rPr>
            <w:webHidden/>
          </w:rPr>
          <w:fldChar w:fldCharType="begin"/>
        </w:r>
        <w:r>
          <w:rPr>
            <w:webHidden/>
          </w:rPr>
          <w:instrText xml:space="preserve"> PAGEREF _Toc106958072 \h </w:instrText>
        </w:r>
        <w:r>
          <w:rPr>
            <w:webHidden/>
          </w:rPr>
        </w:r>
        <w:r>
          <w:rPr>
            <w:webHidden/>
          </w:rPr>
          <w:fldChar w:fldCharType="separate"/>
        </w:r>
        <w:r w:rsidR="00E23663">
          <w:rPr>
            <w:webHidden/>
          </w:rPr>
          <w:t>25</w:t>
        </w:r>
        <w:r>
          <w:rPr>
            <w:webHidden/>
          </w:rPr>
          <w:fldChar w:fldCharType="end"/>
        </w:r>
      </w:hyperlink>
    </w:p>
    <w:p w14:paraId="660C42D1" w14:textId="6D9B1529" w:rsidR="00D30821" w:rsidRDefault="00D30821">
      <w:pPr>
        <w:pStyle w:val="TM1"/>
        <w:rPr>
          <w:rFonts w:asciiTheme="minorHAnsi" w:eastAsiaTheme="minorEastAsia" w:hAnsiTheme="minorHAnsi" w:cstheme="minorBidi"/>
          <w:bCs w:val="0"/>
          <w:sz w:val="22"/>
          <w:szCs w:val="22"/>
        </w:rPr>
      </w:pPr>
      <w:hyperlink w:anchor="_Toc106958073" w:history="1">
        <w:r w:rsidRPr="00F036F2">
          <w:rPr>
            <w:rStyle w:val="Lienhypertexte"/>
          </w:rPr>
          <w:t>13.</w:t>
        </w:r>
        <w:r>
          <w:rPr>
            <w:rFonts w:asciiTheme="minorHAnsi" w:eastAsiaTheme="minorEastAsia" w:hAnsiTheme="minorHAnsi" w:cstheme="minorBidi"/>
            <w:bCs w:val="0"/>
            <w:sz w:val="22"/>
            <w:szCs w:val="22"/>
          </w:rPr>
          <w:tab/>
        </w:r>
        <w:r w:rsidRPr="00F036F2">
          <w:rPr>
            <w:rStyle w:val="Lienhypertexte"/>
          </w:rPr>
          <w:t>Risque de taux d’intérêt global</w:t>
        </w:r>
        <w:r>
          <w:rPr>
            <w:webHidden/>
          </w:rPr>
          <w:tab/>
        </w:r>
        <w:r>
          <w:rPr>
            <w:webHidden/>
          </w:rPr>
          <w:fldChar w:fldCharType="begin"/>
        </w:r>
        <w:r>
          <w:rPr>
            <w:webHidden/>
          </w:rPr>
          <w:instrText xml:space="preserve"> PAGEREF _Toc106958073 \h </w:instrText>
        </w:r>
        <w:r>
          <w:rPr>
            <w:webHidden/>
          </w:rPr>
        </w:r>
        <w:r>
          <w:rPr>
            <w:webHidden/>
          </w:rPr>
          <w:fldChar w:fldCharType="separate"/>
        </w:r>
        <w:r w:rsidR="00E23663">
          <w:rPr>
            <w:webHidden/>
          </w:rPr>
          <w:t>26</w:t>
        </w:r>
        <w:r>
          <w:rPr>
            <w:webHidden/>
          </w:rPr>
          <w:fldChar w:fldCharType="end"/>
        </w:r>
      </w:hyperlink>
    </w:p>
    <w:p w14:paraId="7F6C2889" w14:textId="009980E7" w:rsidR="00D30821" w:rsidRDefault="00D30821">
      <w:pPr>
        <w:pStyle w:val="TM1"/>
        <w:rPr>
          <w:rFonts w:asciiTheme="minorHAnsi" w:eastAsiaTheme="minorEastAsia" w:hAnsiTheme="minorHAnsi" w:cstheme="minorBidi"/>
          <w:bCs w:val="0"/>
          <w:sz w:val="22"/>
          <w:szCs w:val="22"/>
        </w:rPr>
      </w:pPr>
      <w:hyperlink w:anchor="_Toc106958074" w:history="1">
        <w:r w:rsidRPr="00F036F2">
          <w:rPr>
            <w:rStyle w:val="Lienhypertexte"/>
          </w:rPr>
          <w:t>14.</w:t>
        </w:r>
        <w:r>
          <w:rPr>
            <w:rFonts w:asciiTheme="minorHAnsi" w:eastAsiaTheme="minorEastAsia" w:hAnsiTheme="minorHAnsi" w:cstheme="minorBidi"/>
            <w:bCs w:val="0"/>
            <w:sz w:val="22"/>
            <w:szCs w:val="22"/>
          </w:rPr>
          <w:tab/>
        </w:r>
        <w:r w:rsidRPr="00F036F2">
          <w:rPr>
            <w:rStyle w:val="Lienhypertexte"/>
          </w:rPr>
          <w:t>Risque d’intermédiation des prestataires de services d’investissement</w:t>
        </w:r>
        <w:r>
          <w:rPr>
            <w:webHidden/>
          </w:rPr>
          <w:tab/>
        </w:r>
        <w:r>
          <w:rPr>
            <w:webHidden/>
          </w:rPr>
          <w:fldChar w:fldCharType="begin"/>
        </w:r>
        <w:r>
          <w:rPr>
            <w:webHidden/>
          </w:rPr>
          <w:instrText xml:space="preserve"> PAGEREF _Toc106958074 \h </w:instrText>
        </w:r>
        <w:r>
          <w:rPr>
            <w:webHidden/>
          </w:rPr>
        </w:r>
        <w:r>
          <w:rPr>
            <w:webHidden/>
          </w:rPr>
          <w:fldChar w:fldCharType="separate"/>
        </w:r>
        <w:r w:rsidR="00E23663">
          <w:rPr>
            <w:webHidden/>
          </w:rPr>
          <w:t>28</w:t>
        </w:r>
        <w:r>
          <w:rPr>
            <w:webHidden/>
          </w:rPr>
          <w:fldChar w:fldCharType="end"/>
        </w:r>
      </w:hyperlink>
    </w:p>
    <w:p w14:paraId="735BFD16" w14:textId="4CB6E89B" w:rsidR="00D30821" w:rsidRDefault="00D30821">
      <w:pPr>
        <w:pStyle w:val="TM1"/>
        <w:rPr>
          <w:rFonts w:asciiTheme="minorHAnsi" w:eastAsiaTheme="minorEastAsia" w:hAnsiTheme="minorHAnsi" w:cstheme="minorBidi"/>
          <w:bCs w:val="0"/>
          <w:sz w:val="22"/>
          <w:szCs w:val="22"/>
        </w:rPr>
      </w:pPr>
      <w:hyperlink w:anchor="_Toc106958075" w:history="1">
        <w:r w:rsidRPr="00F036F2">
          <w:rPr>
            <w:rStyle w:val="Lienhypertexte"/>
          </w:rPr>
          <w:t>15.</w:t>
        </w:r>
        <w:r>
          <w:rPr>
            <w:rFonts w:asciiTheme="minorHAnsi" w:eastAsiaTheme="minorEastAsia" w:hAnsiTheme="minorHAnsi" w:cstheme="minorBidi"/>
            <w:bCs w:val="0"/>
            <w:sz w:val="22"/>
            <w:szCs w:val="22"/>
          </w:rPr>
          <w:tab/>
        </w:r>
        <w:r w:rsidRPr="00F036F2">
          <w:rPr>
            <w:rStyle w:val="Lienhypertexte"/>
          </w:rPr>
          <w:t>Risque de règlement/livraison</w:t>
        </w:r>
        <w:r>
          <w:rPr>
            <w:webHidden/>
          </w:rPr>
          <w:tab/>
        </w:r>
        <w:r>
          <w:rPr>
            <w:webHidden/>
          </w:rPr>
          <w:fldChar w:fldCharType="begin"/>
        </w:r>
        <w:r>
          <w:rPr>
            <w:webHidden/>
          </w:rPr>
          <w:instrText xml:space="preserve"> PAGEREF _Toc106958075 \h </w:instrText>
        </w:r>
        <w:r>
          <w:rPr>
            <w:webHidden/>
          </w:rPr>
        </w:r>
        <w:r>
          <w:rPr>
            <w:webHidden/>
          </w:rPr>
          <w:fldChar w:fldCharType="separate"/>
        </w:r>
        <w:r w:rsidR="00E23663">
          <w:rPr>
            <w:webHidden/>
          </w:rPr>
          <w:t>29</w:t>
        </w:r>
        <w:r>
          <w:rPr>
            <w:webHidden/>
          </w:rPr>
          <w:fldChar w:fldCharType="end"/>
        </w:r>
      </w:hyperlink>
    </w:p>
    <w:p w14:paraId="2B0935CC" w14:textId="30C8EB68" w:rsidR="00D30821" w:rsidRDefault="00D30821">
      <w:pPr>
        <w:pStyle w:val="TM1"/>
        <w:rPr>
          <w:rFonts w:asciiTheme="minorHAnsi" w:eastAsiaTheme="minorEastAsia" w:hAnsiTheme="minorHAnsi" w:cstheme="minorBidi"/>
          <w:bCs w:val="0"/>
          <w:sz w:val="22"/>
          <w:szCs w:val="22"/>
        </w:rPr>
      </w:pPr>
      <w:hyperlink w:anchor="_Toc106958076" w:history="1">
        <w:r w:rsidRPr="00F036F2">
          <w:rPr>
            <w:rStyle w:val="Lienhypertexte"/>
          </w:rPr>
          <w:t>16.</w:t>
        </w:r>
        <w:r>
          <w:rPr>
            <w:rFonts w:asciiTheme="minorHAnsi" w:eastAsiaTheme="minorEastAsia" w:hAnsiTheme="minorHAnsi" w:cstheme="minorBidi"/>
            <w:bCs w:val="0"/>
            <w:sz w:val="22"/>
            <w:szCs w:val="22"/>
          </w:rPr>
          <w:tab/>
        </w:r>
        <w:r w:rsidRPr="00F036F2">
          <w:rPr>
            <w:rStyle w:val="Lienhypertexte"/>
          </w:rPr>
          <w:t>Risques de liquidité</w:t>
        </w:r>
        <w:r>
          <w:rPr>
            <w:webHidden/>
          </w:rPr>
          <w:tab/>
        </w:r>
        <w:r>
          <w:rPr>
            <w:webHidden/>
          </w:rPr>
          <w:fldChar w:fldCharType="begin"/>
        </w:r>
        <w:r>
          <w:rPr>
            <w:webHidden/>
          </w:rPr>
          <w:instrText xml:space="preserve"> PAGEREF _Toc106958076 \h </w:instrText>
        </w:r>
        <w:r>
          <w:rPr>
            <w:webHidden/>
          </w:rPr>
        </w:r>
        <w:r>
          <w:rPr>
            <w:webHidden/>
          </w:rPr>
          <w:fldChar w:fldCharType="separate"/>
        </w:r>
        <w:r w:rsidR="00E23663">
          <w:rPr>
            <w:webHidden/>
          </w:rPr>
          <w:t>30</w:t>
        </w:r>
        <w:r>
          <w:rPr>
            <w:webHidden/>
          </w:rPr>
          <w:fldChar w:fldCharType="end"/>
        </w:r>
      </w:hyperlink>
    </w:p>
    <w:p w14:paraId="1B618FE1" w14:textId="219AA4D2" w:rsidR="00D30821" w:rsidRDefault="00D30821">
      <w:pPr>
        <w:pStyle w:val="TM1"/>
        <w:rPr>
          <w:rFonts w:asciiTheme="minorHAnsi" w:eastAsiaTheme="minorEastAsia" w:hAnsiTheme="minorHAnsi" w:cstheme="minorBidi"/>
          <w:bCs w:val="0"/>
          <w:sz w:val="22"/>
          <w:szCs w:val="22"/>
        </w:rPr>
      </w:pPr>
      <w:hyperlink w:anchor="_Toc106958077" w:history="1">
        <w:r w:rsidRPr="00F036F2">
          <w:rPr>
            <w:rStyle w:val="Lienhypertexte"/>
          </w:rPr>
          <w:t>17.</w:t>
        </w:r>
        <w:r>
          <w:rPr>
            <w:rFonts w:asciiTheme="minorHAnsi" w:eastAsiaTheme="minorEastAsia" w:hAnsiTheme="minorHAnsi" w:cstheme="minorBidi"/>
            <w:bCs w:val="0"/>
            <w:sz w:val="22"/>
            <w:szCs w:val="22"/>
          </w:rPr>
          <w:tab/>
        </w:r>
        <w:r w:rsidRPr="00F036F2">
          <w:rPr>
            <w:rStyle w:val="Lienhypertexte"/>
          </w:rPr>
          <w:t>Risque de levier excessif</w:t>
        </w:r>
        <w:r>
          <w:rPr>
            <w:webHidden/>
          </w:rPr>
          <w:tab/>
        </w:r>
        <w:r>
          <w:rPr>
            <w:webHidden/>
          </w:rPr>
          <w:fldChar w:fldCharType="begin"/>
        </w:r>
        <w:r>
          <w:rPr>
            <w:webHidden/>
          </w:rPr>
          <w:instrText xml:space="preserve"> PAGEREF _Toc106958077 \h </w:instrText>
        </w:r>
        <w:r>
          <w:rPr>
            <w:webHidden/>
          </w:rPr>
        </w:r>
        <w:r>
          <w:rPr>
            <w:webHidden/>
          </w:rPr>
          <w:fldChar w:fldCharType="separate"/>
        </w:r>
        <w:r w:rsidR="00E23663">
          <w:rPr>
            <w:webHidden/>
          </w:rPr>
          <w:t>33</w:t>
        </w:r>
        <w:r>
          <w:rPr>
            <w:webHidden/>
          </w:rPr>
          <w:fldChar w:fldCharType="end"/>
        </w:r>
      </w:hyperlink>
    </w:p>
    <w:p w14:paraId="08D96A22" w14:textId="742D3BD1" w:rsidR="00D30821" w:rsidRDefault="00D30821">
      <w:pPr>
        <w:pStyle w:val="TM1"/>
        <w:rPr>
          <w:rFonts w:asciiTheme="minorHAnsi" w:eastAsiaTheme="minorEastAsia" w:hAnsiTheme="minorHAnsi" w:cstheme="minorBidi"/>
          <w:bCs w:val="0"/>
          <w:sz w:val="22"/>
          <w:szCs w:val="22"/>
        </w:rPr>
      </w:pPr>
      <w:hyperlink w:anchor="_Toc106958078" w:history="1">
        <w:r w:rsidRPr="00F036F2">
          <w:rPr>
            <w:rStyle w:val="Lienhypertexte"/>
          </w:rPr>
          <w:t>18.</w:t>
        </w:r>
        <w:r>
          <w:rPr>
            <w:rFonts w:asciiTheme="minorHAnsi" w:eastAsiaTheme="minorEastAsia" w:hAnsiTheme="minorHAnsi" w:cstheme="minorBidi"/>
            <w:bCs w:val="0"/>
            <w:sz w:val="22"/>
            <w:szCs w:val="22"/>
          </w:rPr>
          <w:tab/>
        </w:r>
        <w:r w:rsidRPr="00F036F2">
          <w:rPr>
            <w:rStyle w:val="Lienhypertexte"/>
          </w:rPr>
          <w:t>Dispositif de contrôle interne des dispositions relatives à la protection   des fonds de la clientèle des entreprises d’investissement</w:t>
        </w:r>
        <w:r>
          <w:rPr>
            <w:webHidden/>
          </w:rPr>
          <w:tab/>
        </w:r>
        <w:r>
          <w:rPr>
            <w:webHidden/>
          </w:rPr>
          <w:fldChar w:fldCharType="begin"/>
        </w:r>
        <w:r>
          <w:rPr>
            <w:webHidden/>
          </w:rPr>
          <w:instrText xml:space="preserve"> PAGEREF _Toc106958078 \h </w:instrText>
        </w:r>
        <w:r>
          <w:rPr>
            <w:webHidden/>
          </w:rPr>
        </w:r>
        <w:r>
          <w:rPr>
            <w:webHidden/>
          </w:rPr>
          <w:fldChar w:fldCharType="separate"/>
        </w:r>
        <w:r w:rsidR="00E23663">
          <w:rPr>
            <w:webHidden/>
          </w:rPr>
          <w:t>33</w:t>
        </w:r>
        <w:r>
          <w:rPr>
            <w:webHidden/>
          </w:rPr>
          <w:fldChar w:fldCharType="end"/>
        </w:r>
      </w:hyperlink>
    </w:p>
    <w:p w14:paraId="17C94118" w14:textId="2F756038" w:rsidR="00D30821" w:rsidRDefault="00D30821">
      <w:pPr>
        <w:pStyle w:val="TM1"/>
        <w:rPr>
          <w:rFonts w:asciiTheme="minorHAnsi" w:eastAsiaTheme="minorEastAsia" w:hAnsiTheme="minorHAnsi" w:cstheme="minorBidi"/>
          <w:bCs w:val="0"/>
          <w:sz w:val="22"/>
          <w:szCs w:val="22"/>
        </w:rPr>
      </w:pPr>
      <w:hyperlink w:anchor="_Toc106958079" w:history="1">
        <w:r w:rsidRPr="00F036F2">
          <w:rPr>
            <w:rStyle w:val="Lienhypertexte"/>
          </w:rPr>
          <w:t>19.</w:t>
        </w:r>
        <w:r>
          <w:rPr>
            <w:rFonts w:asciiTheme="minorHAnsi" w:eastAsiaTheme="minorEastAsia" w:hAnsiTheme="minorHAnsi" w:cstheme="minorBidi"/>
            <w:bCs w:val="0"/>
            <w:sz w:val="22"/>
            <w:szCs w:val="22"/>
          </w:rPr>
          <w:tab/>
        </w:r>
        <w:r w:rsidRPr="00F036F2">
          <w:rPr>
            <w:rStyle w:val="Lienhypertexte"/>
          </w:rPr>
          <w:t>Dispositions de séparation bancaire</w:t>
        </w:r>
        <w:r>
          <w:rPr>
            <w:webHidden/>
          </w:rPr>
          <w:tab/>
        </w:r>
        <w:r>
          <w:rPr>
            <w:webHidden/>
          </w:rPr>
          <w:fldChar w:fldCharType="begin"/>
        </w:r>
        <w:r>
          <w:rPr>
            <w:webHidden/>
          </w:rPr>
          <w:instrText xml:space="preserve"> PAGEREF _Toc106958079 \h </w:instrText>
        </w:r>
        <w:r>
          <w:rPr>
            <w:webHidden/>
          </w:rPr>
        </w:r>
        <w:r>
          <w:rPr>
            <w:webHidden/>
          </w:rPr>
          <w:fldChar w:fldCharType="separate"/>
        </w:r>
        <w:r w:rsidR="00E23663">
          <w:rPr>
            <w:webHidden/>
          </w:rPr>
          <w:t>34</w:t>
        </w:r>
        <w:r>
          <w:rPr>
            <w:webHidden/>
          </w:rPr>
          <w:fldChar w:fldCharType="end"/>
        </w:r>
      </w:hyperlink>
    </w:p>
    <w:p w14:paraId="1ED2E5AD" w14:textId="228973F3" w:rsidR="00D30821" w:rsidRDefault="00D30821">
      <w:pPr>
        <w:pStyle w:val="TM1"/>
        <w:rPr>
          <w:rFonts w:asciiTheme="minorHAnsi" w:eastAsiaTheme="minorEastAsia" w:hAnsiTheme="minorHAnsi" w:cstheme="minorBidi"/>
          <w:bCs w:val="0"/>
          <w:sz w:val="22"/>
          <w:szCs w:val="22"/>
        </w:rPr>
      </w:pPr>
      <w:hyperlink w:anchor="_Toc106958080" w:history="1">
        <w:r w:rsidRPr="00F036F2">
          <w:rPr>
            <w:rStyle w:val="Lienhypertexte"/>
          </w:rPr>
          <w:t>20.</w:t>
        </w:r>
        <w:r>
          <w:rPr>
            <w:rFonts w:asciiTheme="minorHAnsi" w:eastAsiaTheme="minorEastAsia" w:hAnsiTheme="minorHAnsi" w:cstheme="minorBidi"/>
            <w:bCs w:val="0"/>
            <w:sz w:val="22"/>
            <w:szCs w:val="22"/>
          </w:rPr>
          <w:tab/>
        </w:r>
        <w:r w:rsidRPr="00F036F2">
          <w:rPr>
            <w:rStyle w:val="Lienhypertexte"/>
          </w:rPr>
          <w:t>Politique en matière d’externalisation</w:t>
        </w:r>
        <w:r>
          <w:rPr>
            <w:webHidden/>
          </w:rPr>
          <w:tab/>
        </w:r>
        <w:r>
          <w:rPr>
            <w:webHidden/>
          </w:rPr>
          <w:fldChar w:fldCharType="begin"/>
        </w:r>
        <w:r>
          <w:rPr>
            <w:webHidden/>
          </w:rPr>
          <w:instrText xml:space="preserve"> PAGEREF _Toc106958080 \h </w:instrText>
        </w:r>
        <w:r>
          <w:rPr>
            <w:webHidden/>
          </w:rPr>
        </w:r>
        <w:r>
          <w:rPr>
            <w:webHidden/>
          </w:rPr>
          <w:fldChar w:fldCharType="separate"/>
        </w:r>
        <w:r w:rsidR="00E23663">
          <w:rPr>
            <w:webHidden/>
          </w:rPr>
          <w:t>37</w:t>
        </w:r>
        <w:r>
          <w:rPr>
            <w:webHidden/>
          </w:rPr>
          <w:fldChar w:fldCharType="end"/>
        </w:r>
      </w:hyperlink>
    </w:p>
    <w:p w14:paraId="1BC1DAEB" w14:textId="2CB6DF8D" w:rsidR="00D30821" w:rsidRDefault="00D30821">
      <w:pPr>
        <w:pStyle w:val="TM1"/>
        <w:rPr>
          <w:rFonts w:asciiTheme="minorHAnsi" w:eastAsiaTheme="minorEastAsia" w:hAnsiTheme="minorHAnsi" w:cstheme="minorBidi"/>
          <w:bCs w:val="0"/>
          <w:sz w:val="22"/>
          <w:szCs w:val="22"/>
        </w:rPr>
      </w:pPr>
      <w:hyperlink w:anchor="_Toc106958081" w:history="1">
        <w:r w:rsidRPr="00F036F2">
          <w:rPr>
            <w:rStyle w:val="Lienhypertexte"/>
          </w:rPr>
          <w:t>21.</w:t>
        </w:r>
        <w:r>
          <w:rPr>
            <w:rFonts w:asciiTheme="minorHAnsi" w:eastAsiaTheme="minorEastAsia" w:hAnsiTheme="minorHAnsi" w:cstheme="minorBidi"/>
            <w:bCs w:val="0"/>
            <w:sz w:val="22"/>
            <w:szCs w:val="22"/>
          </w:rPr>
          <w:tab/>
        </w:r>
        <w:r w:rsidRPr="00F036F2">
          <w:rPr>
            <w:rStyle w:val="Lienhypertexte"/>
          </w:rPr>
          <w:t>Informations spécifiques demandées aux conglomérats financiers</w:t>
        </w:r>
        <w:r>
          <w:rPr>
            <w:webHidden/>
          </w:rPr>
          <w:tab/>
        </w:r>
        <w:r>
          <w:rPr>
            <w:webHidden/>
          </w:rPr>
          <w:fldChar w:fldCharType="begin"/>
        </w:r>
        <w:r>
          <w:rPr>
            <w:webHidden/>
          </w:rPr>
          <w:instrText xml:space="preserve"> PAGEREF _Toc106958081 \h </w:instrText>
        </w:r>
        <w:r>
          <w:rPr>
            <w:webHidden/>
          </w:rPr>
        </w:r>
        <w:r>
          <w:rPr>
            <w:webHidden/>
          </w:rPr>
          <w:fldChar w:fldCharType="separate"/>
        </w:r>
        <w:r w:rsidR="00E23663">
          <w:rPr>
            <w:webHidden/>
          </w:rPr>
          <w:t>38</w:t>
        </w:r>
        <w:r>
          <w:rPr>
            <w:webHidden/>
          </w:rPr>
          <w:fldChar w:fldCharType="end"/>
        </w:r>
      </w:hyperlink>
    </w:p>
    <w:p w14:paraId="76F81E44" w14:textId="7FF8A7F5" w:rsidR="00D30821" w:rsidRDefault="00D30821">
      <w:pPr>
        <w:pStyle w:val="TM1"/>
        <w:rPr>
          <w:rFonts w:asciiTheme="minorHAnsi" w:eastAsiaTheme="minorEastAsia" w:hAnsiTheme="minorHAnsi" w:cstheme="minorBidi"/>
          <w:bCs w:val="0"/>
          <w:sz w:val="22"/>
          <w:szCs w:val="22"/>
        </w:rPr>
      </w:pPr>
      <w:hyperlink w:anchor="_Toc106958082" w:history="1">
        <w:r w:rsidRPr="00F036F2">
          <w:rPr>
            <w:rStyle w:val="Lienhypertexte"/>
          </w:rPr>
          <w:t>22.</w:t>
        </w:r>
        <w:r>
          <w:rPr>
            <w:rFonts w:asciiTheme="minorHAnsi" w:eastAsiaTheme="minorEastAsia" w:hAnsiTheme="minorHAnsi" w:cstheme="minorBidi"/>
            <w:bCs w:val="0"/>
            <w:sz w:val="22"/>
            <w:szCs w:val="22"/>
          </w:rPr>
          <w:tab/>
        </w:r>
        <w:r w:rsidRPr="00F036F2">
          <w:rPr>
            <w:rStyle w:val="Lienhypertexte"/>
          </w:rPr>
          <w:t>Annexe relative à la sécurité des moyens de paiement scripturaux  mis à disposition ou gérés par l’établissement et de l’accès aux comptes de paiement et à leurs informations</w:t>
        </w:r>
        <w:r>
          <w:rPr>
            <w:webHidden/>
          </w:rPr>
          <w:tab/>
        </w:r>
        <w:r>
          <w:rPr>
            <w:webHidden/>
          </w:rPr>
          <w:fldChar w:fldCharType="begin"/>
        </w:r>
        <w:r>
          <w:rPr>
            <w:webHidden/>
          </w:rPr>
          <w:instrText xml:space="preserve"> PAGEREF _Toc106958082 \h </w:instrText>
        </w:r>
        <w:r>
          <w:rPr>
            <w:webHidden/>
          </w:rPr>
        </w:r>
        <w:r>
          <w:rPr>
            <w:webHidden/>
          </w:rPr>
          <w:fldChar w:fldCharType="separate"/>
        </w:r>
        <w:r w:rsidR="00E23663">
          <w:rPr>
            <w:webHidden/>
          </w:rPr>
          <w:t>40</w:t>
        </w:r>
        <w:r>
          <w:rPr>
            <w:webHidden/>
          </w:rPr>
          <w:fldChar w:fldCharType="end"/>
        </w:r>
      </w:hyperlink>
    </w:p>
    <w:p w14:paraId="27AE200C" w14:textId="020E3170" w:rsidR="00D30821" w:rsidRDefault="00D30821">
      <w:pPr>
        <w:pStyle w:val="TM1"/>
        <w:rPr>
          <w:rFonts w:asciiTheme="minorHAnsi" w:eastAsiaTheme="minorEastAsia" w:hAnsiTheme="minorHAnsi" w:cstheme="minorBidi"/>
          <w:bCs w:val="0"/>
          <w:sz w:val="22"/>
          <w:szCs w:val="22"/>
        </w:rPr>
      </w:pPr>
      <w:hyperlink w:anchor="_Toc106958083" w:history="1">
        <w:r w:rsidRPr="00F036F2">
          <w:rPr>
            <w:rStyle w:val="Lienhypertexte"/>
          </w:rPr>
          <w:t>Annexe 1</w:t>
        </w:r>
        <w:r>
          <w:rPr>
            <w:webHidden/>
          </w:rPr>
          <w:tab/>
        </w:r>
        <w:r>
          <w:rPr>
            <w:webHidden/>
          </w:rPr>
          <w:tab/>
        </w:r>
        <w:r>
          <w:rPr>
            <w:webHidden/>
          </w:rPr>
          <w:fldChar w:fldCharType="begin"/>
        </w:r>
        <w:r>
          <w:rPr>
            <w:webHidden/>
          </w:rPr>
          <w:instrText xml:space="preserve"> PAGEREF _Toc106958083 \h </w:instrText>
        </w:r>
        <w:r>
          <w:rPr>
            <w:webHidden/>
          </w:rPr>
        </w:r>
        <w:r>
          <w:rPr>
            <w:webHidden/>
          </w:rPr>
          <w:fldChar w:fldCharType="separate"/>
        </w:r>
        <w:r w:rsidR="00E23663">
          <w:rPr>
            <w:webHidden/>
          </w:rPr>
          <w:t>94</w:t>
        </w:r>
        <w:r>
          <w:rPr>
            <w:webHidden/>
          </w:rPr>
          <w:fldChar w:fldCharType="end"/>
        </w:r>
      </w:hyperlink>
    </w:p>
    <w:p w14:paraId="5E104440" w14:textId="7C5483FC" w:rsidR="00D30821" w:rsidRDefault="00D30821">
      <w:pPr>
        <w:pStyle w:val="TM1"/>
        <w:rPr>
          <w:rFonts w:asciiTheme="minorHAnsi" w:eastAsiaTheme="minorEastAsia" w:hAnsiTheme="minorHAnsi" w:cstheme="minorBidi"/>
          <w:bCs w:val="0"/>
          <w:sz w:val="22"/>
          <w:szCs w:val="22"/>
        </w:rPr>
      </w:pPr>
      <w:hyperlink w:anchor="_Toc106958084" w:history="1">
        <w:r w:rsidRPr="00F036F2">
          <w:rPr>
            <w:rStyle w:val="Lienhypertexte"/>
          </w:rPr>
          <w:t>Annexe 2</w:t>
        </w:r>
        <w:r>
          <w:rPr>
            <w:webHidden/>
          </w:rPr>
          <w:tab/>
        </w:r>
        <w:r>
          <w:rPr>
            <w:webHidden/>
          </w:rPr>
          <w:tab/>
        </w:r>
        <w:r>
          <w:rPr>
            <w:webHidden/>
          </w:rPr>
          <w:fldChar w:fldCharType="begin"/>
        </w:r>
        <w:r>
          <w:rPr>
            <w:webHidden/>
          </w:rPr>
          <w:instrText xml:space="preserve"> PAGEREF _Toc106958084 \h </w:instrText>
        </w:r>
        <w:r>
          <w:rPr>
            <w:webHidden/>
          </w:rPr>
        </w:r>
        <w:r>
          <w:rPr>
            <w:webHidden/>
          </w:rPr>
          <w:fldChar w:fldCharType="separate"/>
        </w:r>
        <w:r w:rsidR="00E23663">
          <w:rPr>
            <w:webHidden/>
          </w:rPr>
          <w:t>96</w:t>
        </w:r>
        <w:r>
          <w:rPr>
            <w:webHidden/>
          </w:rPr>
          <w:fldChar w:fldCharType="end"/>
        </w:r>
      </w:hyperlink>
    </w:p>
    <w:p w14:paraId="31172790" w14:textId="4536CE27" w:rsidR="00D30821" w:rsidRDefault="00D30821">
      <w:pPr>
        <w:pStyle w:val="TM1"/>
        <w:rPr>
          <w:rFonts w:asciiTheme="minorHAnsi" w:eastAsiaTheme="minorEastAsia" w:hAnsiTheme="minorHAnsi" w:cstheme="minorBidi"/>
          <w:bCs w:val="0"/>
          <w:sz w:val="22"/>
          <w:szCs w:val="22"/>
        </w:rPr>
      </w:pPr>
      <w:hyperlink w:anchor="_Toc106958085" w:history="1">
        <w:r w:rsidRPr="00F036F2">
          <w:rPr>
            <w:rStyle w:val="Lienhypertexte"/>
          </w:rPr>
          <w:t>Annexe 3</w:t>
        </w:r>
        <w:r>
          <w:rPr>
            <w:webHidden/>
          </w:rPr>
          <w:tab/>
        </w:r>
        <w:r>
          <w:rPr>
            <w:webHidden/>
          </w:rPr>
          <w:tab/>
        </w:r>
        <w:r>
          <w:rPr>
            <w:webHidden/>
          </w:rPr>
          <w:fldChar w:fldCharType="begin"/>
        </w:r>
        <w:r>
          <w:rPr>
            <w:webHidden/>
          </w:rPr>
          <w:instrText xml:space="preserve"> PAGEREF _Toc106958085 \h </w:instrText>
        </w:r>
        <w:r>
          <w:rPr>
            <w:webHidden/>
          </w:rPr>
        </w:r>
        <w:r>
          <w:rPr>
            <w:webHidden/>
          </w:rPr>
          <w:fldChar w:fldCharType="separate"/>
        </w:r>
        <w:r w:rsidR="00E23663">
          <w:rPr>
            <w:webHidden/>
          </w:rPr>
          <w:t>98</w:t>
        </w:r>
        <w:r>
          <w:rPr>
            <w:webHidden/>
          </w:rPr>
          <w:fldChar w:fldCharType="end"/>
        </w:r>
      </w:hyperlink>
    </w:p>
    <w:p w14:paraId="605590C2" w14:textId="379823F1" w:rsidR="00D30821" w:rsidRDefault="00D30821">
      <w:pPr>
        <w:pStyle w:val="TM1"/>
        <w:rPr>
          <w:rFonts w:asciiTheme="minorHAnsi" w:eastAsiaTheme="minorEastAsia" w:hAnsiTheme="minorHAnsi" w:cstheme="minorBidi"/>
          <w:bCs w:val="0"/>
          <w:sz w:val="22"/>
          <w:szCs w:val="22"/>
        </w:rPr>
      </w:pPr>
      <w:hyperlink w:anchor="_Toc106958086" w:history="1">
        <w:r w:rsidRPr="00F036F2">
          <w:rPr>
            <w:rStyle w:val="Lienhypertexte"/>
          </w:rPr>
          <w:t>Annexe 4</w:t>
        </w:r>
        <w:r>
          <w:rPr>
            <w:webHidden/>
          </w:rPr>
          <w:tab/>
        </w:r>
        <w:r>
          <w:rPr>
            <w:webHidden/>
          </w:rPr>
          <w:tab/>
        </w:r>
        <w:r>
          <w:rPr>
            <w:webHidden/>
          </w:rPr>
          <w:fldChar w:fldCharType="begin"/>
        </w:r>
        <w:r>
          <w:rPr>
            <w:webHidden/>
          </w:rPr>
          <w:instrText xml:space="preserve"> PAGEREF _Toc106958086 \h </w:instrText>
        </w:r>
        <w:r>
          <w:rPr>
            <w:webHidden/>
          </w:rPr>
        </w:r>
        <w:r>
          <w:rPr>
            <w:webHidden/>
          </w:rPr>
          <w:fldChar w:fldCharType="separate"/>
        </w:r>
        <w:r w:rsidR="00E23663">
          <w:rPr>
            <w:webHidden/>
          </w:rPr>
          <w:t>99</w:t>
        </w:r>
        <w:r>
          <w:rPr>
            <w:webHidden/>
          </w:rPr>
          <w:fldChar w:fldCharType="end"/>
        </w:r>
      </w:hyperlink>
    </w:p>
    <w:p w14:paraId="2AF277F4" w14:textId="77777777" w:rsidR="001F6E5F" w:rsidRDefault="002D4552" w:rsidP="000845E4">
      <w:pPr>
        <w:pStyle w:val="SGACP-titrederubriqueniveau1"/>
        <w:numPr>
          <w:ilvl w:val="0"/>
          <w:numId w:val="0"/>
        </w:numPr>
        <w:sectPr w:rsidR="001F6E5F" w:rsidSect="00427A32">
          <w:headerReference w:type="default" r:id="rId13"/>
          <w:footerReference w:type="even" r:id="rId14"/>
          <w:footerReference w:type="default" r:id="rId15"/>
          <w:footnotePr>
            <w:numRestart w:val="eachSect"/>
          </w:footnotePr>
          <w:pgSz w:w="11906" w:h="16838" w:code="9"/>
          <w:pgMar w:top="1191" w:right="1134" w:bottom="1134" w:left="1134" w:header="567" w:footer="510" w:gutter="0"/>
          <w:cols w:space="567"/>
          <w:docGrid w:linePitch="326"/>
        </w:sectPr>
      </w:pPr>
      <w:r>
        <w:rPr>
          <w:noProof/>
          <w:sz w:val="18"/>
        </w:rPr>
        <w:fldChar w:fldCharType="end"/>
      </w:r>
    </w:p>
    <w:p w14:paraId="32F09A8B" w14:textId="77777777" w:rsidR="00F55976" w:rsidRDefault="00463A1C" w:rsidP="002C1BF5">
      <w:pPr>
        <w:pStyle w:val="StyleSGACP-titrederubriqueniveau1CouleurpersonnaliseRVB"/>
        <w:numPr>
          <w:ilvl w:val="0"/>
          <w:numId w:val="0"/>
        </w:numPr>
        <w:ind w:left="360" w:hanging="360"/>
      </w:pPr>
      <w:bookmarkStart w:id="0" w:name="_Toc266969689"/>
      <w:bookmarkStart w:id="1" w:name="_Toc106958060"/>
      <w:r w:rsidRPr="0029051C">
        <w:lastRenderedPageBreak/>
        <w:t>Préambule</w:t>
      </w:r>
      <w:bookmarkEnd w:id="0"/>
      <w:bookmarkEnd w:id="1"/>
    </w:p>
    <w:p w14:paraId="5365843C" w14:textId="77777777" w:rsidR="00463A1C" w:rsidRPr="007F2900" w:rsidRDefault="00463A1C" w:rsidP="00463A1C"/>
    <w:p w14:paraId="788EE568" w14:textId="77777777"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14:paraId="1D03D167" w14:textId="77777777" w:rsidR="000845E4" w:rsidRPr="007F2900" w:rsidRDefault="000845E4" w:rsidP="000845E4">
      <w:pPr>
        <w:pStyle w:val="SGACP-textecourant"/>
      </w:pPr>
    </w:p>
    <w:p w14:paraId="36851165" w14:textId="62A84921"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00F703DC">
        <w:rPr>
          <w:rStyle w:val="Appelnotedebasdep"/>
          <w:b/>
        </w:rPr>
        <w:footnoteReference w:id="1"/>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14:paraId="29F91347" w14:textId="77777777" w:rsidR="000845E4" w:rsidRDefault="000845E4" w:rsidP="000845E4">
      <w:pPr>
        <w:pStyle w:val="SGACP-textecourant"/>
      </w:pPr>
    </w:p>
    <w:p w14:paraId="53655E7D" w14:textId="73A1ADC4"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005E4A09">
        <w:t xml:space="preserve"> modifié</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14:paraId="72E6B720" w14:textId="77777777" w:rsidR="00686728" w:rsidRPr="007F2900" w:rsidRDefault="00686728" w:rsidP="000845E4">
      <w:pPr>
        <w:pStyle w:val="SGACP-textecourant"/>
      </w:pPr>
    </w:p>
    <w:p w14:paraId="180C3F0A" w14:textId="7F533E4F"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 xml:space="preserve">de surveillance </w:t>
      </w:r>
      <w:r w:rsidRPr="007F2900">
        <w:t xml:space="preserve">et, le cas échéant, au comité </w:t>
      </w:r>
      <w:r w:rsidR="0003780F">
        <w:t>des risques</w:t>
      </w:r>
      <w:r w:rsidR="00330E90">
        <w:t>, en application de l’article 253 de l’arrêté du 3 novembre 2014</w:t>
      </w:r>
      <w:r w:rsidR="005E4A09">
        <w:t xml:space="preserve"> modifié</w:t>
      </w:r>
      <w:r w:rsidR="00330E90">
        <w:t>,</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14:paraId="28DB1237" w14:textId="77777777" w:rsidR="00686728" w:rsidRPr="007F2900" w:rsidRDefault="00686728" w:rsidP="000845E4">
      <w:pPr>
        <w:pStyle w:val="SGACP-textecourant"/>
      </w:pPr>
    </w:p>
    <w:p w14:paraId="77568891" w14:textId="49D4FE28" w:rsidR="00463A1C" w:rsidRDefault="00463A1C" w:rsidP="000845E4">
      <w:pPr>
        <w:pStyle w:val="SGACP-textecourant"/>
      </w:pPr>
      <w:r w:rsidRPr="007F2900">
        <w:t xml:space="preserve">Par ailleurs, il est </w:t>
      </w:r>
      <w:r w:rsidR="00DE2210">
        <w:t>rappelé que conformément aux dispositions de l’article 4 de l’instruction n°2017-I-24</w:t>
      </w:r>
      <w:r w:rsidR="00D34141">
        <w:t xml:space="preserve"> modifiée</w:t>
      </w:r>
      <w:r w:rsidR="00DE2210">
        <w:t>,</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DE2210">
        <w:t xml:space="preserve"> </w:t>
      </w:r>
      <w:r w:rsidR="005E4A09">
        <w:t xml:space="preserve">modifié </w:t>
      </w:r>
      <w:r w:rsidR="00DE2210">
        <w:t>ainsi que</w:t>
      </w:r>
      <w:r w:rsidR="00DE2210" w:rsidRPr="00DE2210">
        <w:t xml:space="preserve"> </w:t>
      </w:r>
      <w:r w:rsidR="00DE2210" w:rsidRPr="007F2900">
        <w:t>les extraits des procès-verbaux des réunions au cours desquelles ils sont examinés</w:t>
      </w:r>
      <w:r w:rsidR="009767B5" w:rsidRPr="002C1BF5">
        <w:t>,</w:t>
      </w:r>
      <w:r w:rsidRPr="00266335">
        <w:t xml:space="preserve"> </w:t>
      </w:r>
      <w:r w:rsidRPr="007F2900">
        <w:t>doivent être adressés</w:t>
      </w:r>
      <w:r w:rsidR="00DE2210">
        <w:t>, de façon trimestrielle,</w:t>
      </w:r>
      <w:r w:rsidRPr="007F2900">
        <w:t xml:space="preserve"> au Secrétariat général de l</w:t>
      </w:r>
      <w:r w:rsidR="001224E7">
        <w:t>’</w:t>
      </w:r>
      <w:r w:rsidRPr="007F2900">
        <w:t xml:space="preserve">Autorité de contrôle prudentiel </w:t>
      </w:r>
      <w:r w:rsidR="002A54BD">
        <w:t xml:space="preserve">et de résolution </w:t>
      </w:r>
      <w:r w:rsidRPr="007F2900">
        <w:t>(SGACP</w:t>
      </w:r>
      <w:r w:rsidR="002A54BD">
        <w:t>R</w:t>
      </w:r>
      <w:r w:rsidRPr="007F2900">
        <w:t>).</w:t>
      </w:r>
    </w:p>
    <w:p w14:paraId="4DC2128B" w14:textId="77777777" w:rsidR="00402307" w:rsidRDefault="00402307" w:rsidP="000845E4">
      <w:pPr>
        <w:pStyle w:val="SGACP-textecourant"/>
      </w:pPr>
    </w:p>
    <w:p w14:paraId="294E3FAE" w14:textId="53FED072" w:rsidR="00402307" w:rsidRDefault="00402307" w:rsidP="00402307">
      <w:pPr>
        <w:pStyle w:val="SGACP-textecourant"/>
      </w:pPr>
      <w:r>
        <w:t>Ces documents ainsi que le rapport de contrôle interne doivent être, co</w:t>
      </w:r>
      <w:r w:rsidR="007C443C">
        <w:t>nformément aux dispositions de</w:t>
      </w:r>
      <w:r w:rsidR="004B6385">
        <w:t xml:space="preserve">s </w:t>
      </w:r>
      <w:r>
        <w:t>article</w:t>
      </w:r>
      <w:r w:rsidR="004B6385">
        <w:t>s</w:t>
      </w:r>
      <w:r>
        <w:t xml:space="preserve"> 12</w:t>
      </w:r>
      <w:r w:rsidR="004B6385">
        <w:t xml:space="preserve"> </w:t>
      </w:r>
      <w:r w:rsidR="004B6385" w:rsidRPr="007C480A">
        <w:t>et 13</w:t>
      </w:r>
      <w:r>
        <w:t xml:space="preserve"> de l’instruction n°2017-I-24</w:t>
      </w:r>
      <w:r w:rsidR="00775F01">
        <w:t xml:space="preserve"> modifiée</w:t>
      </w:r>
      <w:r>
        <w:t xml:space="preserve">, communiqués au SGACPR </w:t>
      </w:r>
      <w:r w:rsidRPr="00402307">
        <w:rPr>
          <w:b/>
        </w:rPr>
        <w:t>par télétransmission sous format bureautique</w:t>
      </w:r>
      <w:r>
        <w:t xml:space="preserve">, selon des modalités techniques définies par l’ACPR </w:t>
      </w:r>
      <w:r w:rsidRPr="00D63D99">
        <w:rPr>
          <w:b/>
        </w:rPr>
        <w:t>et signés électroniquement</w:t>
      </w:r>
      <w:r>
        <w:t xml:space="preserve"> selon les modalités définies par l’instruction n° 2015-I-19 modifiée et par l’annexe I de l’instruction</w:t>
      </w:r>
      <w:r w:rsidRPr="00402307">
        <w:t xml:space="preserve"> n°2017-I-24</w:t>
      </w:r>
      <w:r w:rsidR="00775F01">
        <w:t xml:space="preserve"> modifiée</w:t>
      </w:r>
      <w:r>
        <w:t>.</w:t>
      </w:r>
    </w:p>
    <w:p w14:paraId="39EDC03E" w14:textId="77777777" w:rsidR="00024EC2" w:rsidRDefault="00024EC2" w:rsidP="00402307">
      <w:pPr>
        <w:pStyle w:val="SGACP-textecourant"/>
      </w:pPr>
    </w:p>
    <w:p w14:paraId="70F4CFAE" w14:textId="77777777" w:rsidR="00024EC2" w:rsidRPr="007C480A" w:rsidRDefault="00024EC2" w:rsidP="00024EC2">
      <w:pPr>
        <w:pStyle w:val="SGACP-textecourant"/>
      </w:pPr>
      <w:r w:rsidRPr="007C480A">
        <w:t>Le rapport de contrôle interne doit être remis au SGACPR au plus tard :</w:t>
      </w:r>
    </w:p>
    <w:p w14:paraId="7AD03926" w14:textId="77777777" w:rsidR="00024EC2" w:rsidRPr="007C480A" w:rsidRDefault="00024EC2" w:rsidP="00024EC2">
      <w:pPr>
        <w:pStyle w:val="SGACP-textecourant"/>
        <w:ind w:left="993" w:hanging="426"/>
      </w:pPr>
      <w:r w:rsidRPr="007C480A">
        <w:t>-</w:t>
      </w:r>
      <w:r w:rsidRPr="007C480A">
        <w:tab/>
        <w:t>le 31 mars suivant la fin de chaque exercice pour les groupes et les établissements soumis à la supervision directe de la Banque centrale européenne, à l'exception de la partie relative à la politique et aux pratiques de rémunération qui peut être remise au plus tard le 30 avril suivant la fin de chaque exercice ;</w:t>
      </w:r>
    </w:p>
    <w:p w14:paraId="212D5939" w14:textId="77777777" w:rsidR="00024EC2" w:rsidRDefault="00024EC2" w:rsidP="00024EC2">
      <w:pPr>
        <w:pStyle w:val="SGACP-textecourant"/>
        <w:ind w:left="993" w:hanging="426"/>
      </w:pPr>
      <w:r w:rsidRPr="007C480A">
        <w:t>-</w:t>
      </w:r>
      <w:r w:rsidRPr="007C480A">
        <w:tab/>
        <w:t>le 30 avril suivant la fin de chaque exercice pour les autres assujettis, y compris la partie relative à la politique et aux pratiques de rémunération pour les établissements qui y sont soumis.</w:t>
      </w:r>
    </w:p>
    <w:p w14:paraId="63C4A144" w14:textId="77777777" w:rsidR="003F2EE8" w:rsidRDefault="003F2EE8" w:rsidP="000845E4">
      <w:pPr>
        <w:pStyle w:val="SGACP-textecourant"/>
      </w:pPr>
    </w:p>
    <w:p w14:paraId="096BAB70" w14:textId="53029981" w:rsidR="00F56F68" w:rsidRDefault="00F56F68" w:rsidP="000845E4">
      <w:pPr>
        <w:pStyle w:val="SGACP-textecourant"/>
      </w:pPr>
      <w:r>
        <w:t xml:space="preserve">La rédaction est en français. Par exception, les rapports des établissements soumis à la supervision directe de la BCE peuvent être rédigés en anglais, à l’exception des </w:t>
      </w:r>
      <w:r w:rsidR="00B2333C">
        <w:t xml:space="preserve">parties relevant des </w:t>
      </w:r>
      <w:r>
        <w:t>champs de compétence en propre de l’ACPR</w:t>
      </w:r>
      <w:r w:rsidDel="00F56F68">
        <w:t xml:space="preserve"> </w:t>
      </w:r>
      <w:r>
        <w:t xml:space="preserve">(parties </w:t>
      </w:r>
      <w:r w:rsidR="00775F01">
        <w:t>18</w:t>
      </w:r>
      <w:r>
        <w:t xml:space="preserve">, </w:t>
      </w:r>
      <w:r w:rsidR="00775F01">
        <w:t>19</w:t>
      </w:r>
      <w:r w:rsidR="003A6487">
        <w:t xml:space="preserve">, </w:t>
      </w:r>
      <w:r w:rsidR="00775F01">
        <w:t xml:space="preserve">22 </w:t>
      </w:r>
      <w:r>
        <w:t>et annexe 3).</w:t>
      </w:r>
    </w:p>
    <w:p w14:paraId="029C933A" w14:textId="77777777" w:rsidR="00463A1C" w:rsidRPr="007F2900" w:rsidRDefault="00463A1C" w:rsidP="000845E4">
      <w:pPr>
        <w:pStyle w:val="SGACP-textecourant"/>
      </w:pPr>
    </w:p>
    <w:p w14:paraId="4BC8B9A3" w14:textId="77777777" w:rsidR="00463A1C" w:rsidRPr="000845E4" w:rsidRDefault="00463A1C" w:rsidP="000845E4">
      <w:pPr>
        <w:pStyle w:val="SGACP-textecourant"/>
        <w:rPr>
          <w:i/>
        </w:rPr>
      </w:pPr>
      <w:r w:rsidRPr="000845E4">
        <w:rPr>
          <w:i/>
        </w:rPr>
        <w:t xml:space="preserve">N.B. : </w:t>
      </w:r>
      <w:r w:rsidR="000845E4" w:rsidRPr="000845E4">
        <w:rPr>
          <w:i/>
        </w:rPr>
        <w:t>l</w:t>
      </w:r>
      <w:r w:rsidRPr="000845E4">
        <w:rPr>
          <w:i/>
        </w:rPr>
        <w:t>orsque l</w:t>
      </w:r>
      <w:r w:rsidR="001224E7">
        <w:rPr>
          <w:i/>
        </w:rPr>
        <w:t>’</w:t>
      </w:r>
      <w:r w:rsidRPr="000845E4">
        <w:rPr>
          <w:i/>
        </w:rPr>
        <w:t>établissement fait l</w:t>
      </w:r>
      <w:r w:rsidR="001224E7">
        <w:rPr>
          <w:i/>
        </w:rPr>
        <w:t>’</w:t>
      </w:r>
      <w:r w:rsidRPr="000845E4">
        <w:rPr>
          <w:i/>
        </w:rPr>
        <w:t>objet d</w:t>
      </w:r>
      <w:r w:rsidR="001224E7">
        <w:rPr>
          <w:i/>
        </w:rPr>
        <w:t>’</w:t>
      </w:r>
      <w:r w:rsidRPr="000845E4">
        <w:rPr>
          <w:i/>
        </w:rPr>
        <w:t>une surveillance sur une base consolidée et/ou d</w:t>
      </w:r>
      <w:r w:rsidR="001224E7">
        <w:rPr>
          <w:i/>
        </w:rPr>
        <w:t>’</w:t>
      </w:r>
      <w:r w:rsidRPr="000845E4">
        <w:rPr>
          <w:i/>
        </w:rPr>
        <w:t>une surveillance complémentaire au titre des conglomérats financiers, les rapports sur le contrôle interne comprennent une information relative aux conditions dans lesquelles le contrôle interne est assuré au niveau de l</w:t>
      </w:r>
      <w:r w:rsidR="001224E7">
        <w:rPr>
          <w:i/>
        </w:rPr>
        <w:t>’</w:t>
      </w:r>
      <w:r w:rsidRPr="000845E4">
        <w:rPr>
          <w:i/>
        </w:rPr>
        <w:t>ensemble du groupe et/ou du conglomérat. Lorsque le dispositif de contrôle interne d</w:t>
      </w:r>
      <w:r w:rsidR="001224E7">
        <w:rPr>
          <w:i/>
        </w:rPr>
        <w:t>’</w:t>
      </w:r>
      <w:r w:rsidRPr="000845E4">
        <w:rPr>
          <w:i/>
        </w:rPr>
        <w:t>une filiale est totalement intégré au dispositif du groupe, il n</w:t>
      </w:r>
      <w:r w:rsidR="001224E7">
        <w:rPr>
          <w:i/>
        </w:rPr>
        <w:t>’</w:t>
      </w:r>
      <w:r w:rsidRPr="000845E4">
        <w:rPr>
          <w:i/>
        </w:rPr>
        <w:t>est pas nécessaire de remettre un rapport relatif à l</w:t>
      </w:r>
      <w:r w:rsidR="001224E7">
        <w:rPr>
          <w:i/>
        </w:rPr>
        <w:t>’</w:t>
      </w:r>
      <w:r w:rsidRPr="000845E4">
        <w:rPr>
          <w:i/>
        </w:rPr>
        <w:t>organisation du contrôle interne pour cette filiale. En revanche les dispositifs de mesure, de surveillance et d</w:t>
      </w:r>
      <w:r w:rsidR="001224E7">
        <w:rPr>
          <w:i/>
        </w:rPr>
        <w:t>’</w:t>
      </w:r>
      <w:r w:rsidRPr="000845E4">
        <w:rPr>
          <w:i/>
        </w:rPr>
        <w:t>encadrement des risques doivent être exposés pour chaque établissement assujetti.</w:t>
      </w:r>
    </w:p>
    <w:p w14:paraId="6E868A71" w14:textId="77777777" w:rsidR="000845E4" w:rsidRPr="007F2900" w:rsidRDefault="000845E4" w:rsidP="000845E4">
      <w:pPr>
        <w:pStyle w:val="SGACP-textecourant"/>
      </w:pPr>
    </w:p>
    <w:p w14:paraId="3A79F4EE" w14:textId="77777777"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14:paraId="73B62D3E" w14:textId="77777777" w:rsidR="004A229A" w:rsidRDefault="005B2FBD">
      <w:pPr>
        <w:pStyle w:val="StyleSGACP-titrederubriqueniveau1CouleurpersonnaliseRVB"/>
        <w:ind w:left="425" w:hanging="425"/>
      </w:pPr>
      <w:bookmarkStart w:id="2" w:name="_Toc106958061"/>
      <w:bookmarkStart w:id="3" w:name="_Toc266799770"/>
      <w:bookmarkStart w:id="4" w:name="_Toc266799853"/>
      <w:r w:rsidRPr="005B2FBD">
        <w:t xml:space="preserve">Présentation générale des activités exercées et des risques encourus </w:t>
      </w:r>
      <w:r w:rsidR="00FC763A">
        <w:br/>
      </w:r>
      <w:r w:rsidR="00FC763A" w:rsidRPr="005B2FBD">
        <w:t>par l</w:t>
      </w:r>
      <w:r w:rsidR="001224E7">
        <w:t>’</w:t>
      </w:r>
      <w:r w:rsidR="00FC763A" w:rsidRPr="005B2FBD">
        <w:t>établissement</w:t>
      </w:r>
      <w:bookmarkEnd w:id="2"/>
    </w:p>
    <w:p w14:paraId="2EF29B1C" w14:textId="77777777" w:rsidR="000845E4" w:rsidRPr="00440703" w:rsidRDefault="000845E4" w:rsidP="000845E4">
      <w:pPr>
        <w:pStyle w:val="SGACP-sous-titrederubriquenivaeu2"/>
      </w:pPr>
      <w:bookmarkStart w:id="5" w:name="_Toc266799771"/>
      <w:bookmarkStart w:id="6" w:name="_Toc258846314"/>
      <w:bookmarkEnd w:id="3"/>
      <w:bookmarkEnd w:id="4"/>
    </w:p>
    <w:p w14:paraId="2C35571E" w14:textId="77777777" w:rsidR="00463A1C" w:rsidRPr="003637E1" w:rsidRDefault="00463A1C" w:rsidP="00924745">
      <w:pPr>
        <w:pStyle w:val="SGACP-sous-titrederubriquenivaeu2"/>
        <w:numPr>
          <w:ilvl w:val="1"/>
          <w:numId w:val="2"/>
        </w:numPr>
        <w:ind w:left="567" w:hanging="567"/>
      </w:pPr>
      <w:r w:rsidRPr="003637E1">
        <w:t>Description des activités</w:t>
      </w:r>
      <w:bookmarkEnd w:id="5"/>
      <w:r w:rsidR="0026421C">
        <w:t> </w:t>
      </w:r>
      <w:bookmarkEnd w:id="6"/>
      <w:r w:rsidR="0026421C">
        <w:t>:</w:t>
      </w:r>
    </w:p>
    <w:p w14:paraId="155BDA7D" w14:textId="77777777" w:rsidR="00331B88" w:rsidRDefault="005B2FBD" w:rsidP="004F3BB8">
      <w:pPr>
        <w:pStyle w:val="SGACP-enumerationniveau1"/>
        <w:ind w:left="284" w:hanging="284"/>
      </w:pPr>
      <w:r w:rsidRPr="005B2FBD">
        <w:t>description synthétique des activités exercées ;</w:t>
      </w:r>
    </w:p>
    <w:p w14:paraId="7FD9B6E9" w14:textId="77777777" w:rsidR="00331B88" w:rsidRDefault="005B2FBD" w:rsidP="004F3BB8">
      <w:pPr>
        <w:pStyle w:val="SGACP-enumerationniveau1"/>
        <w:ind w:left="284" w:hanging="284"/>
      </w:pPr>
      <w:r w:rsidRPr="005B2FBD">
        <w:t>pour les nouvelles activités :</w:t>
      </w:r>
    </w:p>
    <w:p w14:paraId="5E4B101D" w14:textId="77777777" w:rsidR="004A229A" w:rsidRDefault="0026421C" w:rsidP="00924745">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14:paraId="00B611F7" w14:textId="77777777" w:rsidR="004A229A" w:rsidRDefault="00434191" w:rsidP="00924745">
      <w:pPr>
        <w:pStyle w:val="SGACP-enumerationniveau2"/>
        <w:numPr>
          <w:ilvl w:val="0"/>
          <w:numId w:val="25"/>
        </w:numPr>
        <w:ind w:left="567" w:hanging="283"/>
      </w:pPr>
      <w:r w:rsidRPr="00434191">
        <w:t>présentation des procédures définies pour ces nouvelles activités,</w:t>
      </w:r>
    </w:p>
    <w:p w14:paraId="63DBD3A5" w14:textId="77777777" w:rsidR="004A229A" w:rsidRDefault="00434191" w:rsidP="00924745">
      <w:pPr>
        <w:pStyle w:val="SGACP-enumerationniveau2"/>
        <w:numPr>
          <w:ilvl w:val="0"/>
          <w:numId w:val="25"/>
        </w:numPr>
        <w:ind w:left="567" w:hanging="283"/>
      </w:pPr>
      <w:r w:rsidRPr="00434191">
        <w:t>description du contrôle interne des nouvelles activités ;</w:t>
      </w:r>
    </w:p>
    <w:p w14:paraId="03535383" w14:textId="77777777"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t>.</w:t>
      </w:r>
    </w:p>
    <w:p w14:paraId="2EB77D1E" w14:textId="77777777" w:rsidR="00462DED" w:rsidRDefault="00462DED" w:rsidP="00462DED">
      <w:pPr>
        <w:pStyle w:val="SGACP-sous-titrederubriquenivaeu2"/>
      </w:pPr>
      <w:bookmarkStart w:id="7" w:name="_Toc258846315"/>
      <w:bookmarkStart w:id="8" w:name="_Toc266799772"/>
    </w:p>
    <w:p w14:paraId="5047A80A" w14:textId="77777777"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7"/>
      <w:bookmarkEnd w:id="8"/>
    </w:p>
    <w:p w14:paraId="680664B1" w14:textId="77777777" w:rsidR="00331B88" w:rsidRDefault="0026421C" w:rsidP="004F3BB8">
      <w:pPr>
        <w:pStyle w:val="SGACP-enumerationniveau1"/>
        <w:ind w:left="284" w:hanging="284"/>
      </w:pPr>
      <w:r>
        <w:t>d</w:t>
      </w:r>
      <w:r w:rsidR="00463A1C" w:rsidRPr="007F2900">
        <w:t>escription, formalisation et mise à jour de la car</w:t>
      </w:r>
      <w:r>
        <w:t>tographie des risques ;</w:t>
      </w:r>
    </w:p>
    <w:p w14:paraId="5851CB11" w14:textId="77777777" w:rsidR="00331B88" w:rsidRDefault="0026421C" w:rsidP="004F3BB8">
      <w:pPr>
        <w:pStyle w:val="SGACP-enumerationniveau1"/>
        <w:ind w:left="284" w:hanging="284"/>
      </w:pPr>
      <w:r>
        <w:t>d</w:t>
      </w:r>
      <w:r w:rsidR="00463A1C" w:rsidRPr="007F2900">
        <w:t>escription des actions mises en œuvre sur les risques identifiés par la cartographie</w:t>
      </w:r>
      <w:r>
        <w:t> ;</w:t>
      </w:r>
    </w:p>
    <w:p w14:paraId="144F597A" w14:textId="77777777" w:rsidR="001258AA"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94273B">
        <w:t xml:space="preserve">, </w:t>
      </w:r>
      <w:r w:rsidR="00463A1C" w:rsidRPr="007F2900">
        <w:t xml:space="preserve">et le cas échéant au comité des risques </w:t>
      </w:r>
      <w:r w:rsidR="00036F86">
        <w:t xml:space="preserve">et au comité </w:t>
      </w:r>
      <w:r w:rsidR="00036F86" w:rsidRPr="00036F86">
        <w:rPr>
          <w:i/>
        </w:rPr>
        <w:t>ad hoc</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6653E9">
        <w:t xml:space="preserve"> modifié</w:t>
      </w:r>
      <w:r w:rsidR="00463A1C" w:rsidRPr="007F2900">
        <w:t>)</w:t>
      </w:r>
      <w:r w:rsidR="001258AA">
        <w:t> ;</w:t>
      </w:r>
    </w:p>
    <w:p w14:paraId="1311B699" w14:textId="23C508C9" w:rsidR="001258AA" w:rsidRDefault="001258AA" w:rsidP="001258AA">
      <w:pPr>
        <w:pStyle w:val="SGACP-enumerationniveau1"/>
        <w:ind w:left="284" w:hanging="284"/>
      </w:pPr>
      <w:r>
        <w:rPr>
          <w:szCs w:val="22"/>
        </w:rPr>
        <w:t>pour les entreprises d’investissement soumises à la règlementation IFR, i</w:t>
      </w:r>
      <w:r w:rsidRPr="0059679C">
        <w:t>dentification et justification des facteurs k concernés par l</w:t>
      </w:r>
      <w:r w:rsidR="001544D6">
        <w:t xml:space="preserve">es </w:t>
      </w:r>
      <w:r w:rsidRPr="0059679C">
        <w:t>activité</w:t>
      </w:r>
      <w:r w:rsidR="001544D6">
        <w:t>s</w:t>
      </w:r>
      <w:r w:rsidRPr="0059679C">
        <w:t xml:space="preserve"> de l’établissement (cf. tableau descriptif des facteurs k </w:t>
      </w:r>
      <w:r>
        <w:t>en annexe</w:t>
      </w:r>
      <w:r w:rsidRPr="0059679C">
        <w:t>)</w:t>
      </w:r>
    </w:p>
    <w:p w14:paraId="30A38284" w14:textId="44F2EEA1" w:rsidR="001258AA" w:rsidRDefault="001258AA" w:rsidP="001258AA">
      <w:pPr>
        <w:pStyle w:val="SGACP-enumerationniveau1"/>
        <w:ind w:left="284" w:hanging="284"/>
      </w:pPr>
      <w:r>
        <w:rPr>
          <w:szCs w:val="22"/>
        </w:rPr>
        <w:t>pour les entreprises d’investissement soumises à la règlementation IFR</w:t>
      </w:r>
      <w:r>
        <w:t>, identification des activités de l’établissement qui ne sont captées par aucun facteur k</w:t>
      </w:r>
    </w:p>
    <w:p w14:paraId="6B0023AE" w14:textId="77777777" w:rsidR="002A65C7" w:rsidRDefault="002A65C7" w:rsidP="00890013">
      <w:pPr>
        <w:pStyle w:val="SGACP-enumerationniveau1"/>
        <w:numPr>
          <w:ilvl w:val="0"/>
          <w:numId w:val="0"/>
        </w:numPr>
        <w:ind w:left="284"/>
      </w:pPr>
    </w:p>
    <w:p w14:paraId="7F65BE59" w14:textId="77777777" w:rsidR="002A65C7" w:rsidRPr="00440703" w:rsidRDefault="002A65C7" w:rsidP="002A65C7">
      <w:r>
        <w:rPr>
          <w:rFonts w:ascii="Arial" w:hAnsi="Arial"/>
          <w:sz w:val="22"/>
        </w:rPr>
        <w:t xml:space="preserve">1.3.   </w:t>
      </w:r>
      <w:r w:rsidRPr="002C1BF5">
        <w:rPr>
          <w:rFonts w:ascii="Arial" w:hAnsi="Arial"/>
          <w:sz w:val="22"/>
        </w:rPr>
        <w:t>Présentation de la stratégie et de la politique en matière de risques :</w:t>
      </w:r>
    </w:p>
    <w:p w14:paraId="7D444B26" w14:textId="470872FF" w:rsidR="00CF05CC" w:rsidRDefault="00CF05CC" w:rsidP="00924745">
      <w:pPr>
        <w:pStyle w:val="SGACP-enumerationniveau1"/>
        <w:numPr>
          <w:ilvl w:val="0"/>
          <w:numId w:val="102"/>
        </w:numPr>
        <w:tabs>
          <w:tab w:val="left" w:pos="284"/>
        </w:tabs>
        <w:ind w:left="284" w:hanging="284"/>
        <w:rPr>
          <w:szCs w:val="22"/>
        </w:rPr>
      </w:pPr>
      <w:r>
        <w:rPr>
          <w:szCs w:val="22"/>
        </w:rPr>
        <w:t>description de</w:t>
      </w:r>
      <w:r w:rsidR="00DE47CE" w:rsidRPr="00CF05CC">
        <w:rPr>
          <w:szCs w:val="22"/>
        </w:rPr>
        <w:t xml:space="preserve">s processus mis en place pour </w:t>
      </w:r>
      <w:r w:rsidR="009B775A">
        <w:rPr>
          <w:szCs w:val="22"/>
        </w:rPr>
        <w:t>détecter, gérer, suivre et déclarer</w:t>
      </w:r>
      <w:r w:rsidR="00DE47CE" w:rsidRPr="00CF05CC">
        <w:rPr>
          <w:szCs w:val="22"/>
        </w:rPr>
        <w:t xml:space="preserve"> chaque risque significatif</w:t>
      </w:r>
      <w:r w:rsidR="00E90797">
        <w:rPr>
          <w:szCs w:val="22"/>
        </w:rPr>
        <w:t xml:space="preserve"> </w:t>
      </w:r>
      <w:r w:rsidR="00CB6DB7" w:rsidRPr="00874824">
        <w:rPr>
          <w:szCs w:val="22"/>
        </w:rPr>
        <w:t>(</w:t>
      </w:r>
      <w:r w:rsidR="00CB6DB7">
        <w:rPr>
          <w:szCs w:val="22"/>
        </w:rPr>
        <w:t xml:space="preserve">cf. </w:t>
      </w:r>
      <w:r w:rsidR="00CB6DB7" w:rsidRPr="00874824">
        <w:rPr>
          <w:szCs w:val="22"/>
        </w:rPr>
        <w:t>article</w:t>
      </w:r>
      <w:r w:rsidR="00134277">
        <w:rPr>
          <w:szCs w:val="22"/>
        </w:rPr>
        <w:t>s</w:t>
      </w:r>
      <w:r w:rsidR="00CB6DB7" w:rsidRPr="00874824">
        <w:rPr>
          <w:szCs w:val="22"/>
        </w:rPr>
        <w:t xml:space="preserve"> L</w:t>
      </w:r>
      <w:r w:rsidR="00CB6DB7">
        <w:rPr>
          <w:szCs w:val="22"/>
        </w:rPr>
        <w:t>.</w:t>
      </w:r>
      <w:r w:rsidR="00CB6DB7" w:rsidRPr="00874824">
        <w:rPr>
          <w:szCs w:val="22"/>
        </w:rPr>
        <w:t xml:space="preserve">511-55 </w:t>
      </w:r>
      <w:r w:rsidR="00134277">
        <w:rPr>
          <w:szCs w:val="22"/>
        </w:rPr>
        <w:t xml:space="preserve">ou L. 533-29 </w:t>
      </w:r>
      <w:r w:rsidR="00CB6DB7" w:rsidRPr="00874824">
        <w:rPr>
          <w:szCs w:val="22"/>
        </w:rPr>
        <w:t>du Code monétaire et financier)</w:t>
      </w:r>
      <w:r w:rsidR="005B70E0">
        <w:rPr>
          <w:szCs w:val="22"/>
        </w:rPr>
        <w:t> ;</w:t>
      </w:r>
    </w:p>
    <w:p w14:paraId="4003E385" w14:textId="7DFD3EF7" w:rsidR="00AE4A1D" w:rsidRDefault="00CF05CC" w:rsidP="00924745">
      <w:pPr>
        <w:pStyle w:val="SGACP-enumerationniveau1"/>
        <w:numPr>
          <w:ilvl w:val="0"/>
          <w:numId w:val="102"/>
        </w:numPr>
        <w:tabs>
          <w:tab w:val="left" w:pos="284"/>
        </w:tabs>
        <w:ind w:left="284" w:hanging="284"/>
        <w:rPr>
          <w:szCs w:val="22"/>
        </w:rPr>
      </w:pPr>
      <w:r w:rsidRPr="00CF05CC">
        <w:rPr>
          <w:szCs w:val="22"/>
        </w:rPr>
        <w:t>précis</w:t>
      </w:r>
      <w:r>
        <w:rPr>
          <w:szCs w:val="22"/>
        </w:rPr>
        <w:t>er</w:t>
      </w:r>
      <w:r w:rsidR="008723BD" w:rsidRPr="00CF05CC">
        <w:rPr>
          <w:szCs w:val="22"/>
        </w:rPr>
        <w:t xml:space="preserve"> le </w:t>
      </w:r>
      <w:r w:rsidR="008723BD" w:rsidRPr="007D2D09">
        <w:rPr>
          <w:szCs w:val="22"/>
        </w:rPr>
        <w:t>cadre d’appét</w:t>
      </w:r>
      <w:r w:rsidR="00A735BD">
        <w:rPr>
          <w:szCs w:val="22"/>
        </w:rPr>
        <w:t>ence</w:t>
      </w:r>
      <w:r w:rsidR="008723BD" w:rsidRPr="00CF05CC">
        <w:rPr>
          <w:szCs w:val="22"/>
        </w:rPr>
        <w:t xml:space="preserve"> pour le risque</w:t>
      </w:r>
      <w:r w:rsidR="00724D63" w:rsidRPr="007D2D09">
        <w:rPr>
          <w:szCs w:val="22"/>
        </w:rPr>
        <w:t>, ses modalités de définition et de révision</w:t>
      </w:r>
      <w:r w:rsidR="00BA073B">
        <w:rPr>
          <w:szCs w:val="22"/>
        </w:rPr>
        <w:t xml:space="preserve"> </w:t>
      </w:r>
      <w:r w:rsidR="00BA073B" w:rsidRPr="00874824">
        <w:rPr>
          <w:szCs w:val="22"/>
        </w:rPr>
        <w:t>(</w:t>
      </w:r>
      <w:r w:rsidR="00BA073B">
        <w:rPr>
          <w:szCs w:val="22"/>
        </w:rPr>
        <w:t xml:space="preserve">cf. </w:t>
      </w:r>
      <w:r w:rsidR="00BA073B" w:rsidRPr="00874824">
        <w:rPr>
          <w:szCs w:val="22"/>
        </w:rPr>
        <w:t>article</w:t>
      </w:r>
      <w:r w:rsidR="00134277">
        <w:rPr>
          <w:szCs w:val="22"/>
        </w:rPr>
        <w:t>s</w:t>
      </w:r>
      <w:r w:rsidR="00BA073B" w:rsidRPr="00874824">
        <w:rPr>
          <w:szCs w:val="22"/>
        </w:rPr>
        <w:t xml:space="preserve"> L</w:t>
      </w:r>
      <w:r w:rsidR="00BA073B">
        <w:rPr>
          <w:szCs w:val="22"/>
        </w:rPr>
        <w:t>.511-9</w:t>
      </w:r>
      <w:r w:rsidR="00823F9E">
        <w:rPr>
          <w:szCs w:val="22"/>
        </w:rPr>
        <w:t>3</w:t>
      </w:r>
      <w:r w:rsidR="00134277">
        <w:rPr>
          <w:szCs w:val="22"/>
        </w:rPr>
        <w:t xml:space="preserve"> ou L. 533-31-2</w:t>
      </w:r>
      <w:r w:rsidR="00BA073B" w:rsidRPr="00874824">
        <w:rPr>
          <w:szCs w:val="22"/>
        </w:rPr>
        <w:t xml:space="preserve"> du Code monétaire et financier)</w:t>
      </w:r>
      <w:r w:rsidR="00D82F7B">
        <w:rPr>
          <w:szCs w:val="22"/>
        </w:rPr>
        <w:t> ;</w:t>
      </w:r>
    </w:p>
    <w:p w14:paraId="0C3B302A" w14:textId="77777777" w:rsidR="001258AA" w:rsidRPr="001544D6" w:rsidRDefault="00E76AEA" w:rsidP="001258AA">
      <w:pPr>
        <w:pStyle w:val="Paragraphedeliste"/>
        <w:numPr>
          <w:ilvl w:val="0"/>
          <w:numId w:val="102"/>
        </w:numPr>
        <w:tabs>
          <w:tab w:val="left" w:pos="284"/>
        </w:tabs>
        <w:spacing w:before="120" w:after="120"/>
        <w:ind w:left="284" w:hanging="284"/>
        <w:contextualSpacing w:val="0"/>
        <w:rPr>
          <w:i/>
          <w:szCs w:val="22"/>
        </w:rPr>
      </w:pPr>
      <w:r w:rsidRPr="009E21B7">
        <w:rPr>
          <w:szCs w:val="22"/>
        </w:rPr>
        <w:t>description d</w:t>
      </w:r>
      <w:r w:rsidR="00187F7B" w:rsidRPr="009E21B7">
        <w:rPr>
          <w:szCs w:val="22"/>
        </w:rPr>
        <w:t xml:space="preserve">es politiques régissant la gestion, la qualité et l’agrégation des </w:t>
      </w:r>
      <w:r w:rsidRPr="009E21B7">
        <w:rPr>
          <w:szCs w:val="22"/>
        </w:rPr>
        <w:t>données sur les risques à différents niveaux dans l’établissement, y compris pour l’activité à l’étranger et les activités externalisées</w:t>
      </w:r>
      <w:r w:rsidR="00187F7B" w:rsidRPr="009E21B7">
        <w:rPr>
          <w:szCs w:val="22"/>
        </w:rPr>
        <w:t xml:space="preserve"> : </w:t>
      </w:r>
      <w:r w:rsidR="00FE081D" w:rsidRPr="0070105F">
        <w:rPr>
          <w:i/>
          <w:szCs w:val="22"/>
        </w:rPr>
        <w:t>mise en place</w:t>
      </w:r>
      <w:r w:rsidR="001B388A" w:rsidRPr="001B388A">
        <w:rPr>
          <w:i/>
          <w:szCs w:val="22"/>
        </w:rPr>
        <w:t>, selon des modalités adaptées à la taille, la nature et à la complexité de l’activité</w:t>
      </w:r>
      <w:r w:rsidR="001B388A" w:rsidRPr="009E21B7">
        <w:rPr>
          <w:i/>
          <w:szCs w:val="22"/>
        </w:rPr>
        <w:t xml:space="preserve"> de l’établissement,</w:t>
      </w:r>
      <w:r w:rsidR="00FE081D">
        <w:rPr>
          <w:i/>
          <w:szCs w:val="22"/>
        </w:rPr>
        <w:t xml:space="preserve"> </w:t>
      </w:r>
      <w:r w:rsidR="000B5A93">
        <w:rPr>
          <w:i/>
          <w:szCs w:val="22"/>
        </w:rPr>
        <w:t>d’une</w:t>
      </w:r>
      <w:r w:rsidR="000B5A93" w:rsidRPr="009E21B7">
        <w:rPr>
          <w:i/>
          <w:szCs w:val="22"/>
        </w:rPr>
        <w:t xml:space="preserve"> structure de données uniforme ou homogène </w:t>
      </w:r>
      <w:r w:rsidR="00FE081D" w:rsidRPr="00FE081D">
        <w:rPr>
          <w:i/>
          <w:szCs w:val="22"/>
        </w:rPr>
        <w:t>p</w:t>
      </w:r>
      <w:r w:rsidR="00FE081D">
        <w:rPr>
          <w:i/>
          <w:szCs w:val="22"/>
        </w:rPr>
        <w:t>ermettant d’i</w:t>
      </w:r>
      <w:r w:rsidR="00FE081D" w:rsidRPr="00FE081D">
        <w:rPr>
          <w:i/>
          <w:szCs w:val="22"/>
        </w:rPr>
        <w:t xml:space="preserve">dentifier sans équivoque les données sur les risques </w:t>
      </w:r>
      <w:r w:rsidR="000B5A93">
        <w:rPr>
          <w:i/>
          <w:szCs w:val="22"/>
        </w:rPr>
        <w:t xml:space="preserve">ainsi que </w:t>
      </w:r>
      <w:r w:rsidR="00FE081D">
        <w:rPr>
          <w:i/>
          <w:szCs w:val="22"/>
        </w:rPr>
        <w:t>des</w:t>
      </w:r>
      <w:r w:rsidR="00187F7B" w:rsidRPr="009E21B7">
        <w:rPr>
          <w:i/>
          <w:szCs w:val="22"/>
        </w:rPr>
        <w:t xml:space="preserve"> mesures </w:t>
      </w:r>
      <w:r w:rsidR="009E21B7">
        <w:rPr>
          <w:i/>
          <w:szCs w:val="22"/>
        </w:rPr>
        <w:t>permettant d’assurer</w:t>
      </w:r>
      <w:r w:rsidR="009E21B7" w:rsidRPr="009E21B7">
        <w:rPr>
          <w:i/>
          <w:szCs w:val="22"/>
        </w:rPr>
        <w:t xml:space="preserve"> l’exactitude, l’intégrité</w:t>
      </w:r>
      <w:r w:rsidR="009E21B7">
        <w:rPr>
          <w:i/>
          <w:szCs w:val="22"/>
        </w:rPr>
        <w:t>,</w:t>
      </w:r>
      <w:r w:rsidR="009E21B7" w:rsidRPr="009E21B7">
        <w:rPr>
          <w:i/>
          <w:szCs w:val="22"/>
        </w:rPr>
        <w:t xml:space="preserve"> l’</w:t>
      </w:r>
      <w:r w:rsidR="00187F7B" w:rsidRPr="009E21B7">
        <w:rPr>
          <w:i/>
          <w:szCs w:val="22"/>
        </w:rPr>
        <w:t>exhaustivité</w:t>
      </w:r>
      <w:r w:rsidR="009E21B7">
        <w:rPr>
          <w:i/>
          <w:szCs w:val="22"/>
        </w:rPr>
        <w:t xml:space="preserve"> et</w:t>
      </w:r>
      <w:r w:rsidR="00187F7B" w:rsidRPr="009E21B7">
        <w:rPr>
          <w:i/>
          <w:szCs w:val="22"/>
        </w:rPr>
        <w:t xml:space="preserve"> </w:t>
      </w:r>
      <w:r w:rsidR="009E21B7" w:rsidRPr="009E21B7">
        <w:rPr>
          <w:i/>
          <w:szCs w:val="22"/>
        </w:rPr>
        <w:t xml:space="preserve">la disponibilité en temps utile </w:t>
      </w:r>
      <w:r w:rsidR="00187F7B" w:rsidRPr="009E21B7">
        <w:rPr>
          <w:i/>
          <w:szCs w:val="22"/>
        </w:rPr>
        <w:t>des données sur les risques</w:t>
      </w:r>
      <w:r w:rsidR="0070105F">
        <w:rPr>
          <w:i/>
          <w:szCs w:val="22"/>
        </w:rPr>
        <w:t>, définition</w:t>
      </w:r>
      <w:r w:rsidR="000B5A93">
        <w:rPr>
          <w:i/>
          <w:szCs w:val="22"/>
        </w:rPr>
        <w:t xml:space="preserve"> </w:t>
      </w:r>
      <w:r w:rsidR="00FE081D" w:rsidRPr="001B388A">
        <w:rPr>
          <w:i/>
          <w:szCs w:val="22"/>
        </w:rPr>
        <w:t>d’un</w:t>
      </w:r>
      <w:r w:rsidR="00FE081D">
        <w:rPr>
          <w:i/>
          <w:szCs w:val="22"/>
        </w:rPr>
        <w:t xml:space="preserve"> processus de gouvernance</w:t>
      </w:r>
      <w:r w:rsidR="00FE081D" w:rsidRPr="001B388A">
        <w:rPr>
          <w:szCs w:val="22"/>
        </w:rPr>
        <w:t xml:space="preserve"> </w:t>
      </w:r>
      <w:r w:rsidR="0070105F" w:rsidRPr="0070105F">
        <w:rPr>
          <w:i/>
          <w:szCs w:val="22"/>
        </w:rPr>
        <w:t xml:space="preserve">du </w:t>
      </w:r>
      <w:r w:rsidR="008C0E80">
        <w:rPr>
          <w:i/>
          <w:szCs w:val="22"/>
        </w:rPr>
        <w:t>dispositif</w:t>
      </w:r>
      <w:r w:rsidR="0070105F" w:rsidRPr="0070105F">
        <w:rPr>
          <w:i/>
          <w:szCs w:val="22"/>
        </w:rPr>
        <w:t xml:space="preserve"> d'agrégation des données sur les risques</w:t>
      </w:r>
      <w:r w:rsidR="0070105F" w:rsidRPr="0070105F">
        <w:rPr>
          <w:szCs w:val="22"/>
        </w:rPr>
        <w:t xml:space="preserve"> </w:t>
      </w:r>
      <w:r w:rsidR="00187F7B" w:rsidRPr="001B388A">
        <w:rPr>
          <w:szCs w:val="22"/>
        </w:rPr>
        <w:t>(</w:t>
      </w:r>
      <w:r w:rsidR="00187F7B">
        <w:t xml:space="preserve">cf. </w:t>
      </w:r>
      <w:r w:rsidR="00187F7B" w:rsidRPr="007F2900">
        <w:t>article</w:t>
      </w:r>
      <w:r w:rsidR="00187F7B">
        <w:t xml:space="preserve"> 104 de l’arrêté du 3 novembre 2014</w:t>
      </w:r>
      <w:r w:rsidR="00F14EC1">
        <w:t xml:space="preserve"> modifié</w:t>
      </w:r>
      <w:r w:rsidR="00187F7B">
        <w:t>)</w:t>
      </w:r>
      <w:r w:rsidR="001258AA">
        <w:t> </w:t>
      </w:r>
      <w:r w:rsidR="001258AA">
        <w:rPr>
          <w:szCs w:val="22"/>
        </w:rPr>
        <w:t>;</w:t>
      </w:r>
    </w:p>
    <w:p w14:paraId="703C42C0" w14:textId="2AAD21DB" w:rsidR="001B43FF" w:rsidRPr="001258AA" w:rsidRDefault="001258AA" w:rsidP="001258AA">
      <w:pPr>
        <w:pStyle w:val="Paragraphedeliste"/>
        <w:numPr>
          <w:ilvl w:val="0"/>
          <w:numId w:val="102"/>
        </w:numPr>
        <w:spacing w:after="160"/>
        <w:ind w:left="284" w:hanging="284"/>
        <w:rPr>
          <w:szCs w:val="22"/>
        </w:rPr>
      </w:pPr>
      <w:r>
        <w:rPr>
          <w:szCs w:val="22"/>
        </w:rPr>
        <w:t xml:space="preserve">pour les entreprises d’investissement soumises à la règlementation IFR, </w:t>
      </w:r>
      <w:r w:rsidRPr="001258AA">
        <w:rPr>
          <w:szCs w:val="22"/>
        </w:rPr>
        <w:t xml:space="preserve">présentation </w:t>
      </w:r>
      <w:r>
        <w:rPr>
          <w:szCs w:val="22"/>
        </w:rPr>
        <w:t xml:space="preserve">succincte </w:t>
      </w:r>
      <w:r w:rsidRPr="001258AA">
        <w:rPr>
          <w:szCs w:val="22"/>
        </w:rPr>
        <w:t xml:space="preserve">du dispositif de fermeture ordonnée : </w:t>
      </w:r>
      <w:r w:rsidRPr="001544D6">
        <w:rPr>
          <w:i/>
          <w:szCs w:val="22"/>
        </w:rPr>
        <w:t>descriptif du raisonnement et des impacts généraux dans des circonstances de fermeture ordonnée de l’établissement</w:t>
      </w:r>
      <w:r w:rsidRPr="001544D6">
        <w:rPr>
          <w:szCs w:val="22"/>
        </w:rPr>
        <w:t xml:space="preserve">. </w:t>
      </w:r>
    </w:p>
    <w:p w14:paraId="52D9ACFF" w14:textId="77777777" w:rsidR="001B43FF" w:rsidRDefault="001B43FF" w:rsidP="00462DED"/>
    <w:p w14:paraId="03CE8630" w14:textId="77777777" w:rsidR="00924745" w:rsidRPr="00440703" w:rsidRDefault="00924745" w:rsidP="00462DED"/>
    <w:p w14:paraId="24FE80DC" w14:textId="77777777" w:rsidR="004A229A" w:rsidRDefault="005B2FBD">
      <w:pPr>
        <w:pStyle w:val="StyleSGACP-titrederubriqueniveau1CouleurpersonnaliseRVB"/>
        <w:ind w:left="426" w:hanging="426"/>
      </w:pPr>
      <w:bookmarkStart w:id="9" w:name="_Toc106958062"/>
      <w:bookmarkStart w:id="10" w:name="_Toc266799773"/>
      <w:bookmarkStart w:id="11" w:name="_Toc266799854"/>
      <w:r w:rsidRPr="005B2FBD">
        <w:t>Modifications significatives apportées à l</w:t>
      </w:r>
      <w:r w:rsidR="001224E7">
        <w:t>’</w:t>
      </w:r>
      <w:r w:rsidRPr="005B2FBD">
        <w:t xml:space="preserve">organisation du dispositif </w:t>
      </w:r>
      <w:r w:rsidR="00FC763A">
        <w:br/>
      </w:r>
      <w:r w:rsidR="00FC763A" w:rsidRPr="005B2FBD">
        <w:t>de contrôle interne</w:t>
      </w:r>
      <w:bookmarkEnd w:id="9"/>
    </w:p>
    <w:bookmarkEnd w:id="10"/>
    <w:bookmarkEnd w:id="11"/>
    <w:p w14:paraId="52A22BD9" w14:textId="77777777" w:rsidR="00462DED" w:rsidRPr="009E5533" w:rsidRDefault="00462DED" w:rsidP="00462DED">
      <w:pPr>
        <w:pStyle w:val="SGACP-textecourant"/>
        <w:rPr>
          <w:i/>
          <w:iCs/>
        </w:rPr>
      </w:pPr>
    </w:p>
    <w:p w14:paraId="3278F8F4" w14:textId="737E8F92" w:rsidR="00463A1C" w:rsidRDefault="00463A1C" w:rsidP="00462DED">
      <w:pPr>
        <w:pStyle w:val="SGACP-textecourant"/>
        <w:rPr>
          <w:i/>
          <w:iCs/>
        </w:rPr>
      </w:pPr>
      <w:r w:rsidRPr="00462DED">
        <w:rPr>
          <w:i/>
          <w:iCs/>
        </w:rPr>
        <w:t>Lorsque l</w:t>
      </w:r>
      <w:r w:rsidR="001224E7">
        <w:rPr>
          <w:i/>
          <w:iCs/>
        </w:rPr>
        <w:t>’</w:t>
      </w:r>
      <w:r w:rsidRPr="00462DED">
        <w:rPr>
          <w:i/>
          <w:iCs/>
        </w:rPr>
        <w:t xml:space="preserve">organisation du dispositif de contrôle interne </w:t>
      </w:r>
      <w:r w:rsidR="00514BCE">
        <w:rPr>
          <w:i/>
          <w:iCs/>
        </w:rPr>
        <w:t xml:space="preserve">qui contient les trois lignes de défense </w:t>
      </w:r>
      <w:r w:rsidR="00212C15">
        <w:rPr>
          <w:i/>
          <w:iCs/>
        </w:rPr>
        <w:t>correspondant aux</w:t>
      </w:r>
      <w:r w:rsidR="00514BCE">
        <w:rPr>
          <w:i/>
          <w:iCs/>
        </w:rPr>
        <w:t xml:space="preserve"> niveaux de contrôle décrits ci-dessous, </w:t>
      </w:r>
      <w:r w:rsidRPr="00462DED">
        <w:rPr>
          <w:i/>
          <w:iCs/>
        </w:rPr>
        <w:t>ne présente pas de changements significatifs, elle peut être présentée de manière synthétique dans une annexe ou en communiquant la charte de contrôle interne en vigueur</w:t>
      </w:r>
      <w:r w:rsidR="00292843">
        <w:rPr>
          <w:i/>
          <w:iCs/>
        </w:rPr>
        <w:t>.</w:t>
      </w:r>
    </w:p>
    <w:p w14:paraId="65F3694D" w14:textId="77777777" w:rsidR="00462DED" w:rsidRPr="009E5533" w:rsidRDefault="00462DED" w:rsidP="00463A1C">
      <w:bookmarkStart w:id="12" w:name="_Toc266799774"/>
    </w:p>
    <w:p w14:paraId="461BA5CF" w14:textId="08D6F1DD" w:rsidR="0094780D" w:rsidRDefault="00463A1C" w:rsidP="007D12DD">
      <w:pPr>
        <w:pStyle w:val="SGACP-sous-titrederubriquenivaeu2"/>
      </w:pPr>
      <w:r w:rsidRPr="007F2900">
        <w:t>2.1</w:t>
      </w:r>
      <w:r w:rsidR="00CF70AC">
        <w:t>.</w:t>
      </w:r>
      <w:r w:rsidRPr="007F2900">
        <w:t xml:space="preserve"> </w:t>
      </w:r>
      <w:r w:rsidRPr="007F2900">
        <w:tab/>
        <w:t xml:space="preserve">Au dispositif de contrôle permanent </w:t>
      </w:r>
      <w:r w:rsidR="00D316E5">
        <w:t>« 1</w:t>
      </w:r>
      <w:r w:rsidR="00D316E5" w:rsidRPr="00D316E5">
        <w:rPr>
          <w:vertAlign w:val="superscript"/>
        </w:rPr>
        <w:t>er</w:t>
      </w:r>
      <w:r w:rsidR="00D316E5">
        <w:t xml:space="preserve"> et 2</w:t>
      </w:r>
      <w:r w:rsidR="00D316E5" w:rsidRPr="00D316E5">
        <w:rPr>
          <w:vertAlign w:val="superscript"/>
        </w:rPr>
        <w:t>ème</w:t>
      </w:r>
      <w:r w:rsidR="00D316E5">
        <w:t xml:space="preserve"> niveau de contrôle » </w:t>
      </w:r>
      <w:r w:rsidRPr="007F2900">
        <w:t>(y compris l</w:t>
      </w:r>
      <w:r w:rsidR="001224E7">
        <w:t>’</w:t>
      </w:r>
      <w:r w:rsidRPr="007F2900">
        <w:t>organisation du contrôle de l</w:t>
      </w:r>
      <w:r w:rsidR="001224E7">
        <w:t>’</w:t>
      </w:r>
      <w:r w:rsidRPr="007F2900">
        <w:t xml:space="preserve">activité </w:t>
      </w:r>
      <w:r w:rsidR="00E55A5D" w:rsidRPr="007F2900">
        <w:t>à l</w:t>
      </w:r>
      <w:r w:rsidR="001224E7">
        <w:t>’</w:t>
      </w:r>
      <w:r w:rsidR="00E55A5D" w:rsidRPr="007F2900">
        <w:t>étranger et des activités externalisées)</w:t>
      </w:r>
      <w:r w:rsidR="00E55A5D">
        <w:t> :</w:t>
      </w:r>
    </w:p>
    <w:bookmarkEnd w:id="12"/>
    <w:p w14:paraId="2DB4D330" w14:textId="6EDA7A38"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 xml:space="preserve">organisation du dispositif de contrôle permanent </w:t>
      </w:r>
      <w:r w:rsidR="008A72FA">
        <w:t>qui correspond au</w:t>
      </w:r>
      <w:r w:rsidR="003C010E">
        <w:t>x</w:t>
      </w:r>
      <w:r w:rsidR="008A72FA">
        <w:t xml:space="preserve"> premier et deuxième niveau</w:t>
      </w:r>
      <w:r w:rsidR="003C010E">
        <w:t>x</w:t>
      </w:r>
      <w:r w:rsidR="008A72FA">
        <w:t xml:space="preserve"> de contrôle tel que défini à l’article 12 de l’arrêté du 3 novembre 2014</w:t>
      </w:r>
      <w:r w:rsidR="00F14EC1">
        <w:t xml:space="preserve"> modifié</w:t>
      </w:r>
      <w:r w:rsidR="008A72FA">
        <w:t xml:space="preserve"> </w:t>
      </w:r>
      <w:r w:rsidR="00463A1C" w:rsidRPr="007F2900">
        <w:t>(y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134277">
        <w:t>s</w:t>
      </w:r>
      <w:r w:rsidR="009767B5">
        <w:t xml:space="preserve"> 259 f) </w:t>
      </w:r>
      <w:r w:rsidR="00134277">
        <w:t xml:space="preserve">ou 259 bis d) </w:t>
      </w:r>
      <w:r w:rsidR="009767B5">
        <w:t>d</w:t>
      </w:r>
      <w:r w:rsidR="008A72FA">
        <w:t xml:space="preserve">udit </w:t>
      </w:r>
      <w:r w:rsidR="009767B5">
        <w:t>arrêté</w:t>
      </w:r>
      <w:r w:rsidR="00463A1C" w:rsidRPr="007F2900">
        <w:t>)</w:t>
      </w:r>
      <w:r w:rsidR="0008212F">
        <w:t> :</w:t>
      </w:r>
      <w:r>
        <w:t>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w:t>
      </w:r>
      <w:r w:rsidR="005609B3">
        <w:rPr>
          <w:i/>
        </w:rPr>
        <w:t xml:space="preserve"> ou des</w:t>
      </w:r>
      <w:r w:rsidR="00B40286" w:rsidRPr="00B40286">
        <w:rPr>
          <w:i/>
        </w:rPr>
        <w:t xml:space="preserve"> responsable</w:t>
      </w:r>
      <w:r w:rsidR="005609B3">
        <w:rPr>
          <w:i/>
        </w:rPr>
        <w:t>(s)</w:t>
      </w:r>
      <w:r w:rsidR="00B40286">
        <w:rPr>
          <w:i/>
        </w:rPr>
        <w:t xml:space="preserve"> de contrôle permanent</w:t>
      </w:r>
      <w:r w:rsidR="00C651EF">
        <w:rPr>
          <w:i/>
        </w:rPr>
        <w:t xml:space="preserve"> </w:t>
      </w:r>
      <w:r w:rsidR="00B40286">
        <w:rPr>
          <w:i/>
        </w:rPr>
        <w:t>ainsi que les autres fonctions éventuellement exercées par ce</w:t>
      </w:r>
      <w:r w:rsidR="005609B3">
        <w:rPr>
          <w:i/>
        </w:rPr>
        <w:t>(s)</w:t>
      </w:r>
      <w:r w:rsidR="00B40286">
        <w:rPr>
          <w:i/>
        </w:rPr>
        <w:t xml:space="preserve"> dernier</w:t>
      </w:r>
      <w:r w:rsidR="005609B3">
        <w:rPr>
          <w:i/>
        </w:rPr>
        <w:t>(s)</w:t>
      </w:r>
      <w:r w:rsidR="00B40286">
        <w:rPr>
          <w:i/>
        </w:rPr>
        <w:t xml:space="preserve">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w:t>
      </w:r>
      <w:r w:rsidR="005609B3">
        <w:rPr>
          <w:i/>
        </w:rPr>
        <w:t xml:space="preserve">, </w:t>
      </w:r>
      <w:r w:rsidR="00D4232F">
        <w:rPr>
          <w:i/>
        </w:rPr>
        <w:t xml:space="preserve">préciser </w:t>
      </w:r>
      <w:r w:rsidR="0070105F">
        <w:rPr>
          <w:i/>
        </w:rPr>
        <w:t>l</w:t>
      </w:r>
      <w:r w:rsidR="00D4232F">
        <w:rPr>
          <w:i/>
        </w:rPr>
        <w:t xml:space="preserve">es unités </w:t>
      </w:r>
      <w:r w:rsidR="008A72FA">
        <w:rPr>
          <w:i/>
        </w:rPr>
        <w:t xml:space="preserve">en charge du contrôle de deuxième niveau, </w:t>
      </w:r>
      <w:r w:rsidR="008A72FA" w:rsidRPr="00B40286">
        <w:rPr>
          <w:i/>
        </w:rPr>
        <w:t>l</w:t>
      </w:r>
      <w:r w:rsidR="008A72FA">
        <w:rPr>
          <w:i/>
        </w:rPr>
        <w:t>’</w:t>
      </w:r>
      <w:r w:rsidR="00D32155">
        <w:rPr>
          <w:i/>
        </w:rPr>
        <w:t xml:space="preserve">identité, pour chacune d’elles, </w:t>
      </w:r>
      <w:r w:rsidR="008A72FA" w:rsidRPr="00B40286">
        <w:rPr>
          <w:i/>
        </w:rPr>
        <w:t>d</w:t>
      </w:r>
      <w:r w:rsidR="0070105F">
        <w:rPr>
          <w:i/>
        </w:rPr>
        <w:t xml:space="preserve">e leur </w:t>
      </w:r>
      <w:r w:rsidR="008A72FA" w:rsidRPr="00B40286">
        <w:rPr>
          <w:i/>
        </w:rPr>
        <w:t>responsable</w:t>
      </w:r>
      <w:r w:rsidR="00C16374">
        <w:rPr>
          <w:i/>
        </w:rPr>
        <w:t xml:space="preserve"> </w:t>
      </w:r>
      <w:r w:rsidR="008A72FA">
        <w:rPr>
          <w:i/>
        </w:rPr>
        <w:t>;</w:t>
      </w:r>
    </w:p>
    <w:p w14:paraId="0D169BE0" w14:textId="7E130DB1" w:rsidR="00331B88" w:rsidRDefault="0026421C" w:rsidP="00D4232F">
      <w:pPr>
        <w:pStyle w:val="SGACP-enumerationniveau1"/>
        <w:ind w:left="284" w:hanging="284"/>
      </w:pPr>
      <w:r>
        <w:t>d</w:t>
      </w:r>
      <w:r w:rsidR="00463A1C" w:rsidRPr="007F2900">
        <w:t>escription des changements significatifs dans l</w:t>
      </w:r>
      <w:r w:rsidR="001224E7">
        <w:t>’</w:t>
      </w:r>
      <w:r w:rsidR="00463A1C" w:rsidRPr="007F2900">
        <w:t xml:space="preserve">organisation </w:t>
      </w:r>
      <w:r w:rsidR="00D520C8">
        <w:t>de la fonction de vérification</w:t>
      </w:r>
      <w:r w:rsidR="00BB34B2">
        <w:t xml:space="preserve"> de la conformité</w:t>
      </w:r>
      <w:r w:rsidR="00B40286">
        <w:t xml:space="preserve"> : </w:t>
      </w:r>
      <w:r w:rsidR="00F55976" w:rsidRPr="00F55976">
        <w:rPr>
          <w:i/>
        </w:rPr>
        <w:t>préciser notamment l</w:t>
      </w:r>
      <w:r w:rsidR="001224E7">
        <w:rPr>
          <w:i/>
        </w:rPr>
        <w:t>’</w:t>
      </w:r>
      <w:r w:rsidR="00F55976" w:rsidRPr="00F55976">
        <w:rPr>
          <w:i/>
        </w:rPr>
        <w:t>identité</w:t>
      </w:r>
      <w:r w:rsidR="00D754A6">
        <w:rPr>
          <w:i/>
        </w:rPr>
        <w:t xml:space="preserve"> et</w:t>
      </w:r>
      <w:r w:rsidR="003C010E">
        <w:rPr>
          <w:i/>
        </w:rPr>
        <w:t xml:space="preserve"> </w:t>
      </w:r>
      <w:r w:rsidR="00F55976" w:rsidRPr="00F55976">
        <w:rPr>
          <w:i/>
        </w:rPr>
        <w:t xml:space="preserve">le rattachement hiérarchique et fonctionnel du responsable de la </w:t>
      </w:r>
      <w:r w:rsidR="00D4232F" w:rsidRPr="00D4232F">
        <w:rPr>
          <w:i/>
        </w:rPr>
        <w:t>fonction de vérification de la</w:t>
      </w:r>
      <w:r w:rsidR="00D4232F">
        <w:rPr>
          <w:i/>
        </w:rPr>
        <w:t xml:space="preserve"> </w:t>
      </w:r>
      <w:r w:rsidR="00F55976" w:rsidRPr="00F55976">
        <w:rPr>
          <w:i/>
        </w:rPr>
        <w:t>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14:paraId="63BCA741" w14:textId="77DEB734" w:rsidR="008A72FA" w:rsidRDefault="008A72FA" w:rsidP="008A72FA">
      <w:pPr>
        <w:pStyle w:val="SGACP-enumerationniveau1"/>
        <w:ind w:left="284" w:hanging="284"/>
      </w:pPr>
      <w:r>
        <w:t>description des procédures internes mises en place pour en</w:t>
      </w:r>
      <w:r w:rsidRPr="008A72FA">
        <w:t>cadr</w:t>
      </w:r>
      <w:r>
        <w:t>er</w:t>
      </w:r>
      <w:r w:rsidRPr="008A72FA">
        <w:t xml:space="preserve"> la désignation et la révocation du responsable</w:t>
      </w:r>
      <w:r>
        <w:t xml:space="preserve"> de la fonction de vérification de la conformité (cf. article 28 de l’arrêté du 3 novembre 2014</w:t>
      </w:r>
      <w:r w:rsidR="00F14EC1">
        <w:t xml:space="preserve"> modifié</w:t>
      </w:r>
      <w:r>
        <w:t>) ;</w:t>
      </w:r>
    </w:p>
    <w:p w14:paraId="3766A622" w14:textId="77777777" w:rsidR="007D12DD" w:rsidRDefault="007D12DD" w:rsidP="004F3BB8">
      <w:pPr>
        <w:pStyle w:val="SGACP-enumerationniveau1"/>
        <w:ind w:left="284" w:hanging="284"/>
      </w:pPr>
      <w:r>
        <w:t xml:space="preserve">description des changements significatifs dans l’organisation des comités des risques, des nominations et des rémunérations (le cas échéant) : </w:t>
      </w:r>
      <w:r w:rsidRPr="002C1BF5">
        <w:rPr>
          <w:i/>
        </w:rPr>
        <w:t>préciser notamment la date de constitution, la composition, la durée du mandat, les modalités de fonctionnement et les compétences de chaque comité</w:t>
      </w:r>
      <w:r>
        <w:t> ;</w:t>
      </w:r>
    </w:p>
    <w:p w14:paraId="7800444F" w14:textId="3A427F97"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14:paraId="24259754" w14:textId="3D3D1790" w:rsidR="00667D60" w:rsidRDefault="00667D60" w:rsidP="00667D60">
      <w:pPr>
        <w:pStyle w:val="SGACP-enumerationniveau1"/>
        <w:ind w:left="284" w:hanging="284"/>
      </w:pPr>
      <w:r>
        <w:t>identification du</w:t>
      </w:r>
      <w:r w:rsidRPr="002A6A83">
        <w:t xml:space="preserve"> dirigeant effectif en charge de la cohérence et de l'efficacité du contrôle p</w:t>
      </w:r>
      <w:r>
        <w:t>ermanent de 2</w:t>
      </w:r>
      <w:r w:rsidRPr="00667D60">
        <w:rPr>
          <w:vertAlign w:val="superscript"/>
        </w:rPr>
        <w:t>ème</w:t>
      </w:r>
      <w:r>
        <w:t xml:space="preserve"> niveau</w:t>
      </w:r>
      <w:r w:rsidR="00F31131">
        <w:t>.</w:t>
      </w:r>
    </w:p>
    <w:p w14:paraId="481AE068" w14:textId="77777777" w:rsidR="000B0FFE" w:rsidRPr="00935917" w:rsidRDefault="000B0FFE" w:rsidP="00935917">
      <w:pPr>
        <w:pStyle w:val="SGACP-textecourant"/>
        <w:rPr>
          <w:sz w:val="24"/>
          <w:szCs w:val="24"/>
        </w:rPr>
      </w:pPr>
    </w:p>
    <w:p w14:paraId="4A1FDF94" w14:textId="186B986B" w:rsidR="004A229A" w:rsidRDefault="00463A1C" w:rsidP="004A229A">
      <w:pPr>
        <w:pStyle w:val="SGACP-sous-titrederubriquenivaeu2"/>
        <w:keepNext/>
      </w:pPr>
      <w:bookmarkStart w:id="13" w:name="_Toc266799775"/>
      <w:r w:rsidRPr="007F2900">
        <w:t xml:space="preserve">2.2. </w:t>
      </w:r>
      <w:r w:rsidRPr="007F2900">
        <w:tab/>
        <w:t>Au dispositif de contrôle périodique</w:t>
      </w:r>
      <w:r w:rsidR="00D316E5">
        <w:t xml:space="preserve"> « 3</w:t>
      </w:r>
      <w:r w:rsidR="00D316E5" w:rsidRPr="00827D7A">
        <w:rPr>
          <w:vertAlign w:val="superscript"/>
        </w:rPr>
        <w:t>ème</w:t>
      </w:r>
      <w:r w:rsidR="00D316E5">
        <w:t xml:space="preserve"> niveau de contrôle »</w:t>
      </w:r>
      <w:r w:rsidR="002A6A83" w:rsidRPr="002A6A83">
        <w:t xml:space="preserve"> assuré par la fonction d'audit interne</w:t>
      </w:r>
      <w:r w:rsidRPr="007F2900">
        <w:t xml:space="preserve"> (y compris l</w:t>
      </w:r>
      <w:r w:rsidR="001224E7">
        <w:t>’</w:t>
      </w:r>
      <w:r w:rsidRPr="007F2900">
        <w:t>organisation du contrôle de l</w:t>
      </w:r>
      <w:r w:rsidR="001224E7">
        <w:t>’</w:t>
      </w:r>
      <w:r w:rsidRPr="007F2900">
        <w:t xml:space="preserve">activité </w:t>
      </w:r>
      <w:r w:rsidR="00E55A5D" w:rsidRPr="007F2900">
        <w:t>à l</w:t>
      </w:r>
      <w:r w:rsidR="001224E7">
        <w:t>’</w:t>
      </w:r>
      <w:r w:rsidR="00E55A5D" w:rsidRPr="007F2900">
        <w:t>étranger et des activités externalisées)</w:t>
      </w:r>
      <w:r w:rsidR="00E55A5D">
        <w:t> :</w:t>
      </w:r>
    </w:p>
    <w:bookmarkEnd w:id="13"/>
    <w:p w14:paraId="43D11CE3" w14:textId="2F3C46E6" w:rsidR="004A229A" w:rsidRDefault="0093520A" w:rsidP="00D82F7B">
      <w:pPr>
        <w:pStyle w:val="SGACP-enumerationniveau1"/>
        <w:keepNext/>
        <w:spacing w:before="240"/>
        <w:ind w:left="284" w:hanging="284"/>
      </w:pPr>
      <w:r w:rsidRPr="0093520A">
        <w:t xml:space="preserve">identification du responsable de </w:t>
      </w:r>
      <w:r w:rsidR="00D520C8">
        <w:t>la fonction d’audit interne</w:t>
      </w:r>
      <w:r w:rsidR="00827D7A">
        <w:t xml:space="preserve"> en charge du troisième niveau de contrôle tel que défini à l’article 12 de l’arrêté du 3 novembre 2014</w:t>
      </w:r>
      <w:r w:rsidR="00F14EC1">
        <w:t xml:space="preserve"> modifié</w:t>
      </w:r>
      <w:r w:rsidR="00D316E5">
        <w:t xml:space="preserve"> </w:t>
      </w:r>
      <w:r w:rsidRPr="0093520A">
        <w:t>;</w:t>
      </w:r>
    </w:p>
    <w:p w14:paraId="794260BA" w14:textId="6176AE69" w:rsidR="002A6A83" w:rsidRDefault="002A6A83" w:rsidP="002A6A83">
      <w:pPr>
        <w:pStyle w:val="SGACP-enumerationniveau1"/>
        <w:ind w:left="284" w:hanging="284"/>
      </w:pPr>
      <w:r>
        <w:t>identification du</w:t>
      </w:r>
      <w:r w:rsidRPr="002A6A83">
        <w:t xml:space="preserve"> dirigeant effectif en charge de la cohérence et de l'efficacité du contrôle périodique</w:t>
      </w:r>
      <w:r>
        <w:t> ;</w:t>
      </w:r>
    </w:p>
    <w:p w14:paraId="484E0E6D" w14:textId="3ACF1ADE" w:rsidR="007D12DD" w:rsidRDefault="007D12DD" w:rsidP="002C1BF5">
      <w:pPr>
        <w:pStyle w:val="SGACP-enumerationniveau1"/>
        <w:ind w:left="284" w:hanging="284"/>
      </w:pPr>
      <w:r>
        <w:t>description des changements significatifs dans l’organisation d</w:t>
      </w:r>
      <w:r w:rsidR="00D520C8">
        <w:t>e la fonction</w:t>
      </w:r>
      <w:r>
        <w:t xml:space="preserve"> d’audit interne ;</w:t>
      </w:r>
    </w:p>
    <w:p w14:paraId="42E097F9" w14:textId="7F00CF7E" w:rsidR="00D316E5"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134277">
        <w:t>s</w:t>
      </w:r>
      <w:r w:rsidR="00356A20">
        <w:t xml:space="preserve"> </w:t>
      </w:r>
      <w:r w:rsidR="009767B5">
        <w:t xml:space="preserve">259 f) </w:t>
      </w:r>
      <w:r w:rsidR="00134277">
        <w:t xml:space="preserve">ou 259 bis d) </w:t>
      </w:r>
      <w:r w:rsidR="009767B5">
        <w:t>de l’arrêté du 3 novembre 2014</w:t>
      </w:r>
      <w:r w:rsidR="00F14EC1">
        <w:t xml:space="preserve"> modifié</w:t>
      </w:r>
      <w:r w:rsidR="00463A1C" w:rsidRPr="007F2900">
        <w:t>)</w:t>
      </w:r>
      <w:r w:rsidR="00D316E5">
        <w:t> ;</w:t>
      </w:r>
    </w:p>
    <w:p w14:paraId="0DA5614E" w14:textId="77777777" w:rsidR="000E1D57" w:rsidRDefault="00D316E5" w:rsidP="00827D7A">
      <w:pPr>
        <w:pStyle w:val="SGACP-enumerationniveau1"/>
        <w:ind w:left="284" w:hanging="284"/>
      </w:pPr>
      <w:r>
        <w:t>description des procédures internes mises en place pour en</w:t>
      </w:r>
      <w:r w:rsidRPr="008A72FA">
        <w:t>cadr</w:t>
      </w:r>
      <w:r>
        <w:t>er</w:t>
      </w:r>
      <w:r w:rsidRPr="008A72FA">
        <w:t xml:space="preserve"> la désignation et la révocation du responsable</w:t>
      </w:r>
      <w:r>
        <w:t xml:space="preserve"> de la fonction d’audit interne (cf. article 17 de l’arrêté du 3 novembre 2014</w:t>
      </w:r>
      <w:r w:rsidR="00F14EC1">
        <w:t xml:space="preserve"> modifié</w:t>
      </w:r>
      <w:r>
        <w:t>)</w:t>
      </w:r>
      <w:r w:rsidR="000E1D57">
        <w:t> ;</w:t>
      </w:r>
    </w:p>
    <w:p w14:paraId="154BBB5E" w14:textId="4EBAED8D" w:rsidR="001F0CE4" w:rsidRDefault="000E1D57" w:rsidP="00495B6F">
      <w:pPr>
        <w:pStyle w:val="Paragraphedeliste"/>
        <w:numPr>
          <w:ilvl w:val="0"/>
          <w:numId w:val="102"/>
        </w:numPr>
        <w:spacing w:before="120"/>
        <w:ind w:left="284" w:hanging="284"/>
      </w:pPr>
      <w:r>
        <w:t>dispositions prises le cas échéant pour s’assurer que le</w:t>
      </w:r>
      <w:r w:rsidRPr="000E1D57">
        <w:t xml:space="preserve"> cycle complet d'investigations de l'ensemble des activités </w:t>
      </w:r>
      <w:r w:rsidR="00932DC4">
        <w:t xml:space="preserve">de l’établissement ou le cas échéant du groupe, </w:t>
      </w:r>
      <w:r>
        <w:t>n’</w:t>
      </w:r>
      <w:r w:rsidRPr="000E1D57">
        <w:t>excède</w:t>
      </w:r>
      <w:r>
        <w:t xml:space="preserve"> pas</w:t>
      </w:r>
      <w:r w:rsidRPr="000E1D57">
        <w:t xml:space="preserve"> cinq ans</w:t>
      </w:r>
      <w:r w:rsidR="00495B6F">
        <w:t xml:space="preserve"> (cf. article 25 de l’arrêté du 3 novembre 2014 modifié)</w:t>
      </w:r>
      <w:r w:rsidR="001F0CE4">
        <w:t> ;</w:t>
      </w:r>
    </w:p>
    <w:p w14:paraId="59EA1C77" w14:textId="0D9A32E3" w:rsidR="00492EAD" w:rsidRPr="004E7222" w:rsidRDefault="001F0CE4" w:rsidP="00C96B52">
      <w:pPr>
        <w:pStyle w:val="Paragraphedeliste"/>
        <w:numPr>
          <w:ilvl w:val="0"/>
          <w:numId w:val="102"/>
        </w:numPr>
        <w:spacing w:before="120"/>
        <w:ind w:left="284" w:hanging="284"/>
        <w:contextualSpacing w:val="0"/>
      </w:pPr>
      <w:r w:rsidRPr="004E7222">
        <w:t>dispositions prises le cas échéant pour s’assurer que le cycle d’audit est déterminé selon une approche proportionnée aux risques identifiés au sein</w:t>
      </w:r>
      <w:r w:rsidRPr="004E7222">
        <w:rPr>
          <w:rFonts w:ascii="Arial" w:hAnsi="Arial" w:cs="Arial"/>
          <w:color w:val="3C3C3C"/>
          <w:sz w:val="21"/>
          <w:szCs w:val="21"/>
          <w:shd w:val="clear" w:color="auto" w:fill="FFFFFF"/>
        </w:rPr>
        <w:t> </w:t>
      </w:r>
      <w:r w:rsidR="00492EAD" w:rsidRPr="004E7222">
        <w:t>de l’établissement</w:t>
      </w:r>
      <w:r w:rsidRPr="004E7222">
        <w:t xml:space="preserve"> ou le cas échéant du groupe.</w:t>
      </w:r>
    </w:p>
    <w:p w14:paraId="2008FA1B" w14:textId="77777777" w:rsidR="00254858" w:rsidRDefault="00254858" w:rsidP="00C96B52">
      <w:pPr>
        <w:pStyle w:val="Paragraphedeliste"/>
        <w:spacing w:before="120"/>
        <w:ind w:left="284"/>
      </w:pPr>
      <w:bookmarkStart w:id="14" w:name="_Toc266799776"/>
      <w:bookmarkStart w:id="15" w:name="_Toc266799855"/>
    </w:p>
    <w:p w14:paraId="136F9A47" w14:textId="7C13E84C" w:rsidR="00D50807" w:rsidRDefault="00D50807" w:rsidP="00463A1C"/>
    <w:p w14:paraId="3B7E5FAC" w14:textId="77777777" w:rsidR="00331B88" w:rsidRDefault="00463A1C" w:rsidP="00FC763A">
      <w:pPr>
        <w:pStyle w:val="StyleSGACP-titrederubriqueniveau1CouleurpersonnaliseRVB"/>
        <w:ind w:left="426" w:hanging="426"/>
      </w:pPr>
      <w:bookmarkStart w:id="16" w:name="_Toc106958063"/>
      <w:r w:rsidRPr="007D7872">
        <w:t>Gouvernance</w:t>
      </w:r>
      <w:bookmarkEnd w:id="14"/>
      <w:bookmarkEnd w:id="15"/>
      <w:bookmarkEnd w:id="16"/>
    </w:p>
    <w:p w14:paraId="7A292711" w14:textId="77777777" w:rsidR="00BD006D" w:rsidRDefault="00BD006D" w:rsidP="007655D3">
      <w:pPr>
        <w:pStyle w:val="StyleSGACP-titrederubriqueniveau1CouleurpersonnaliseRVB"/>
        <w:numPr>
          <w:ilvl w:val="0"/>
          <w:numId w:val="0"/>
        </w:numPr>
        <w:ind w:left="426"/>
      </w:pPr>
    </w:p>
    <w:p w14:paraId="22E33E94" w14:textId="77777777" w:rsidR="00C832E3" w:rsidRPr="007655D3" w:rsidRDefault="00C832E3" w:rsidP="007655D3">
      <w:pPr>
        <w:rPr>
          <w:i/>
          <w:sz w:val="22"/>
          <w:szCs w:val="22"/>
        </w:rPr>
      </w:pPr>
    </w:p>
    <w:p w14:paraId="02E46E5D" w14:textId="77777777" w:rsidR="00770518" w:rsidRDefault="004C6EB7" w:rsidP="007655D3">
      <w:pPr>
        <w:pStyle w:val="SGACP-sous-titrederubriquenivaeu2"/>
        <w:keepNext/>
        <w:keepLines/>
        <w:numPr>
          <w:ilvl w:val="1"/>
          <w:numId w:val="2"/>
        </w:numPr>
        <w:ind w:left="567" w:hanging="567"/>
      </w:pPr>
      <w:r>
        <w:t>Principes généraux de gouvernance</w:t>
      </w:r>
    </w:p>
    <w:p w14:paraId="106A9AEA" w14:textId="77777777" w:rsidR="00146E0C" w:rsidRDefault="00C832E3" w:rsidP="007655D3">
      <w:pPr>
        <w:pStyle w:val="SGACP-enumerationniveau1"/>
        <w:ind w:left="284" w:hanging="284"/>
      </w:pPr>
      <w:r>
        <w:t>d</w:t>
      </w:r>
      <w:r w:rsidR="00705F53">
        <w:t>escription de la</w:t>
      </w:r>
      <w:r w:rsidR="00705F53" w:rsidRPr="00E94559">
        <w:t xml:space="preserve"> politique de </w:t>
      </w:r>
      <w:r w:rsidR="00705F53" w:rsidRPr="007655D3">
        <w:t xml:space="preserve">« </w:t>
      </w:r>
      <w:r w:rsidR="00705F53" w:rsidRPr="00A74297">
        <w:rPr>
          <w:i/>
        </w:rPr>
        <w:t>culture du risque</w:t>
      </w:r>
      <w:r w:rsidR="00705F53" w:rsidRPr="007655D3">
        <w:t xml:space="preserve"> » </w:t>
      </w:r>
      <w:r w:rsidR="007520FD">
        <w:t xml:space="preserve">déployée au sein </w:t>
      </w:r>
      <w:r w:rsidR="00CB7ACD">
        <w:t>de l’établissement</w:t>
      </w:r>
      <w:r w:rsidR="00146E0C">
        <w:t> :</w:t>
      </w:r>
      <w:r w:rsidR="006C76E3">
        <w:t xml:space="preserve"> </w:t>
      </w:r>
      <w:r w:rsidR="00CB7ACD" w:rsidRPr="007655D3">
        <w:t>présentation</w:t>
      </w:r>
      <w:r w:rsidR="00CB7ACD">
        <w:t xml:space="preserve"> synthétique des p</w:t>
      </w:r>
      <w:r w:rsidR="00CB7ACD" w:rsidRPr="007655D3">
        <w:t>rocédures de communication et de</w:t>
      </w:r>
      <w:r w:rsidR="005A1316">
        <w:t>s</w:t>
      </w:r>
      <w:r w:rsidR="00CB7ACD" w:rsidRPr="007655D3">
        <w:t xml:space="preserve"> programmes de formation</w:t>
      </w:r>
      <w:r w:rsidR="00CB7ACD">
        <w:t xml:space="preserve"> </w:t>
      </w:r>
      <w:r w:rsidR="00CB7ACD" w:rsidRPr="007655D3">
        <w:t xml:space="preserve">du personnel </w:t>
      </w:r>
      <w:r w:rsidR="005A1316">
        <w:t>sur le profil de risque et</w:t>
      </w:r>
      <w:r w:rsidR="00CB7ACD" w:rsidRPr="007655D3">
        <w:t xml:space="preserve"> </w:t>
      </w:r>
      <w:r w:rsidR="00CB7ACD">
        <w:t>leur</w:t>
      </w:r>
      <w:r w:rsidR="00CB7ACD" w:rsidRPr="00A74297">
        <w:t xml:space="preserve"> responsabilité</w:t>
      </w:r>
      <w:r w:rsidR="00CB7ACD" w:rsidRPr="007655D3">
        <w:t xml:space="preserve"> en matière de </w:t>
      </w:r>
      <w:r w:rsidR="005A1316">
        <w:t xml:space="preserve">gestion des </w:t>
      </w:r>
      <w:r w:rsidR="00CB7ACD" w:rsidRPr="007655D3">
        <w:t>risques</w:t>
      </w:r>
      <w:r w:rsidR="005A1316">
        <w:t>…</w:t>
      </w:r>
      <w:r w:rsidR="00146E0C">
        <w:t> ;</w:t>
      </w:r>
    </w:p>
    <w:p w14:paraId="64C5AE2B" w14:textId="77777777" w:rsidR="00611735" w:rsidRDefault="00C832E3" w:rsidP="007655D3">
      <w:pPr>
        <w:pStyle w:val="SGACP-enumerationniveau1"/>
        <w:ind w:left="284" w:hanging="284"/>
      </w:pPr>
      <w:bookmarkStart w:id="17" w:name="_Toc266799777"/>
      <w:r>
        <w:t>p</w:t>
      </w:r>
      <w:r w:rsidR="00611735" w:rsidRPr="007655D3">
        <w:t xml:space="preserve">résentation des normes éthiques et professionnelles </w:t>
      </w:r>
      <w:r w:rsidR="00146E0C" w:rsidRPr="007655D3">
        <w:t>promues par l’établissement</w:t>
      </w:r>
      <w:r w:rsidR="007520FD">
        <w:t> </w:t>
      </w:r>
      <w:r w:rsidR="007520FD" w:rsidRPr="007655D3">
        <w:rPr>
          <w:i/>
        </w:rPr>
        <w:t>(</w:t>
      </w:r>
      <w:r w:rsidR="006C76E3" w:rsidRPr="007655D3">
        <w:rPr>
          <w:i/>
        </w:rPr>
        <w:t xml:space="preserve">indiquer s’il s’agit de </w:t>
      </w:r>
      <w:r w:rsidR="00146E0C" w:rsidRPr="007655D3">
        <w:rPr>
          <w:i/>
        </w:rPr>
        <w:t>normes élaborées</w:t>
      </w:r>
      <w:r w:rsidR="006C76E3" w:rsidRPr="007655D3">
        <w:rPr>
          <w:i/>
        </w:rPr>
        <w:t xml:space="preserve"> en interne </w:t>
      </w:r>
      <w:r w:rsidR="00146E0C" w:rsidRPr="007655D3">
        <w:rPr>
          <w:i/>
        </w:rPr>
        <w:t xml:space="preserve">ou </w:t>
      </w:r>
      <w:r w:rsidR="006C76E3" w:rsidRPr="007655D3">
        <w:rPr>
          <w:i/>
        </w:rPr>
        <w:t xml:space="preserve">si application de normes </w:t>
      </w:r>
      <w:r w:rsidR="00146E0C" w:rsidRPr="007655D3">
        <w:rPr>
          <w:i/>
        </w:rPr>
        <w:t>publiées</w:t>
      </w:r>
      <w:r w:rsidR="00611735" w:rsidRPr="007655D3">
        <w:rPr>
          <w:i/>
        </w:rPr>
        <w:t xml:space="preserve"> </w:t>
      </w:r>
      <w:r w:rsidR="00146E0C" w:rsidRPr="007655D3">
        <w:rPr>
          <w:i/>
        </w:rPr>
        <w:t>par des associations</w:t>
      </w:r>
      <w:r w:rsidR="00E01CE0" w:rsidRPr="007655D3">
        <w:rPr>
          <w:i/>
        </w:rPr>
        <w:t>/</w:t>
      </w:r>
      <w:r w:rsidR="00146E0C" w:rsidRPr="007655D3">
        <w:rPr>
          <w:i/>
        </w:rPr>
        <w:t>organismes</w:t>
      </w:r>
      <w:r w:rsidR="006C76E3" w:rsidRPr="007655D3">
        <w:rPr>
          <w:i/>
        </w:rPr>
        <w:t xml:space="preserve"> externes</w:t>
      </w:r>
      <w:r w:rsidR="007520FD" w:rsidRPr="007655D3">
        <w:rPr>
          <w:i/>
        </w:rPr>
        <w:t>)</w:t>
      </w:r>
      <w:r w:rsidR="007520FD">
        <w:t>, description du</w:t>
      </w:r>
      <w:r w:rsidR="00146E0C" w:rsidRPr="007655D3">
        <w:t xml:space="preserve"> dispositif mis en œuvre pour s’assurer de leur bonne application </w:t>
      </w:r>
      <w:r w:rsidR="00E01CE0">
        <w:t>en interne</w:t>
      </w:r>
      <w:r w:rsidR="006C76E3">
        <w:t xml:space="preserve">, </w:t>
      </w:r>
      <w:r w:rsidR="007520FD">
        <w:t xml:space="preserve">du </w:t>
      </w:r>
      <w:r w:rsidR="006C76E3">
        <w:t xml:space="preserve">processus </w:t>
      </w:r>
      <w:r w:rsidR="00E01CE0">
        <w:t xml:space="preserve">mis en œuvre </w:t>
      </w:r>
      <w:r w:rsidR="006C76E3">
        <w:t>en cas de manquement</w:t>
      </w:r>
      <w:r w:rsidR="00E01CE0">
        <w:t xml:space="preserve"> et</w:t>
      </w:r>
      <w:r w:rsidR="007520FD">
        <w:t xml:space="preserve"> des</w:t>
      </w:r>
      <w:r w:rsidR="00E01CE0">
        <w:t xml:space="preserve"> modalités d’information aux instances dirigeantes… ;</w:t>
      </w:r>
    </w:p>
    <w:p w14:paraId="0EB78A15" w14:textId="4CF839CF" w:rsidR="007520FD" w:rsidRDefault="00C832E3" w:rsidP="007655D3">
      <w:pPr>
        <w:pStyle w:val="SGACP-enumerationniveau1"/>
        <w:ind w:left="284" w:hanging="284"/>
      </w:pPr>
      <w:r>
        <w:t>d</w:t>
      </w:r>
      <w:r w:rsidR="007520FD" w:rsidRPr="00811ED9">
        <w:t xml:space="preserve">escription des </w:t>
      </w:r>
      <w:r w:rsidR="007520FD">
        <w:t xml:space="preserve">procédures mises en place pour identifier, gérer et prévenir les conflits d’intérêts </w:t>
      </w:r>
      <w:r w:rsidR="00323C56" w:rsidRPr="00742D4E">
        <w:t xml:space="preserve">(y compris </w:t>
      </w:r>
      <w:r w:rsidR="00323C56" w:rsidRPr="00ED2681">
        <w:t>dans le contexte de l’octroi de prêts et de l’exécution d’autres transactions</w:t>
      </w:r>
      <w:r w:rsidR="00323C56">
        <w:t xml:space="preserve"> ) </w:t>
      </w:r>
      <w:r w:rsidR="00827D7A">
        <w:t xml:space="preserve">tant </w:t>
      </w:r>
      <w:r w:rsidR="007520FD">
        <w:t xml:space="preserve">au </w:t>
      </w:r>
      <w:r w:rsidR="00767E72">
        <w:t xml:space="preserve">niveau </w:t>
      </w:r>
      <w:r w:rsidR="007520FD">
        <w:t>de l’établissement</w:t>
      </w:r>
      <w:r w:rsidR="00767E72">
        <w:t xml:space="preserve"> </w:t>
      </w:r>
      <w:r w:rsidR="00827D7A">
        <w:t>que ceux</w:t>
      </w:r>
      <w:r w:rsidR="00767E72">
        <w:t xml:space="preserve"> </w:t>
      </w:r>
      <w:r w:rsidR="00767E72" w:rsidRPr="00767E72">
        <w:t>concernant</w:t>
      </w:r>
      <w:r w:rsidR="00767E72">
        <w:t xml:space="preserve"> </w:t>
      </w:r>
      <w:r w:rsidR="00767E72" w:rsidRPr="00767E72">
        <w:t>s</w:t>
      </w:r>
      <w:r w:rsidR="00767E72">
        <w:t xml:space="preserve">on </w:t>
      </w:r>
      <w:r w:rsidR="00767E72" w:rsidRPr="00767E72">
        <w:t>personnel</w:t>
      </w:r>
      <w:r w:rsidR="007520FD">
        <w:t>, modalités d’approbation et de révision de ces dernières</w:t>
      </w:r>
      <w:r w:rsidR="00767E72">
        <w:t xml:space="preserve"> (cf. article 38 de l’arrêté du 3 novembre 2014</w:t>
      </w:r>
      <w:r w:rsidR="0068699A">
        <w:t xml:space="preserve"> modifié</w:t>
      </w:r>
      <w:r w:rsidR="00323C56">
        <w:t xml:space="preserve"> et Orientations n°2021/05 de l’ABE</w:t>
      </w:r>
      <w:r w:rsidR="00767E72">
        <w:t>)</w:t>
      </w:r>
      <w:r>
        <w:t>.</w:t>
      </w:r>
    </w:p>
    <w:p w14:paraId="268BAF1E" w14:textId="0A111A05" w:rsidR="00602F51" w:rsidRDefault="00134277" w:rsidP="00602F51">
      <w:pPr>
        <w:pStyle w:val="SGACP-enumerationniveau1"/>
        <w:ind w:left="284" w:hanging="284"/>
      </w:pPr>
      <w:r>
        <w:t>d</w:t>
      </w:r>
      <w:r w:rsidR="00323C56">
        <w:t xml:space="preserve">escription des procédures mises </w:t>
      </w:r>
      <w:r w:rsidR="00602F51">
        <w:t xml:space="preserve">en place pour identifier, gérer et prévenir les discriminations sur la base du genre, de la race, de l’origine sociale ou ethnique, de l’orientation sexuelle, etc. entre </w:t>
      </w:r>
      <w:r w:rsidR="00323C56">
        <w:t>les membres</w:t>
      </w:r>
      <w:r w:rsidR="00602F51">
        <w:t xml:space="preserve"> du personnel (cf. </w:t>
      </w:r>
      <w:r w:rsidR="007868C6">
        <w:t>O</w:t>
      </w:r>
      <w:r w:rsidR="00602F51">
        <w:t>rientations n°2021/05 de l’ABE).</w:t>
      </w:r>
    </w:p>
    <w:p w14:paraId="5E436B13" w14:textId="4DB12A56" w:rsidR="00602F51" w:rsidRPr="007655D3" w:rsidRDefault="00134277" w:rsidP="00E1593F">
      <w:pPr>
        <w:pStyle w:val="SGACP-enumerationniveau1"/>
        <w:ind w:left="284" w:hanging="284"/>
      </w:pPr>
      <w:r>
        <w:t>d</w:t>
      </w:r>
      <w:r w:rsidR="00602F51">
        <w:t xml:space="preserve">escription des procédures mises en place pour </w:t>
      </w:r>
      <w:r w:rsidR="00602F51" w:rsidRPr="001E24CB">
        <w:t>garantir de</w:t>
      </w:r>
      <w:r w:rsidR="00602F51">
        <w:t xml:space="preserve">s opportunités égales entre les membres du personnel </w:t>
      </w:r>
      <w:r w:rsidR="00602F51" w:rsidRPr="001E24CB">
        <w:t>s</w:t>
      </w:r>
      <w:r w:rsidR="00602F51">
        <w:t>ans tenir compte de leur genre, et améliorer</w:t>
      </w:r>
      <w:r w:rsidR="00602F51" w:rsidRPr="001E24CB">
        <w:t xml:space="preserve"> la représentation du genre sous-représenté dans l’organe de direction</w:t>
      </w:r>
      <w:r w:rsidR="007868C6">
        <w:t xml:space="preserve"> (cf. O</w:t>
      </w:r>
      <w:r w:rsidR="00602F51">
        <w:t>rientations n°2021/05 de l’ABE)</w:t>
      </w:r>
    </w:p>
    <w:p w14:paraId="3238EEAB" w14:textId="77777777" w:rsidR="00611735" w:rsidRPr="00A74297" w:rsidRDefault="00611735" w:rsidP="00611735">
      <w:pPr>
        <w:autoSpaceDE w:val="0"/>
        <w:autoSpaceDN w:val="0"/>
        <w:adjustRightInd w:val="0"/>
        <w:jc w:val="left"/>
        <w:rPr>
          <w:rFonts w:ascii="Calibri" w:hAnsi="Calibri" w:cs="Calibri"/>
          <w:color w:val="000000"/>
          <w:szCs w:val="24"/>
        </w:rPr>
      </w:pPr>
    </w:p>
    <w:p w14:paraId="4D28E1F3" w14:textId="77777777" w:rsidR="00463A1C" w:rsidRPr="007F2900" w:rsidRDefault="00463A1C" w:rsidP="00D63D99">
      <w:pPr>
        <w:pStyle w:val="SGACP-sous-titrederubriquenivaeu2"/>
        <w:keepNext/>
        <w:keepLines/>
        <w:numPr>
          <w:ilvl w:val="1"/>
          <w:numId w:val="2"/>
        </w:numPr>
        <w:ind w:left="567" w:hanging="567"/>
      </w:pPr>
      <w:r w:rsidRPr="007F2900">
        <w:t xml:space="preserve">Implication des </w:t>
      </w:r>
      <w:r w:rsidR="0070603D">
        <w:t>organes dirigeants</w:t>
      </w:r>
      <w:r w:rsidRPr="007F2900">
        <w:t xml:space="preserve"> dans le contrôle interne</w:t>
      </w:r>
      <w:bookmarkEnd w:id="17"/>
    </w:p>
    <w:p w14:paraId="3470FA39" w14:textId="77777777" w:rsidR="00254858" w:rsidRDefault="00254858" w:rsidP="007D7872">
      <w:pPr>
        <w:keepNext/>
        <w:keepLines/>
      </w:pPr>
      <w:bookmarkStart w:id="18" w:name="_Toc244576438"/>
      <w:bookmarkStart w:id="19" w:name="_Toc244938691"/>
      <w:bookmarkStart w:id="20" w:name="_Toc266799778"/>
    </w:p>
    <w:p w14:paraId="6D3C3977" w14:textId="77777777" w:rsidR="00463A1C" w:rsidRPr="00254858" w:rsidRDefault="00254858" w:rsidP="007D7872">
      <w:pPr>
        <w:pStyle w:val="SGACP-sous-titrederubriqueniveau3"/>
        <w:keepNext/>
        <w:keepLines/>
      </w:pPr>
      <w:r w:rsidRPr="00254858">
        <w:t>3.</w:t>
      </w:r>
      <w:r w:rsidR="00C832E3">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8"/>
      <w:bookmarkEnd w:id="19"/>
      <w:bookmarkEnd w:id="20"/>
      <w:r w:rsidR="0094273B">
        <w:t>de surveillance</w:t>
      </w:r>
      <w:r w:rsidR="00BA073B">
        <w:t xml:space="preserve"> et, le cas échéant, du comité des risques</w:t>
      </w:r>
      <w:r w:rsidR="0094273B">
        <w:t> </w:t>
      </w:r>
      <w:r w:rsidR="00743C3A">
        <w:t>:</w:t>
      </w:r>
    </w:p>
    <w:p w14:paraId="3A75857D" w14:textId="063C37EB" w:rsidR="009256B0" w:rsidRDefault="009256B0" w:rsidP="004F3BB8">
      <w:pPr>
        <w:pStyle w:val="SGACP-enumerationniveau1"/>
        <w:ind w:left="284" w:hanging="284"/>
      </w:pPr>
      <w:r>
        <w:t>modalités d’approbation des limites par l’organe de surveillance</w:t>
      </w:r>
      <w:r w:rsidR="00BA073B" w:rsidRPr="00BA073B">
        <w:t xml:space="preserve"> </w:t>
      </w:r>
      <w:r w:rsidR="00BA073B">
        <w:t>ainsi que, le cas échéant, par le comité des risques</w:t>
      </w:r>
      <w:r>
        <w:t> </w:t>
      </w:r>
      <w:r w:rsidR="00186B7C">
        <w:t>(</w:t>
      </w:r>
      <w:r w:rsidR="000B1005">
        <w:t xml:space="preserve">cf. </w:t>
      </w:r>
      <w:r w:rsidR="00186B7C">
        <w:t>article 224 de l’arrêté du 3 novembre 2014</w:t>
      </w:r>
      <w:r w:rsidR="0068699A">
        <w:t xml:space="preserve"> modifié</w:t>
      </w:r>
      <w:r w:rsidR="00186B7C">
        <w:t xml:space="preserve">) </w:t>
      </w:r>
      <w:r>
        <w:t>;</w:t>
      </w:r>
    </w:p>
    <w:p w14:paraId="498EDE9B" w14:textId="6E582995"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297D2B">
        <w:t xml:space="preserve">, </w:t>
      </w:r>
      <w:r w:rsidR="00463A1C" w:rsidRPr="007F2900">
        <w:t>de l</w:t>
      </w:r>
      <w:r w:rsidR="001224E7">
        <w:t>’</w:t>
      </w:r>
      <w:r w:rsidR="00463A1C" w:rsidRPr="007F2900">
        <w:t>organe central,</w:t>
      </w:r>
      <w:r w:rsidR="00297D2B">
        <w:t xml:space="preserve"> ainsi que</w:t>
      </w:r>
      <w:r w:rsidR="00E67CC2">
        <w:t>,</w:t>
      </w:r>
      <w:r w:rsidR="00297D2B">
        <w:t xml:space="preserve"> le cas échéant</w:t>
      </w:r>
      <w:r w:rsidR="00E67CC2">
        <w:t>,</w:t>
      </w:r>
      <w:r w:rsidR="00297D2B">
        <w:t xml:space="preserve"> du comité des risques</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68699A">
        <w:t xml:space="preserve"> modifié</w:t>
      </w:r>
      <w:r w:rsidR="00463A1C" w:rsidRPr="007F2900">
        <w:t>)</w:t>
      </w:r>
      <w:r>
        <w:t> ;</w:t>
      </w:r>
    </w:p>
    <w:p w14:paraId="08FEC41E" w14:textId="582B9D35" w:rsidR="00310E2B" w:rsidRDefault="008F37E8" w:rsidP="004F3BB8">
      <w:pPr>
        <w:pStyle w:val="SGACP-enumerationniveau1"/>
        <w:ind w:left="284" w:hanging="284"/>
      </w:pPr>
      <w:r>
        <w:t xml:space="preserve">si nécessaire, </w:t>
      </w:r>
      <w:r w:rsidR="00122345">
        <w:t xml:space="preserve">modalités d’information de l’organe de surveillance, ou le cas échéant du </w:t>
      </w:r>
      <w:r w:rsidR="00FB440F">
        <w:t>c</w:t>
      </w:r>
      <w:r w:rsidR="00122345">
        <w:t xml:space="preserve">omité des risques, par </w:t>
      </w:r>
      <w:r w:rsidR="00693B91">
        <w:t xml:space="preserve">le responsable de </w:t>
      </w:r>
      <w:r w:rsidR="00122345">
        <w:t>la fonction de ge</w:t>
      </w:r>
      <w:r>
        <w:t>stion des risques</w:t>
      </w:r>
      <w:r w:rsidR="00122345">
        <w:t>, en précisant les sujets concernés</w:t>
      </w:r>
      <w:r w:rsidR="00310E2B">
        <w:t> </w:t>
      </w:r>
      <w:r w:rsidR="00FE2D0A">
        <w:t>(cf. article 77 de l’arrêté du 3 novembre 2014</w:t>
      </w:r>
      <w:r w:rsidR="0068699A">
        <w:t xml:space="preserve"> modifié</w:t>
      </w:r>
      <w:r w:rsidR="00FE2D0A">
        <w:t xml:space="preserve">) </w:t>
      </w:r>
      <w:r w:rsidR="00310E2B">
        <w:t>;</w:t>
      </w:r>
    </w:p>
    <w:p w14:paraId="30B66447" w14:textId="719AF67F" w:rsidR="00331B88" w:rsidRDefault="00743C3A" w:rsidP="004F3BB8">
      <w:pPr>
        <w:pStyle w:val="SGACP-enumerationniveau1"/>
        <w:ind w:left="284" w:hanging="284"/>
      </w:pPr>
      <w:r>
        <w:t>m</w:t>
      </w:r>
      <w:r w:rsidR="00463A1C" w:rsidRPr="007F2900">
        <w:t>odalités d</w:t>
      </w:r>
      <w:r w:rsidR="001224E7">
        <w:t>’</w:t>
      </w:r>
      <w:r w:rsidR="00463A1C" w:rsidRPr="007F2900">
        <w:t>information d</w:t>
      </w:r>
      <w:r w:rsidR="00717A06">
        <w:t xml:space="preserve">e l’organe de surveillance et, le cas échéant, du </w:t>
      </w:r>
      <w:r w:rsidR="0003780F">
        <w:t>comité des risques</w:t>
      </w:r>
      <w:r w:rsidR="00463A1C" w:rsidRPr="007F2900">
        <w:t>, par le responsable d</w:t>
      </w:r>
      <w:r w:rsidR="008C4037">
        <w:t>e la fonction d’audit interne</w:t>
      </w:r>
      <w:r w:rsidR="00463A1C" w:rsidRPr="007F2900">
        <w:t>,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68699A">
        <w:t xml:space="preserve"> modifié</w:t>
      </w:r>
      <w:r w:rsidR="00463A1C" w:rsidRPr="007F2900">
        <w:t>)</w:t>
      </w:r>
      <w:r>
        <w:t> ;</w:t>
      </w:r>
    </w:p>
    <w:p w14:paraId="435C07AC" w14:textId="05EC2A88" w:rsidR="00C95AFE" w:rsidRDefault="00C95AFE" w:rsidP="00C95AFE">
      <w:pPr>
        <w:pStyle w:val="SGACP-enumerationniveau1"/>
        <w:numPr>
          <w:ilvl w:val="0"/>
          <w:numId w:val="102"/>
        </w:numPr>
        <w:ind w:left="284" w:hanging="284"/>
      </w:pPr>
      <w:r>
        <w:t>m</w:t>
      </w:r>
      <w:r w:rsidRPr="007F2900">
        <w:t>odalités d</w:t>
      </w:r>
      <w:r>
        <w:t>’</w:t>
      </w:r>
      <w:r w:rsidRPr="007F2900">
        <w:t>information par</w:t>
      </w:r>
      <w:r>
        <w:t xml:space="preserve"> le responsable de la fonction de vérification de la conformité </w:t>
      </w:r>
      <w:r w:rsidRPr="007F2900">
        <w:t>de l</w:t>
      </w:r>
      <w:r>
        <w:t>’</w:t>
      </w:r>
      <w:r w:rsidRPr="007F2900">
        <w:t xml:space="preserve">exercice de ses missions </w:t>
      </w:r>
      <w:r>
        <w:t>à l’organe de surveillance (cf. article 31 de l’arrêté du 3 novembre 2014</w:t>
      </w:r>
      <w:r w:rsidR="0068699A">
        <w:t xml:space="preserve"> modifié</w:t>
      </w:r>
      <w:r>
        <w:t>) ;</w:t>
      </w:r>
    </w:p>
    <w:p w14:paraId="6031C62B" w14:textId="710607D7"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BA073B">
        <w:t xml:space="preserve"> ainsi que, le cas échéant, du comité des risques</w:t>
      </w:r>
      <w:r w:rsidR="00463A1C" w:rsidRPr="007F2900">
        <w:t>, et en particulier éventuelles défaillances relevées, et mesures décidées pour y remédier</w:t>
      </w:r>
      <w:r w:rsidR="00186B7C">
        <w:t xml:space="preserve"> (cf. article 243 de l’arrêté du 3 novembre 2014</w:t>
      </w:r>
      <w:r w:rsidR="0068699A">
        <w:t xml:space="preserve"> modifié</w:t>
      </w:r>
      <w:r w:rsidR="00186B7C">
        <w:t>)</w:t>
      </w:r>
      <w:r w:rsidR="006C423E">
        <w:t> ;</w:t>
      </w:r>
    </w:p>
    <w:p w14:paraId="4ECF2ECF" w14:textId="5EF3FC17" w:rsidR="00AE30E7" w:rsidRPr="00AE30E7" w:rsidRDefault="006C423E" w:rsidP="00AE30E7">
      <w:pPr>
        <w:pStyle w:val="SGACP-enumerationniveau1"/>
        <w:ind w:left="360"/>
      </w:pPr>
      <w:r>
        <w:t>modalités d’information de l’organe de surveillance concernant</w:t>
      </w:r>
      <w:r w:rsidRPr="006C423E">
        <w:t xml:space="preserve"> l’évaluation périodique effectuée par le Comité des nominations sur les connaissances, les compétences et l'expérience des membres de l’organe de surveillance, tant individuellement que collectivement</w:t>
      </w:r>
      <w:r w:rsidR="00F7177B">
        <w:t xml:space="preserve"> (cf. article L. 511-100 du C</w:t>
      </w:r>
      <w:r>
        <w:t>ode monétaire et financier). Communiquer au SGACPR les conclusions de cette évaluation</w:t>
      </w:r>
      <w:r w:rsidR="00AE30E7" w:rsidRPr="00AE30E7">
        <w:t xml:space="preserve"> ainsi que le détail du suivi des mesures imposées dans le cadre des procédures d’autorisation des nominations des membres administrateurs et dirigeants effectifs par le superviseur prudentiel.</w:t>
      </w:r>
    </w:p>
    <w:p w14:paraId="4E7F75CC" w14:textId="77777777" w:rsidR="00937489" w:rsidRDefault="00937489" w:rsidP="00890013">
      <w:pPr>
        <w:pStyle w:val="SGACP-enumerationniveau1"/>
        <w:numPr>
          <w:ilvl w:val="0"/>
          <w:numId w:val="0"/>
        </w:numPr>
        <w:ind w:left="284"/>
      </w:pPr>
      <w:bookmarkStart w:id="21" w:name="_Toc266799779"/>
    </w:p>
    <w:p w14:paraId="0AD6F4BF" w14:textId="77777777" w:rsidR="00463A1C" w:rsidRPr="007F2900" w:rsidRDefault="00937489" w:rsidP="00937489">
      <w:pPr>
        <w:pStyle w:val="SGACP-sous-titrederubriqueniveau3"/>
      </w:pPr>
      <w:r>
        <w:t>3.</w:t>
      </w:r>
      <w:r w:rsidR="00C832E3">
        <w:t>2</w:t>
      </w:r>
      <w:r>
        <w:t>.2</w:t>
      </w:r>
      <w:r w:rsidR="00710008">
        <w:t>.</w:t>
      </w:r>
      <w:r>
        <w:tab/>
      </w:r>
      <w:r w:rsidR="00463A1C" w:rsidRPr="007F2900">
        <w:t>Modalités d</w:t>
      </w:r>
      <w:r w:rsidR="001224E7">
        <w:t>’</w:t>
      </w:r>
      <w:r w:rsidR="00463A1C" w:rsidRPr="007F2900">
        <w:t xml:space="preserve">information </w:t>
      </w:r>
      <w:bookmarkEnd w:id="21"/>
      <w:r w:rsidR="0003780F">
        <w:t>des dirigeants effectifs</w:t>
      </w:r>
      <w:r w:rsidR="00743C3A">
        <w:t> :</w:t>
      </w:r>
    </w:p>
    <w:p w14:paraId="7377EA7F" w14:textId="4970F5BE"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de l’arrêté du 3 novembre 2014</w:t>
      </w:r>
      <w:r w:rsidR="00192F7C">
        <w:t xml:space="preserve"> modifié</w:t>
      </w:r>
      <w:r w:rsidR="00186B7C">
        <w:t xml:space="preserve"> </w:t>
      </w:r>
      <w:r w:rsidR="00463A1C" w:rsidRPr="007F2900">
        <w:t>(cf. article</w:t>
      </w:r>
      <w:r w:rsidR="00292843">
        <w:t> </w:t>
      </w:r>
      <w:r w:rsidR="00266335">
        <w:t>245</w:t>
      </w:r>
      <w:r w:rsidR="009767B5">
        <w:t xml:space="preserve"> de l’arrêté du 3 novembre 2014</w:t>
      </w:r>
      <w:r w:rsidR="0068699A">
        <w:t xml:space="preserve"> modifié</w:t>
      </w:r>
      <w:r w:rsidR="00463A1C" w:rsidRPr="007F2900">
        <w:t>)</w:t>
      </w:r>
      <w:r>
        <w:t> ;</w:t>
      </w:r>
      <w:r w:rsidR="00717A06">
        <w:t xml:space="preserve"> </w:t>
      </w:r>
    </w:p>
    <w:p w14:paraId="5A6C034B" w14:textId="6DFE2B65"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(cf. article 77 de l’arrêté du 3 novembre 2014</w:t>
      </w:r>
      <w:r w:rsidR="0068699A">
        <w:t xml:space="preserve"> modifié</w:t>
      </w:r>
      <w:r w:rsidR="009231A6">
        <w:t xml:space="preserve">) </w:t>
      </w:r>
      <w:r>
        <w:t>;</w:t>
      </w:r>
    </w:p>
    <w:p w14:paraId="7CC74981" w14:textId="683ADDFE"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68699A">
        <w:t xml:space="preserve"> modifié</w:t>
      </w:r>
      <w:r w:rsidR="00463A1C" w:rsidRPr="007F2900">
        <w:t>)</w:t>
      </w:r>
      <w:r>
        <w:t>.</w:t>
      </w:r>
    </w:p>
    <w:p w14:paraId="045BE456" w14:textId="77777777" w:rsidR="00DB1318" w:rsidRDefault="00DB1318" w:rsidP="00463A1C">
      <w:bookmarkStart w:id="22" w:name="_Toc266799780"/>
    </w:p>
    <w:p w14:paraId="54535E21" w14:textId="77777777" w:rsidR="00463A1C" w:rsidRPr="007F2900" w:rsidRDefault="00937489" w:rsidP="00937489">
      <w:pPr>
        <w:pStyle w:val="SGACP-sous-titrederubriqueniveau3"/>
      </w:pPr>
      <w:r>
        <w:t>3.</w:t>
      </w:r>
      <w:r w:rsidR="00C832E3">
        <w:t>2</w:t>
      </w:r>
      <w:r>
        <w:t>.3</w:t>
      </w:r>
      <w:r w:rsidR="00710008">
        <w:t>.</w:t>
      </w:r>
      <w:r>
        <w:tab/>
      </w:r>
      <w:r w:rsidR="00463A1C" w:rsidRPr="007F2900">
        <w:t>Diligences effectuées par les dirigeants</w:t>
      </w:r>
      <w:bookmarkEnd w:id="22"/>
      <w:r w:rsidR="00743C3A">
        <w:t> </w:t>
      </w:r>
      <w:r w:rsidR="009231A6">
        <w:t xml:space="preserve">effectifs et l’organe de surveillance </w:t>
      </w:r>
      <w:r w:rsidR="00743C3A">
        <w:t>:</w:t>
      </w:r>
    </w:p>
    <w:p w14:paraId="1D4EFC3F" w14:textId="3A3C34E5"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rsidR="0068699A">
        <w:t xml:space="preserve"> modifié</w:t>
      </w:r>
      <w:r w:rsidR="00545B0F">
        <w:t>)</w:t>
      </w:r>
      <w:r>
        <w:t>.</w:t>
      </w:r>
    </w:p>
    <w:p w14:paraId="7A2FB1B5" w14:textId="77777777" w:rsidR="00847799" w:rsidRDefault="00847799">
      <w:pPr>
        <w:jc w:val="left"/>
        <w:rPr>
          <w:sz w:val="22"/>
        </w:rPr>
      </w:pPr>
    </w:p>
    <w:p w14:paraId="12C16F22" w14:textId="77777777" w:rsidR="00463A1C" w:rsidRPr="007F2900" w:rsidRDefault="00937489" w:rsidP="00937489">
      <w:pPr>
        <w:pStyle w:val="SGACP-sous-titrederubriqueniveau3"/>
      </w:pPr>
      <w:bookmarkStart w:id="23" w:name="_Toc244576442"/>
      <w:bookmarkStart w:id="24" w:name="_Toc266799781"/>
      <w:r>
        <w:t>3.</w:t>
      </w:r>
      <w:r w:rsidR="00C832E3">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3"/>
      <w:bookmarkEnd w:id="24"/>
      <w:r w:rsidR="00743C3A">
        <w:t> :</w:t>
      </w:r>
    </w:p>
    <w:p w14:paraId="21D120ED" w14:textId="77777777" w:rsidR="00B77234" w:rsidRDefault="00B77234" w:rsidP="00266335">
      <w:pPr>
        <w:pStyle w:val="SGACP-enumerationniveau1"/>
        <w:ind w:left="284" w:hanging="284"/>
      </w:pPr>
      <w:r>
        <w:t>modalités d’examen du dispositif de gouvernance et d’évaluation périodique de son efficacité (</w:t>
      </w:r>
      <w:r w:rsidR="00266335">
        <w:t xml:space="preserve">cf. </w:t>
      </w:r>
      <w:r>
        <w:t>article L.511-59 du Code monétaire et financier) ;</w:t>
      </w:r>
    </w:p>
    <w:p w14:paraId="6EE8F910" w14:textId="740B724B" w:rsidR="00B77234" w:rsidRDefault="00B77234" w:rsidP="004A229A">
      <w:pPr>
        <w:pStyle w:val="SGACP-enumerationniveau1"/>
        <w:ind w:left="284" w:hanging="284"/>
      </w:pPr>
      <w:r>
        <w:t>modalités d’approbation et de révision régulière des stratégies et politiques en matière de risques (</w:t>
      </w:r>
      <w:r w:rsidR="00266335">
        <w:t xml:space="preserve">cf. </w:t>
      </w:r>
      <w:r>
        <w:t>article</w:t>
      </w:r>
      <w:r w:rsidR="007564B0">
        <w:t>s</w:t>
      </w:r>
      <w:r>
        <w:t xml:space="preserve"> L.511-60 </w:t>
      </w:r>
      <w:r w:rsidR="007564B0">
        <w:t xml:space="preserve">ou L. 533-29-1 </w:t>
      </w:r>
      <w:r>
        <w:t>du Code monétaire et financier) ;</w:t>
      </w:r>
    </w:p>
    <w:p w14:paraId="7AA7DA43" w14:textId="77777777" w:rsidR="00B77234" w:rsidRDefault="00B77234" w:rsidP="004A229A">
      <w:pPr>
        <w:pStyle w:val="SGACP-enumerationniveau1"/>
        <w:ind w:left="284" w:hanging="284"/>
      </w:pPr>
      <w:r>
        <w:t>modalités de détermination des orientations et du contrôle de la mise en œuvre des dispositifs de surveillance afin de garantir une gestion efficace et prudente de l’établissement (cf. article L.511-67 du Code monétaire et financier) ;</w:t>
      </w:r>
    </w:p>
    <w:p w14:paraId="146D3B7F" w14:textId="69F82811" w:rsidR="00B77234" w:rsidRDefault="00B77234" w:rsidP="004A229A">
      <w:pPr>
        <w:pStyle w:val="SGACP-enumerationniveau1"/>
        <w:ind w:left="284" w:hanging="284"/>
      </w:pPr>
      <w:r>
        <w:t>modalités d’adopti</w:t>
      </w:r>
      <w:r w:rsidR="00156279">
        <w:t>on et de révision des principes</w:t>
      </w:r>
      <w:r>
        <w:t xml:space="preserve"> généraux de la politique de rémunération et de sa mise en œuvre (</w:t>
      </w:r>
      <w:r w:rsidR="00266335">
        <w:t xml:space="preserve">cf. </w:t>
      </w:r>
      <w:r>
        <w:t>article</w:t>
      </w:r>
      <w:r w:rsidR="007564B0">
        <w:t>s</w:t>
      </w:r>
      <w:r>
        <w:t xml:space="preserve"> L.511-72 </w:t>
      </w:r>
      <w:r w:rsidR="007564B0">
        <w:t xml:space="preserve">ou L. 533-30-1 </w:t>
      </w:r>
      <w:r>
        <w:t>du Code monétaire et financier) ;</w:t>
      </w:r>
    </w:p>
    <w:p w14:paraId="3D90340E" w14:textId="26496DC2"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des incidents significatifs révélés par les procédures de contrôle interne, principales insuffisances constatées, 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68699A">
        <w:t xml:space="preserve"> modifié</w:t>
      </w:r>
      <w:r w:rsidR="00536A71">
        <w:t>)</w:t>
      </w:r>
      <w:r w:rsidR="00A735BD">
        <w:t> ;</w:t>
      </w:r>
    </w:p>
    <w:p w14:paraId="6029CA69" w14:textId="77777777"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14:paraId="3E47095E" w14:textId="1B1B5460" w:rsidR="004A229A" w:rsidRDefault="00A735BD" w:rsidP="004A229A">
      <w:pPr>
        <w:pStyle w:val="SGACP-enumerationniveau1"/>
        <w:ind w:left="284" w:hanging="284"/>
      </w:pPr>
      <w:r>
        <w:t>dates d’approbation des limites globales de risques par l’organe de surveillance, après consultation le cas échéant du comité des risques (cf. article 224 de l’arrêté du 3 novembre 2014</w:t>
      </w:r>
      <w:r w:rsidR="0068699A">
        <w:t xml:space="preserve"> modifié</w:t>
      </w:r>
      <w:r>
        <w:t>)</w:t>
      </w:r>
      <w:r w:rsidR="00743C3A">
        <w:t>.</w:t>
      </w:r>
    </w:p>
    <w:p w14:paraId="463F3237" w14:textId="0DF5FD11" w:rsidR="00D30821" w:rsidRDefault="00D30821" w:rsidP="00460E3D">
      <w:pPr>
        <w:pStyle w:val="SGACP-sous-titrederubriqueniveau3"/>
        <w:ind w:left="0" w:firstLine="0"/>
      </w:pPr>
      <w:bookmarkStart w:id="25" w:name="_Toc266799782"/>
      <w:r>
        <w:br w:type="page"/>
      </w:r>
    </w:p>
    <w:p w14:paraId="0176445F" w14:textId="77777777" w:rsidR="007D2D09" w:rsidRDefault="00463A1C" w:rsidP="00D63D99">
      <w:pPr>
        <w:pStyle w:val="SGACP-sous-titrederubriquenivaeu2"/>
        <w:keepNext/>
        <w:keepLines/>
        <w:numPr>
          <w:ilvl w:val="1"/>
          <w:numId w:val="2"/>
        </w:numPr>
        <w:ind w:left="567" w:hanging="567"/>
      </w:pPr>
      <w:r w:rsidRPr="007F2900">
        <w:t xml:space="preserve">Politique et pratiques de rémunération (y compris pour les filiales et succursales situées </w:t>
      </w:r>
      <w:r w:rsidR="00E55A5D" w:rsidRPr="007F2900">
        <w:t>à l</w:t>
      </w:r>
      <w:r w:rsidR="001224E7">
        <w:t>’</w:t>
      </w:r>
      <w:r w:rsidR="00E55A5D" w:rsidRPr="007F2900">
        <w:t xml:space="preserve">étranger) </w:t>
      </w:r>
    </w:p>
    <w:bookmarkEnd w:id="25"/>
    <w:p w14:paraId="3129A291" w14:textId="77777777" w:rsidR="005E2EF3" w:rsidRDefault="005E2EF3" w:rsidP="00460E3D"/>
    <w:p w14:paraId="254E550B" w14:textId="77777777" w:rsidR="00463A1C" w:rsidRPr="008335E0" w:rsidRDefault="00463A1C" w:rsidP="002C1BF5">
      <w:pPr>
        <w:pStyle w:val="SGACP-textecourant"/>
        <w:keepNext/>
        <w:keepLines/>
        <w:rPr>
          <w:b/>
          <w:i/>
          <w:iCs/>
        </w:rPr>
      </w:pPr>
      <w:r w:rsidRPr="008335E0">
        <w:rPr>
          <w:b/>
          <w:i/>
          <w:iCs/>
        </w:rPr>
        <w:t>Cette partie peut faire l</w:t>
      </w:r>
      <w:r w:rsidR="001224E7">
        <w:rPr>
          <w:b/>
          <w:i/>
          <w:iCs/>
        </w:rPr>
        <w:t>’</w:t>
      </w:r>
      <w:r w:rsidRPr="008335E0">
        <w:rPr>
          <w:b/>
          <w:i/>
          <w:iCs/>
        </w:rPr>
        <w:t>objet d</w:t>
      </w:r>
      <w:r w:rsidR="001224E7">
        <w:rPr>
          <w:b/>
          <w:i/>
          <w:iCs/>
        </w:rPr>
        <w:t>’</w:t>
      </w:r>
      <w:r w:rsidRPr="008335E0">
        <w:rPr>
          <w:b/>
          <w:i/>
          <w:iCs/>
        </w:rPr>
        <w:t>un rapport distinct</w:t>
      </w:r>
      <w:r w:rsidR="00A61041">
        <w:rPr>
          <w:b/>
          <w:i/>
          <w:iCs/>
        </w:rPr>
        <w:t>.</w:t>
      </w:r>
    </w:p>
    <w:p w14:paraId="49214719" w14:textId="77777777" w:rsidR="00937489" w:rsidRDefault="00937489" w:rsidP="00460E3D">
      <w:bookmarkStart w:id="26" w:name="_Toc266799783"/>
    </w:p>
    <w:p w14:paraId="1CB15FD7" w14:textId="77777777" w:rsidR="000E3BD9" w:rsidRDefault="00937489">
      <w:pPr>
        <w:pStyle w:val="SGACP-sous-titrederubriqueniveau3"/>
        <w:keepNext/>
        <w:keepLines/>
      </w:pPr>
      <w:r>
        <w:t>3.</w:t>
      </w:r>
      <w:r w:rsidR="00C832E3">
        <w:t>3</w:t>
      </w:r>
      <w:r>
        <w:t>.1</w:t>
      </w:r>
      <w:r w:rsidR="00710008">
        <w:t>.</w:t>
      </w:r>
      <w:r>
        <w:tab/>
      </w:r>
      <w:r w:rsidR="00463A1C" w:rsidRPr="007F2900">
        <w:t>Gouvernance de la politique de rémunération</w:t>
      </w:r>
      <w:bookmarkEnd w:id="26"/>
      <w:r w:rsidR="00743C3A">
        <w:t> :</w:t>
      </w:r>
    </w:p>
    <w:p w14:paraId="5BB67D7E" w14:textId="70AF39E3" w:rsidR="000E3BD9" w:rsidRPr="007F2900" w:rsidRDefault="000E3BD9" w:rsidP="002C1BF5">
      <w:pPr>
        <w:pStyle w:val="SGACP-enumerationniveau1"/>
        <w:ind w:left="284" w:hanging="284"/>
      </w:pPr>
      <w:r>
        <w:t>d</w:t>
      </w:r>
      <w:r w:rsidRPr="007F2900">
        <w:t>ate de constitution, composition</w:t>
      </w:r>
      <w:r>
        <w:t>,</w:t>
      </w:r>
      <w:r w:rsidRPr="007F2900">
        <w:t xml:space="preserve"> </w:t>
      </w:r>
      <w:r>
        <w:t xml:space="preserve">durée du </w:t>
      </w:r>
      <w:r w:rsidRPr="007F2900">
        <w:t>mandat</w:t>
      </w:r>
      <w:r w:rsidR="001B43FF">
        <w:t>, modalités de fonctionnement</w:t>
      </w:r>
      <w:r w:rsidRPr="007F2900">
        <w:t xml:space="preserve"> </w:t>
      </w:r>
      <w:r>
        <w:t>et compétences</w:t>
      </w:r>
      <w:r w:rsidRPr="007F2900">
        <w:t xml:space="preserve"> du comité de rémunération</w:t>
      </w:r>
      <w:r>
        <w:t> </w:t>
      </w:r>
      <w:r w:rsidR="00575B1D">
        <w:t xml:space="preserve">visé à l’article L.511-102 </w:t>
      </w:r>
      <w:r w:rsidR="00134277">
        <w:t xml:space="preserve">ou L. 533-31-4 </w:t>
      </w:r>
      <w:r w:rsidR="00575B1D">
        <w:t xml:space="preserve">du Code monétaire et financier </w:t>
      </w:r>
      <w:r w:rsidR="00B276BE">
        <w:t xml:space="preserve">et à la partie 2.4.2 des Orientations </w:t>
      </w:r>
      <w:r w:rsidR="007B779D">
        <w:t>ABE</w:t>
      </w:r>
      <w:r w:rsidR="00B276BE">
        <w:t xml:space="preserve"> </w:t>
      </w:r>
      <w:r w:rsidR="00134277">
        <w:t>n°2021/04 ou à la partie 2.3.2 des Orientations ABE n°2021/13</w:t>
      </w:r>
      <w:r>
        <w:t>;</w:t>
      </w:r>
    </w:p>
    <w:p w14:paraId="02F92212" w14:textId="618869CC" w:rsidR="004A229A" w:rsidRDefault="00743C3A" w:rsidP="004A229A">
      <w:pPr>
        <w:pStyle w:val="SGACP-enumerationniveau1"/>
        <w:ind w:left="284" w:hanging="284"/>
      </w:pPr>
      <w:r>
        <w:t>d</w:t>
      </w:r>
      <w:r w:rsidR="00463A1C" w:rsidRPr="007F2900">
        <w:t xml:space="preserve">escription </w:t>
      </w:r>
      <w:r w:rsidR="00627647">
        <w:t>des principes généraux</w:t>
      </w:r>
      <w:r w:rsidR="00463A1C" w:rsidRPr="007F2900">
        <w:t xml:space="preserve"> de la politique de rémunération </w:t>
      </w:r>
      <w:r w:rsidR="00627647">
        <w:t>définie en application de l’article L</w:t>
      </w:r>
      <w:r w:rsidR="005E2EF3">
        <w:t xml:space="preserve">. </w:t>
      </w:r>
      <w:r w:rsidR="00627647">
        <w:t xml:space="preserve">511-72 </w:t>
      </w:r>
      <w:r w:rsidR="00134277">
        <w:t xml:space="preserve">ou L. 533-30 </w:t>
      </w:r>
      <w:r w:rsidR="00627647">
        <w:t xml:space="preserve">du </w:t>
      </w:r>
      <w:r w:rsidR="00C8170B">
        <w:t>C</w:t>
      </w:r>
      <w:r w:rsidR="00627647">
        <w:t xml:space="preserve">ode monétaire et financier </w:t>
      </w:r>
      <w:r w:rsidR="00804561">
        <w:t>(</w:t>
      </w:r>
      <w:r w:rsidR="00804561" w:rsidRPr="00FF0758">
        <w:t>modalités et date d</w:t>
      </w:r>
      <w:r w:rsidR="001224E7">
        <w:t>’</w:t>
      </w:r>
      <w:r w:rsidR="00804561" w:rsidRPr="00FF0758">
        <w:t>adoption, date de mise en œuvre, modalités de revue)</w:t>
      </w:r>
      <w:r w:rsidR="00804561">
        <w:t xml:space="preserve"> </w:t>
      </w:r>
      <w:r w:rsidR="00804561" w:rsidRPr="00FF0758">
        <w:t>ainsi que, le cas échéant, l</w:t>
      </w:r>
      <w:r w:rsidR="001224E7">
        <w:t>’</w:t>
      </w:r>
      <w:r w:rsidR="00804561" w:rsidRPr="00FF0758">
        <w:t>identité des consultants externes dont les services ont été utilisés pour définir la politique de rémunération</w:t>
      </w:r>
      <w:r w:rsidR="00804561" w:rsidRPr="007F2900">
        <w:t xml:space="preserve"> </w:t>
      </w:r>
      <w:r w:rsidR="00292843">
        <w:t>(</w:t>
      </w:r>
      <w:r w:rsidR="00463A1C" w:rsidRPr="007F2900">
        <w:t>cf. article</w:t>
      </w:r>
      <w:r w:rsidR="00292843">
        <w:t> </w:t>
      </w:r>
      <w:r w:rsidR="009767B5">
        <w:t>266</w:t>
      </w:r>
      <w:r w:rsidR="002906E2">
        <w:t xml:space="preserve"> </w:t>
      </w:r>
      <w:r w:rsidR="009767B5">
        <w:t>de l’arrêté du 3 novembre 2014</w:t>
      </w:r>
      <w:r w:rsidR="006653E9">
        <w:t xml:space="preserve"> modifié</w:t>
      </w:r>
      <w:r w:rsidR="00292843">
        <w:t>)</w:t>
      </w:r>
      <w:r>
        <w:t> ;</w:t>
      </w:r>
    </w:p>
    <w:p w14:paraId="2A9CB11B" w14:textId="70D395A5" w:rsidR="00B276BE" w:rsidRDefault="00B276BE" w:rsidP="00B276BE">
      <w:pPr>
        <w:pStyle w:val="SGACP-enumerationniveau1"/>
        <w:ind w:left="284" w:hanging="284"/>
      </w:pPr>
      <w:r>
        <w:t>description du rôle des fonctions risques, conformité et support dans la conception et la mise en œuvre de la politique de rémunération (cf. paragraphes 3</w:t>
      </w:r>
      <w:r w:rsidR="00C80DDC">
        <w:t>6</w:t>
      </w:r>
      <w:r>
        <w:t>, 3</w:t>
      </w:r>
      <w:r w:rsidR="00C80DDC">
        <w:t>8</w:t>
      </w:r>
      <w:r>
        <w:t xml:space="preserve"> à </w:t>
      </w:r>
      <w:r w:rsidR="00C80DDC">
        <w:t>41</w:t>
      </w:r>
      <w:r>
        <w:t xml:space="preserve">, </w:t>
      </w:r>
      <w:r w:rsidR="00C80DDC">
        <w:t xml:space="preserve">60 </w:t>
      </w:r>
      <w:r>
        <w:t>à 6</w:t>
      </w:r>
      <w:r w:rsidR="00C80DDC">
        <w:t>2</w:t>
      </w:r>
      <w:r>
        <w:t xml:space="preserve"> des Orientations </w:t>
      </w:r>
      <w:r w:rsidR="007B779D">
        <w:t>ABE</w:t>
      </w:r>
      <w:r w:rsidR="00C80DDC" w:rsidRPr="00C80DDC">
        <w:t xml:space="preserve"> </w:t>
      </w:r>
      <w:r w:rsidR="00C80DDC">
        <w:t>n°2021/04 ou paragraphes 35, 37 à 40, 56 à 58 des Orientations ABE n°2021/13</w:t>
      </w:r>
      <w:r>
        <w:t>)</w:t>
      </w:r>
      <w:r w:rsidR="00D82F7B">
        <w:t> ;</w:t>
      </w:r>
    </w:p>
    <w:p w14:paraId="584324DD" w14:textId="24EBD7F0" w:rsidR="00FB7A7F" w:rsidRDefault="00FB7A7F" w:rsidP="004A229A">
      <w:pPr>
        <w:pStyle w:val="SGACP-enumerationniveau1"/>
        <w:ind w:left="284" w:hanging="284"/>
      </w:pPr>
      <w:r>
        <w:t>date et relevé des conclusions de l’évaluation interne destinée à s’assurer du respect de la politique et des procédures en matière de rémunérations adoptées par l’organe de surveillance (cf. article L</w:t>
      </w:r>
      <w:r w:rsidR="00545B0F">
        <w:t>.511-</w:t>
      </w:r>
      <w:r>
        <w:t xml:space="preserve">74 </w:t>
      </w:r>
      <w:r w:rsidR="00134277">
        <w:t xml:space="preserve">ou L. 533-30-2 </w:t>
      </w:r>
      <w:r>
        <w:t>du Code monétaire et financier).</w:t>
      </w:r>
    </w:p>
    <w:p w14:paraId="22EA0AC7" w14:textId="5C1C5A54" w:rsidR="00937489" w:rsidRDefault="00937489" w:rsidP="00460E3D">
      <w:bookmarkStart w:id="27" w:name="_Toc266799784"/>
    </w:p>
    <w:p w14:paraId="07AC3BA1" w14:textId="741A4539" w:rsidR="00463A1C" w:rsidRDefault="00937489" w:rsidP="00937489">
      <w:pPr>
        <w:pStyle w:val="SGACP-sous-titrederubriqueniveau3"/>
      </w:pPr>
      <w:r>
        <w:t>3.</w:t>
      </w:r>
      <w:r w:rsidR="00C832E3">
        <w:t>3</w:t>
      </w:r>
      <w:r>
        <w:t>.2</w:t>
      </w:r>
      <w:r w:rsidR="00710008">
        <w:t>.</w:t>
      </w:r>
      <w:r>
        <w:tab/>
      </w:r>
      <w:r w:rsidR="00463A1C" w:rsidRPr="007F2900">
        <w:t>Principales caractéristiques de la politique de rémunération</w:t>
      </w:r>
      <w:bookmarkEnd w:id="27"/>
      <w:r w:rsidR="00A61041">
        <w:t> :</w:t>
      </w:r>
    </w:p>
    <w:p w14:paraId="75783FF7" w14:textId="101D768F" w:rsidR="004A229A" w:rsidRDefault="00743C3A" w:rsidP="004A229A">
      <w:pPr>
        <w:pStyle w:val="SGACP-enumerationniveau1"/>
        <w:ind w:left="284" w:hanging="284"/>
      </w:pPr>
      <w:r>
        <w:t>d</w:t>
      </w:r>
      <w:r w:rsidR="00463A1C" w:rsidRPr="007F2900">
        <w:t>escription de la politique de rémunération de l</w:t>
      </w:r>
      <w:r w:rsidR="001224E7">
        <w:t>’</w:t>
      </w:r>
      <w:r w:rsidR="00463A1C" w:rsidRPr="007F2900">
        <w:t>établissement notamment (</w:t>
      </w:r>
      <w:r w:rsidR="00292843">
        <w:t>c</w:t>
      </w:r>
      <w:r w:rsidR="00292843" w:rsidRPr="007F2900">
        <w:t>f</w:t>
      </w:r>
      <w:r w:rsidR="00463A1C" w:rsidRPr="007F2900">
        <w:t xml:space="preserve">. </w:t>
      </w:r>
      <w:r w:rsidR="00292843" w:rsidRPr="007F2900">
        <w:t>article</w:t>
      </w:r>
      <w:r w:rsidR="00292843">
        <w:t> </w:t>
      </w:r>
      <w:r w:rsidR="009767B5">
        <w:t>266 de l’arrêté du 3 novembre 2014</w:t>
      </w:r>
      <w:r w:rsidR="006653E9">
        <w:t xml:space="preserve"> modifié</w:t>
      </w:r>
      <w:r w:rsidR="00463A1C" w:rsidRPr="007F2900">
        <w:t>) :</w:t>
      </w:r>
    </w:p>
    <w:p w14:paraId="213AD494" w14:textId="526E08D6" w:rsidR="004A229A" w:rsidRDefault="00743C3A" w:rsidP="00924745">
      <w:pPr>
        <w:pStyle w:val="SGACP-enumerationniveau2"/>
        <w:numPr>
          <w:ilvl w:val="0"/>
          <w:numId w:val="26"/>
        </w:numPr>
        <w:ind w:left="567" w:hanging="283"/>
      </w:pPr>
      <w:r w:rsidRPr="00DD61ED">
        <w:t>d</w:t>
      </w:r>
      <w:r w:rsidR="00463A1C" w:rsidRPr="00DD61ED">
        <w:t xml:space="preserve">es critères </w:t>
      </w:r>
      <w:r w:rsidR="00B276BE">
        <w:t xml:space="preserve">(relatifs, absolus, quantitatifs, qualitatifs) </w:t>
      </w:r>
      <w:r w:rsidR="00463A1C" w:rsidRPr="00DD61ED">
        <w:t>utilisés pour mesurer la performance et ajuster la rémunération au risque</w:t>
      </w:r>
      <w:r w:rsidR="00B276BE">
        <w:t xml:space="preserve"> (cf. paragraphe </w:t>
      </w:r>
      <w:r w:rsidR="00134277">
        <w:t xml:space="preserve">215 </w:t>
      </w:r>
      <w:r w:rsidR="00B276BE">
        <w:t xml:space="preserve">des Orientations </w:t>
      </w:r>
      <w:r w:rsidR="007B779D">
        <w:t>ABE</w:t>
      </w:r>
      <w:r w:rsidR="00134277">
        <w:t xml:space="preserve"> n°2021/04 ou paragraphe 209 des Orientations ABE n°2021/13</w:t>
      </w:r>
      <w:r w:rsidR="00B276BE">
        <w:t>)</w:t>
      </w:r>
      <w:r w:rsidR="004A229A" w:rsidRPr="004A229A">
        <w:t>,</w:t>
      </w:r>
    </w:p>
    <w:p w14:paraId="68F9F054" w14:textId="503F48E1" w:rsidR="004A229A" w:rsidRDefault="004A229A" w:rsidP="00924745">
      <w:pPr>
        <w:pStyle w:val="SGACP-enumerationniveau2"/>
        <w:numPr>
          <w:ilvl w:val="0"/>
          <w:numId w:val="26"/>
        </w:numPr>
        <w:ind w:left="567" w:hanging="283"/>
      </w:pPr>
      <w:r w:rsidRPr="004A229A">
        <w:t xml:space="preserve">des critères </w:t>
      </w:r>
      <w:r w:rsidR="00B276BE">
        <w:t xml:space="preserve">(relatifs, absolus, quantitatifs, qualitatifs) </w:t>
      </w:r>
      <w:r w:rsidRPr="004A229A">
        <w:t>définis pour définir le lien entre rémunération et performance</w:t>
      </w:r>
      <w:r w:rsidR="00B276BE">
        <w:t xml:space="preserve"> (cf. paragraphe </w:t>
      </w:r>
      <w:r w:rsidR="00134277">
        <w:t xml:space="preserve">215 </w:t>
      </w:r>
      <w:r w:rsidR="00B276BE">
        <w:t xml:space="preserve">des Orientations </w:t>
      </w:r>
      <w:r w:rsidR="007B779D">
        <w:t>ABE</w:t>
      </w:r>
      <w:r w:rsidR="00134277">
        <w:t xml:space="preserve"> n°2021/04 ou paragraphe 209 des </w:t>
      </w:r>
      <w:r w:rsidR="009644F4">
        <w:t>Orientations ABE n°2021/13</w:t>
      </w:r>
      <w:r w:rsidR="00B276BE">
        <w:t>)</w:t>
      </w:r>
      <w:r w:rsidRPr="004A229A">
        <w:t>,</w:t>
      </w:r>
    </w:p>
    <w:p w14:paraId="5785BA0E" w14:textId="77777777" w:rsidR="004A229A" w:rsidRDefault="004A229A" w:rsidP="00924745">
      <w:pPr>
        <w:pStyle w:val="SGACP-enumerationniveau2"/>
        <w:numPr>
          <w:ilvl w:val="0"/>
          <w:numId w:val="26"/>
        </w:numPr>
        <w:ind w:left="567" w:hanging="283"/>
      </w:pPr>
      <w:r w:rsidRPr="004A229A">
        <w:t>de la politique en matière d</w:t>
      </w:r>
      <w:r w:rsidR="001224E7">
        <w:t>’</w:t>
      </w:r>
      <w:r w:rsidRPr="004A229A">
        <w:t>étalement des rémunérations,</w:t>
      </w:r>
    </w:p>
    <w:p w14:paraId="403F885F" w14:textId="0E0724CD" w:rsidR="004A229A" w:rsidRDefault="004A229A" w:rsidP="00924745">
      <w:pPr>
        <w:pStyle w:val="SGACP-enumerationniveau2"/>
        <w:numPr>
          <w:ilvl w:val="0"/>
          <w:numId w:val="26"/>
        </w:numPr>
        <w:ind w:left="567" w:hanging="283"/>
      </w:pPr>
      <w:r w:rsidRPr="004A229A">
        <w:t xml:space="preserve">de la politique de rémunérations </w:t>
      </w:r>
      <w:r w:rsidR="00092995">
        <w:t xml:space="preserve">variables </w:t>
      </w:r>
      <w:r w:rsidRPr="004A229A">
        <w:t>garanties</w:t>
      </w:r>
      <w:r w:rsidR="00092995">
        <w:t xml:space="preserve"> exceptionnellement accordées</w:t>
      </w:r>
      <w:r w:rsidR="00823F9E">
        <w:t xml:space="preserve"> dans les conditions prévues à l’article L.511-77 </w:t>
      </w:r>
      <w:r w:rsidR="00134277">
        <w:t xml:space="preserve">ou L. 533-30-8 </w:t>
      </w:r>
      <w:r w:rsidR="00823F9E">
        <w:t>du Code monétaire et financier</w:t>
      </w:r>
      <w:r w:rsidRPr="004A229A">
        <w:t>,</w:t>
      </w:r>
    </w:p>
    <w:p w14:paraId="605F83D2" w14:textId="77777777" w:rsidR="004A229A" w:rsidRDefault="004A229A" w:rsidP="00924745">
      <w:pPr>
        <w:pStyle w:val="SGACP-enumerationniveau2"/>
        <w:numPr>
          <w:ilvl w:val="0"/>
          <w:numId w:val="26"/>
        </w:numPr>
        <w:ind w:left="567" w:hanging="283"/>
      </w:pPr>
      <w:r w:rsidRPr="004A229A">
        <w:t>des critères utilisés pour déterminer la proportion des montants en espèces par rapport à d</w:t>
      </w:r>
      <w:r w:rsidR="001224E7">
        <w:t>’</w:t>
      </w:r>
      <w:r w:rsidRPr="004A229A">
        <w:t>autres formes de rémunération</w:t>
      </w:r>
      <w:r w:rsidR="00D82F7B">
        <w:t>,</w:t>
      </w:r>
    </w:p>
    <w:p w14:paraId="4B50EAED" w14:textId="653B5B79" w:rsidR="00B276BE" w:rsidRDefault="00B276BE" w:rsidP="00924745">
      <w:pPr>
        <w:pStyle w:val="SGACP-enumerationniveau2"/>
        <w:numPr>
          <w:ilvl w:val="0"/>
          <w:numId w:val="26"/>
        </w:numPr>
        <w:ind w:left="567" w:hanging="283"/>
      </w:pPr>
      <w:r>
        <w:t>des critères utilisés pour déterminer les montants en cas de résiliation anticipée du contrat de travail, sous réserve des dispositions applicables du code du travail (cf. paragraphe 1</w:t>
      </w:r>
      <w:r w:rsidR="00134277">
        <w:t>62</w:t>
      </w:r>
      <w:r>
        <w:t xml:space="preserve"> des Orientations</w:t>
      </w:r>
      <w:r w:rsidR="00134277">
        <w:t xml:space="preserve"> n°2021/04 ou paragraphe 155 des Orientations ABE n°2021/13</w:t>
      </w:r>
      <w:r>
        <w:t>)</w:t>
      </w:r>
      <w:r w:rsidR="00D82F7B">
        <w:t>,</w:t>
      </w:r>
    </w:p>
    <w:p w14:paraId="7A51658E" w14:textId="22CD2C0E" w:rsidR="00B276BE" w:rsidRDefault="00B276BE" w:rsidP="00924745">
      <w:pPr>
        <w:pStyle w:val="SGACP-enumerationniveau2"/>
        <w:numPr>
          <w:ilvl w:val="0"/>
          <w:numId w:val="26"/>
        </w:numPr>
        <w:ind w:left="567" w:hanging="283"/>
      </w:pPr>
      <w:r>
        <w:t>de la politique en place pour prévenir le contournement de la réglementation par le personnel à travers les mécanismes de couverture individuelle (cf. partie 10.1 des Orientations</w:t>
      </w:r>
      <w:r w:rsidR="00134277">
        <w:t xml:space="preserve"> ABE</w:t>
      </w:r>
      <w:r w:rsidR="00785726">
        <w:t xml:space="preserve"> n°2021/04 ou n°2021/13</w:t>
      </w:r>
      <w:r>
        <w:t>)</w:t>
      </w:r>
      <w:r w:rsidR="00A632BF">
        <w:t>,</w:t>
      </w:r>
    </w:p>
    <w:p w14:paraId="6D89DC3D" w14:textId="052AB21C" w:rsidR="00A632BF" w:rsidRDefault="00A632BF" w:rsidP="00922D48">
      <w:pPr>
        <w:pStyle w:val="SGACP-enumerationniveau2"/>
        <w:numPr>
          <w:ilvl w:val="0"/>
          <w:numId w:val="26"/>
        </w:numPr>
        <w:ind w:left="567" w:hanging="283"/>
      </w:pPr>
      <w:r>
        <w:t>des écarts de rémunération entre les femmes et les hommes</w:t>
      </w:r>
      <w:r w:rsidR="009644F4">
        <w:t> : détail du dispositif permettant de réaliser un suivi des écarts de rémunération pour la population concernée</w:t>
      </w:r>
      <w:r w:rsidR="00B13BB1">
        <w:rPr>
          <w:rStyle w:val="Appelnotedebasdep"/>
        </w:rPr>
        <w:footnoteReference w:id="2"/>
      </w:r>
      <w:r w:rsidR="009644F4">
        <w:t xml:space="preserve"> (cf. a</w:t>
      </w:r>
      <w:r w:rsidR="009644F4">
        <w:rPr>
          <w:rFonts w:cs="Arial"/>
          <w:bCs/>
        </w:rPr>
        <w:t>rticle 511-71 du Code monétaire et f</w:t>
      </w:r>
      <w:r w:rsidR="009644F4" w:rsidRPr="00C432DC">
        <w:rPr>
          <w:rFonts w:cs="Arial"/>
          <w:bCs/>
        </w:rPr>
        <w:t>inancier</w:t>
      </w:r>
      <w:r w:rsidR="009644F4">
        <w:t>, a</w:t>
      </w:r>
      <w:r w:rsidR="009644F4" w:rsidRPr="00C432DC">
        <w:t>rtic</w:t>
      </w:r>
      <w:r w:rsidR="009644F4">
        <w:t>le 266 de l’a</w:t>
      </w:r>
      <w:r w:rsidR="009644F4" w:rsidRPr="00C432DC">
        <w:t>rrêté du 3 novembre 201</w:t>
      </w:r>
      <w:r w:rsidR="009644F4">
        <w:t xml:space="preserve">4 modifié et paragraphes </w:t>
      </w:r>
      <w:r w:rsidR="009644F4" w:rsidRPr="00C432DC">
        <w:t>63, 64 et 65</w:t>
      </w:r>
      <w:r w:rsidR="009644F4">
        <w:t xml:space="preserve"> des </w:t>
      </w:r>
      <w:r w:rsidR="009644F4" w:rsidRPr="00C432DC">
        <w:t xml:space="preserve">Orientations </w:t>
      </w:r>
      <w:r w:rsidR="009644F4">
        <w:t xml:space="preserve">ABE </w:t>
      </w:r>
      <w:r w:rsidR="00F92ADD">
        <w:t>n°2021/04 ou paragraphes 59, 60 et 61 des Orientations ABE n°2021/13</w:t>
      </w:r>
      <w:r w:rsidR="009644F4">
        <w:t>)</w:t>
      </w:r>
      <w:r>
        <w:t>.</w:t>
      </w:r>
    </w:p>
    <w:p w14:paraId="1FB1E22A" w14:textId="4608147C" w:rsidR="00B276BE" w:rsidRDefault="00B276BE" w:rsidP="00B276BE">
      <w:pPr>
        <w:pStyle w:val="SGACP-enumerationniveau1"/>
        <w:ind w:left="284" w:hanging="284"/>
      </w:pPr>
      <w:r>
        <w:t>le cas échéant, description</w:t>
      </w:r>
      <w:r w:rsidR="00330247">
        <w:t xml:space="preserve">, </w:t>
      </w:r>
      <w:r>
        <w:t>périmètre</w:t>
      </w:r>
      <w:r w:rsidR="00330247">
        <w:t xml:space="preserve"> et justification</w:t>
      </w:r>
      <w:r>
        <w:t xml:space="preserve"> des exemptions prévues aux articles 198 et 199 de l’arrêté du 3 novembre 2014 </w:t>
      </w:r>
      <w:r w:rsidR="00192F7C">
        <w:t xml:space="preserve">modifié </w:t>
      </w:r>
      <w:r>
        <w:t>appliquées par l’établissement</w:t>
      </w:r>
      <w:r w:rsidR="007F067C">
        <w:t xml:space="preserve"> </w:t>
      </w:r>
      <w:r>
        <w:t xml:space="preserve">; </w:t>
      </w:r>
    </w:p>
    <w:p w14:paraId="60939BE0" w14:textId="07BF1F68" w:rsidR="007665F5" w:rsidRDefault="007F067C" w:rsidP="007F067C">
      <w:pPr>
        <w:pStyle w:val="SGACP-enumerationniveau1"/>
        <w:ind w:left="284" w:hanging="284"/>
      </w:pPr>
      <w:r>
        <w:t xml:space="preserve">dans le cas </w:t>
      </w:r>
      <w:r w:rsidRPr="007F067C">
        <w:t>d’un groupe bancaire soumis à la surveillance sur base consolidée</w:t>
      </w:r>
      <w:r>
        <w:t xml:space="preserve">, description du dispositif mis en place le cas échéant au sein des filiales </w:t>
      </w:r>
      <w:r w:rsidRPr="007F067C">
        <w:t>soci</w:t>
      </w:r>
      <w:r>
        <w:t>étés de gestion de portefeuille</w:t>
      </w:r>
      <w:r w:rsidRPr="007F067C">
        <w:t xml:space="preserve"> </w:t>
      </w:r>
      <w:r>
        <w:t>ou entreprises d’assurance ou</w:t>
      </w:r>
      <w:r w:rsidRPr="007F067C">
        <w:t xml:space="preserve"> réassurance</w:t>
      </w:r>
      <w:r>
        <w:t xml:space="preserve"> pour les personnels dont l’activité peut avoir une incidence significative directe sur le profil de risque ou les activités des établissements de crédit, des entreprises d’investissement et des sociétés de financement du groupe </w:t>
      </w:r>
      <w:r w:rsidRPr="007F2900">
        <w:t>(</w:t>
      </w:r>
      <w:r>
        <w:t>c</w:t>
      </w:r>
      <w:r w:rsidRPr="007F2900">
        <w:t>f. article</w:t>
      </w:r>
      <w:r>
        <w:t> 200 de l’arrêté du 3 novembre 2014 modifié</w:t>
      </w:r>
      <w:r w:rsidRPr="007F2900">
        <w:t>)</w:t>
      </w:r>
      <w:r>
        <w:t> ;</w:t>
      </w:r>
    </w:p>
    <w:p w14:paraId="063E1631" w14:textId="1FCE2492" w:rsidR="00331B88" w:rsidRDefault="00743C3A" w:rsidP="004F3BB8">
      <w:pPr>
        <w:pStyle w:val="SGACP-enumerationniveau1"/>
        <w:ind w:left="284" w:hanging="284"/>
      </w:pPr>
      <w:r>
        <w:t>d</w:t>
      </w:r>
      <w:r w:rsidR="00463A1C" w:rsidRPr="007F2900">
        <w:t xml:space="preserve">escription de la politique de rémunération des personnels des unités chargées de la validation et de la vérification des opérations </w:t>
      </w:r>
      <w:r w:rsidR="00463A1C" w:rsidRPr="00156279">
        <w:t>(</w:t>
      </w:r>
      <w:r w:rsidR="00292843" w:rsidRPr="00156279">
        <w:t>cf</w:t>
      </w:r>
      <w:r w:rsidR="00463A1C" w:rsidRPr="00156279">
        <w:t xml:space="preserve">. </w:t>
      </w:r>
      <w:r w:rsidR="00292843" w:rsidRPr="00156279">
        <w:t>articles </w:t>
      </w:r>
      <w:r w:rsidR="002B4164" w:rsidRPr="00156279">
        <w:t>15 de l’arrêté du 3 novembre 2014</w:t>
      </w:r>
      <w:r w:rsidR="006653E9">
        <w:t xml:space="preserve"> modifié</w:t>
      </w:r>
      <w:r w:rsidR="007F3C6C" w:rsidRPr="005813F0">
        <w:t>, L. 511-71 et L.</w:t>
      </w:r>
      <w:r w:rsidR="00681F94">
        <w:t> </w:t>
      </w:r>
      <w:r w:rsidR="007F3C6C" w:rsidRPr="005813F0">
        <w:t>511-75</w:t>
      </w:r>
      <w:r w:rsidR="001F786C">
        <w:t xml:space="preserve"> ou L. 533-30 et L.533-30-3</w:t>
      </w:r>
      <w:r w:rsidR="007F3C6C" w:rsidRPr="005813F0">
        <w:t xml:space="preserve"> du Code monétaire et financier</w:t>
      </w:r>
      <w:r w:rsidR="00B276BE" w:rsidRPr="00B276BE">
        <w:t xml:space="preserve"> </w:t>
      </w:r>
      <w:r w:rsidR="00B276BE">
        <w:t xml:space="preserve">et parties 12 et 14.1.3 des Orientations </w:t>
      </w:r>
      <w:r w:rsidR="007B779D">
        <w:t>ABE</w:t>
      </w:r>
      <w:r w:rsidR="00785726" w:rsidRPr="00785726">
        <w:t xml:space="preserve"> </w:t>
      </w:r>
      <w:r w:rsidR="00785726">
        <w:t>n°2021/04 ou n°2021/13</w:t>
      </w:r>
      <w:r w:rsidR="00463A1C" w:rsidRPr="00156279">
        <w:t>)</w:t>
      </w:r>
      <w:r w:rsidRPr="00156279">
        <w:t> ;</w:t>
      </w:r>
    </w:p>
    <w:p w14:paraId="16E5FA5E" w14:textId="2125E81A" w:rsidR="00480DCD" w:rsidRDefault="00743C3A" w:rsidP="004F3BB8">
      <w:pPr>
        <w:pStyle w:val="SGACP-enumerationniveau1"/>
        <w:ind w:left="284" w:hanging="284"/>
      </w:pPr>
      <w:r>
        <w:t>m</w:t>
      </w:r>
      <w:r w:rsidR="00463A1C" w:rsidRPr="007F2900">
        <w:t>odalités de prise en compte de l</w:t>
      </w:r>
      <w:r w:rsidR="001224E7">
        <w:t>’</w:t>
      </w:r>
      <w:r w:rsidR="00463A1C" w:rsidRPr="007F2900">
        <w:t>ensemble des risques dans la détermination de l</w:t>
      </w:r>
      <w:r w:rsidR="001224E7">
        <w:t>’</w:t>
      </w:r>
      <w:r w:rsidR="00463A1C" w:rsidRPr="007F2900">
        <w:t xml:space="preserve">assiette de rémunération variable </w:t>
      </w:r>
      <w:r w:rsidR="00463A1C" w:rsidRPr="00210431">
        <w:t>(y compris d</w:t>
      </w:r>
      <w:r w:rsidR="007A7524" w:rsidRPr="00210431">
        <w:t>es</w:t>
      </w:r>
      <w:r w:rsidR="00463A1C" w:rsidRPr="00210431">
        <w:t xml:space="preserve"> risque</w:t>
      </w:r>
      <w:r w:rsidR="007A7524" w:rsidRPr="00210431">
        <w:t>s</w:t>
      </w:r>
      <w:r w:rsidR="00463A1C" w:rsidRPr="00210431">
        <w:t xml:space="preserve"> de liquidité inhérent</w:t>
      </w:r>
      <w:r w:rsidR="007A7524" w:rsidRPr="00210431">
        <w:t>s</w:t>
      </w:r>
      <w:r w:rsidR="00463A1C" w:rsidRPr="00210431">
        <w:t xml:space="preserve"> aux activités concernées ainsi que du capital nécessaire eu égard aux risques encourus)</w:t>
      </w:r>
      <w:r w:rsidR="00463A1C" w:rsidRPr="007F2900">
        <w:t xml:space="preserve"> </w:t>
      </w:r>
      <w:r w:rsidR="00CD5F54">
        <w:t>(cf. article</w:t>
      </w:r>
      <w:r w:rsidR="00A03D91">
        <w:t>s L. 511-76, L.511</w:t>
      </w:r>
      <w:r w:rsidR="00341AC9">
        <w:t xml:space="preserve">-77, </w:t>
      </w:r>
      <w:r w:rsidR="00A03D91">
        <w:t>L. 511-82</w:t>
      </w:r>
      <w:r w:rsidR="00CC5EB8">
        <w:t xml:space="preserve"> et L. 511-83 </w:t>
      </w:r>
      <w:r w:rsidR="001F786C">
        <w:t xml:space="preserve">ou L. 533-30-5, L. 533-30-8 et L. 533-30-12 </w:t>
      </w:r>
      <w:r w:rsidR="00A03D91">
        <w:t>du Code monétaire et financier</w:t>
      </w:r>
      <w:r w:rsidR="00B276BE" w:rsidRPr="00B276BE">
        <w:t xml:space="preserve"> </w:t>
      </w:r>
      <w:r w:rsidR="00B276BE">
        <w:t xml:space="preserve">et paragraphes </w:t>
      </w:r>
      <w:r w:rsidR="00B276BE" w:rsidRPr="00FA522B">
        <w:t>22</w:t>
      </w:r>
      <w:r w:rsidR="00FA522B">
        <w:t>3</w:t>
      </w:r>
      <w:r w:rsidR="00B276BE">
        <w:t xml:space="preserve">, </w:t>
      </w:r>
      <w:r w:rsidR="00C80DDC">
        <w:t xml:space="preserve">239 </w:t>
      </w:r>
      <w:r w:rsidR="0071051B">
        <w:t xml:space="preserve">des Orientations </w:t>
      </w:r>
      <w:r w:rsidR="007B779D">
        <w:t>ABE</w:t>
      </w:r>
      <w:r w:rsidR="00DF21EF" w:rsidRPr="00DF21EF">
        <w:t xml:space="preserve"> </w:t>
      </w:r>
      <w:r w:rsidR="00DF21EF">
        <w:t xml:space="preserve">n°2021/04 ou paragraphes 217 et </w:t>
      </w:r>
      <w:r w:rsidR="00A23DB2">
        <w:t>234</w:t>
      </w:r>
      <w:r w:rsidR="00DF21EF">
        <w:t xml:space="preserve"> des Orientations ABE n°2021/13</w:t>
      </w:r>
      <w:r w:rsidR="00CD5F54">
        <w:t>)</w:t>
      </w:r>
      <w:r w:rsidR="00B276BE" w:rsidRPr="00B276BE">
        <w:t xml:space="preserve"> </w:t>
      </w:r>
      <w:r w:rsidR="00B276BE">
        <w:t xml:space="preserve">ainsi que l’impact de la politique de rémunération sur le capital et la liquidité (cf. paragraphes </w:t>
      </w:r>
      <w:r w:rsidR="00C80DDC">
        <w:t xml:space="preserve">123 </w:t>
      </w:r>
      <w:r w:rsidR="00B276BE">
        <w:t xml:space="preserve">et </w:t>
      </w:r>
      <w:r w:rsidR="00C80DDC">
        <w:t xml:space="preserve">125 </w:t>
      </w:r>
      <w:r w:rsidR="00B276BE">
        <w:t xml:space="preserve">des Orientations </w:t>
      </w:r>
      <w:r w:rsidR="007B779D">
        <w:t>ABE</w:t>
      </w:r>
      <w:r w:rsidR="00863E7C">
        <w:t xml:space="preserve"> n°2021/04 ou paragraphes 118 et 120 des Orientations ABE n°2021/13</w:t>
      </w:r>
      <w:r w:rsidR="00B276BE">
        <w:t>) </w:t>
      </w:r>
      <w:r w:rsidR="00480DCD">
        <w:t> ;</w:t>
      </w:r>
    </w:p>
    <w:p w14:paraId="0FC2B434" w14:textId="77777777" w:rsidR="00331B88" w:rsidRDefault="00480DCD" w:rsidP="004F3BB8">
      <w:pPr>
        <w:pStyle w:val="SGACP-enumerationniveau1"/>
        <w:ind w:left="284" w:hanging="284"/>
      </w:pPr>
      <w:r>
        <w:t>date de la communication à l’ACPR</w:t>
      </w:r>
      <w:r w:rsidR="00F56F68">
        <w:t>, ou à la BCE selon les cas,</w:t>
      </w:r>
      <w:r>
        <w:t xml:space="preserve"> du plafond de la part variable proposé à l’assemblée générale compétente </w:t>
      </w:r>
      <w:r w:rsidR="00B276BE">
        <w:t>(</w:t>
      </w:r>
      <w:r w:rsidR="00B276BE" w:rsidRPr="005B1D5E">
        <w:rPr>
          <w:i/>
        </w:rPr>
        <w:t>pour rappel, l’assemblée générale compétente pour les employés d’une filiale est celle de la filiale</w:t>
      </w:r>
      <w:r w:rsidR="00B276BE">
        <w:rPr>
          <w:i/>
        </w:rPr>
        <w:t xml:space="preserve"> et non pas celle de l’entreprise-mère</w:t>
      </w:r>
      <w:r w:rsidR="00B276BE">
        <w:t xml:space="preserve">) </w:t>
      </w:r>
      <w:r>
        <w:t>et liste des personnes concernées par le plafonnement de la part variable de la rémunération et justification des choix, en application de l’article L.511-78 du Code monétaire et financier</w:t>
      </w:r>
      <w:r w:rsidR="00B276BE" w:rsidRPr="00B276BE">
        <w:t xml:space="preserve"> </w:t>
      </w:r>
      <w:r w:rsidR="00B276BE">
        <w:t xml:space="preserve">et de la section 2.3 des Orientations </w:t>
      </w:r>
      <w:r w:rsidR="007B779D">
        <w:t>ABE</w:t>
      </w:r>
      <w:r w:rsidR="00B276BE">
        <w:t xml:space="preserve">, et mention de toute éventuelle réduction du plafond en application du paragraphe 43 des Orientations </w:t>
      </w:r>
      <w:r w:rsidR="007B779D">
        <w:t>ABE</w:t>
      </w:r>
      <w:r w:rsidR="00CD5F54">
        <w:t xml:space="preserve">. </w:t>
      </w:r>
    </w:p>
    <w:p w14:paraId="3B87F061" w14:textId="77777777" w:rsidR="00937489" w:rsidRDefault="00937489" w:rsidP="00463A1C">
      <w:bookmarkStart w:id="28" w:name="_Toc266799785"/>
    </w:p>
    <w:p w14:paraId="691D89A2" w14:textId="555E663D" w:rsidR="00E77850" w:rsidRDefault="00937489" w:rsidP="00935917">
      <w:pPr>
        <w:pStyle w:val="SGACP-sous-titrederubriqueniveau3"/>
        <w:jc w:val="left"/>
      </w:pPr>
      <w:r>
        <w:t>3.</w:t>
      </w:r>
      <w:r w:rsidR="00C832E3">
        <w:t>3</w:t>
      </w:r>
      <w:r>
        <w:t>.3</w:t>
      </w:r>
      <w:r w:rsidR="00710008">
        <w:t>.</w:t>
      </w:r>
      <w:r>
        <w:tab/>
      </w:r>
      <w:r w:rsidR="00463A1C" w:rsidRPr="007F2900">
        <w:t xml:space="preserve">Informations relatives aux rémunérations des </w:t>
      </w:r>
      <w:r w:rsidR="0003780F">
        <w:t>dirigeants effectifs</w:t>
      </w:r>
      <w:r w:rsidR="00463A1C" w:rsidRPr="007F2900">
        <w:t xml:space="preserve"> et des </w:t>
      </w:r>
      <w:r w:rsidR="00804561">
        <w:rPr>
          <w:szCs w:val="24"/>
        </w:rPr>
        <w:t xml:space="preserve">personnes </w:t>
      </w:r>
      <w:r w:rsidR="00404A3A">
        <w:rPr>
          <w:szCs w:val="24"/>
        </w:rPr>
        <w:t>dont les activités professionnelles ont une incidence significative sur le profil de risque de l</w:t>
      </w:r>
      <w:r w:rsidR="001224E7">
        <w:rPr>
          <w:szCs w:val="24"/>
        </w:rPr>
        <w:t>’</w:t>
      </w:r>
      <w:r w:rsidR="00404A3A">
        <w:rPr>
          <w:szCs w:val="24"/>
        </w:rPr>
        <w:t xml:space="preserve">entreprise </w:t>
      </w:r>
      <w:r w:rsidR="00404A3A">
        <w:t>(</w:t>
      </w:r>
      <w:r w:rsidR="00266335">
        <w:t xml:space="preserve">cf. </w:t>
      </w:r>
      <w:r w:rsidR="009E54C4">
        <w:t>article</w:t>
      </w:r>
      <w:r w:rsidR="005813F0">
        <w:t xml:space="preserve">s </w:t>
      </w:r>
      <w:r w:rsidR="009E54C4">
        <w:t>202</w:t>
      </w:r>
      <w:r w:rsidR="005813F0">
        <w:t xml:space="preserve"> </w:t>
      </w:r>
      <w:r w:rsidR="00410CA7">
        <w:t>ou, le cas échéant, 199</w:t>
      </w:r>
      <w:r w:rsidR="005813F0">
        <w:t>,</w:t>
      </w:r>
      <w:r w:rsidR="009E54C4">
        <w:t xml:space="preserve"> </w:t>
      </w:r>
      <w:r w:rsidR="00625CFE">
        <w:t>et au 5°) de l’article 266 de l’arrêté du 3 novembre 2014</w:t>
      </w:r>
      <w:r w:rsidR="00192F7C">
        <w:t xml:space="preserve"> modifié</w:t>
      </w:r>
      <w:r w:rsidR="00625CFE">
        <w:t xml:space="preserve">, ainsi qu’à l’article R.511-18 </w:t>
      </w:r>
      <w:r w:rsidR="002F7254" w:rsidRPr="002F7254">
        <w:t xml:space="preserve">ou R. 533-19 </w:t>
      </w:r>
      <w:r w:rsidR="00625CFE">
        <w:t>du Code monétaire et financier)</w:t>
      </w:r>
      <w:r w:rsidR="00707138">
        <w:t xml:space="preserve"> </w:t>
      </w:r>
      <w:r w:rsidR="00404A3A">
        <w:t>:</w:t>
      </w:r>
      <w:bookmarkEnd w:id="28"/>
    </w:p>
    <w:p w14:paraId="2D36083C" w14:textId="77777777" w:rsidR="00707138" w:rsidRDefault="00707138" w:rsidP="00E77850">
      <w:pPr>
        <w:pStyle w:val="SGACP-textecourant"/>
      </w:pPr>
    </w:p>
    <w:p w14:paraId="0CE6AD5B" w14:textId="77777777" w:rsidR="00E77850" w:rsidRDefault="00E77850" w:rsidP="00E77850">
      <w:pPr>
        <w:pStyle w:val="SGACP-textecourant"/>
      </w:pPr>
      <w:r>
        <w:t>Indiquer :</w:t>
      </w:r>
    </w:p>
    <w:p w14:paraId="08954172" w14:textId="77777777" w:rsidR="00331B88" w:rsidRDefault="00804561" w:rsidP="004F3BB8">
      <w:pPr>
        <w:pStyle w:val="SGACP-enumerationniveau1"/>
        <w:ind w:left="284" w:hanging="284"/>
      </w:pPr>
      <w:r>
        <w:t>les catégories de personnels concernés</w:t>
      </w:r>
      <w:r w:rsidR="00292843">
        <w:t> ;</w:t>
      </w:r>
    </w:p>
    <w:p w14:paraId="60FC6D88" w14:textId="77777777" w:rsidR="00331B88" w:rsidRDefault="00463A1C" w:rsidP="004F3BB8">
      <w:pPr>
        <w:pStyle w:val="SGACP-enumerationniveau1"/>
        <w:ind w:left="284" w:hanging="284"/>
      </w:pPr>
      <w:r w:rsidRPr="007F2900">
        <w:t>les montants globaux des rémunérations correspondant à l</w:t>
      </w:r>
      <w:r w:rsidR="001224E7">
        <w:t>’</w:t>
      </w:r>
      <w:r w:rsidRPr="007F2900">
        <w:t>exercice, répartis entre part fixe et part variable</w:t>
      </w:r>
      <w:r w:rsidR="00743C3A">
        <w:t>, et le nombre de bénéficiaires</w:t>
      </w:r>
      <w:r w:rsidR="00804561">
        <w:t>,</w:t>
      </w:r>
      <w:r w:rsidR="00804561" w:rsidRPr="00804561">
        <w:t xml:space="preserve"> </w:t>
      </w:r>
      <w:r w:rsidR="00804561">
        <w:t>indiquer également ces informations par domaine d</w:t>
      </w:r>
      <w:r w:rsidR="001224E7">
        <w:t>’</w:t>
      </w:r>
      <w:r w:rsidR="00804561">
        <w:t>activités</w:t>
      </w:r>
      <w:r w:rsidR="00743C3A">
        <w:t> ;</w:t>
      </w:r>
    </w:p>
    <w:p w14:paraId="4F02E04F" w14:textId="4928CC00" w:rsidR="00331B88" w:rsidRPr="005813F0" w:rsidRDefault="00463A1C" w:rsidP="005813F0">
      <w:pPr>
        <w:pStyle w:val="SGACP-enumerationniveau1"/>
        <w:ind w:left="284" w:hanging="284"/>
      </w:pPr>
      <w:r w:rsidRPr="007F2900">
        <w:t xml:space="preserve">les montants globaux et forme des rémunérations variables, répartis entre paiements en espèces, en actions et </w:t>
      </w:r>
      <w:r w:rsidR="00821A23">
        <w:t>droits de propriété équivalents</w:t>
      </w:r>
      <w:r w:rsidRPr="007F2900">
        <w:t xml:space="preserve">, et autres </w:t>
      </w:r>
      <w:r w:rsidR="003B7539">
        <w:t>instruments</w:t>
      </w:r>
      <w:r w:rsidR="005813F0" w:rsidRPr="005813F0">
        <w:t xml:space="preserve"> mentionnés aux articles 52 ou 63 du règlement (UE) n° 575/2013 du Parlement européen et </w:t>
      </w:r>
      <w:r w:rsidR="00AC73A6">
        <w:t xml:space="preserve">du Conseil du 26 juin 2013 ou </w:t>
      </w:r>
      <w:r w:rsidR="005813F0" w:rsidRPr="005813F0">
        <w:t>autres instruments susceptibles d'être totalement convertis en instruments de fonds propres de base ou amortis</w:t>
      </w:r>
      <w:r w:rsidR="003B7539">
        <w:t xml:space="preserve"> </w:t>
      </w:r>
      <w:r w:rsidRPr="00937489">
        <w:rPr>
          <w:i/>
        </w:rPr>
        <w:t>(indiquer la période d</w:t>
      </w:r>
      <w:r w:rsidR="001224E7">
        <w:rPr>
          <w:i/>
        </w:rPr>
        <w:t>’</w:t>
      </w:r>
      <w:r w:rsidRPr="00937489">
        <w:rPr>
          <w:i/>
        </w:rPr>
        <w:t>acquisition ou de durée de détention minimale des titres</w:t>
      </w:r>
      <w:r w:rsidRPr="005813F0">
        <w:t>)</w:t>
      </w:r>
      <w:r w:rsidR="004A6527">
        <w:t xml:space="preserve"> </w:t>
      </w:r>
      <w:r w:rsidR="00C8170B" w:rsidRPr="005813F0">
        <w:t>(cf. art</w:t>
      </w:r>
      <w:r w:rsidR="00B165B5" w:rsidRPr="005813F0">
        <w:t xml:space="preserve">icles L. 511-81, </w:t>
      </w:r>
      <w:r w:rsidR="000D6889">
        <w:t>L. 533-30-11</w:t>
      </w:r>
      <w:r w:rsidR="00785726">
        <w:t>,</w:t>
      </w:r>
      <w:r w:rsidR="000D6889">
        <w:t xml:space="preserve"> </w:t>
      </w:r>
      <w:r w:rsidR="00B165B5" w:rsidRPr="005813F0">
        <w:t xml:space="preserve">R.511-22 et </w:t>
      </w:r>
      <w:r w:rsidR="00C8170B" w:rsidRPr="005813F0">
        <w:t>R. 511-23</w:t>
      </w:r>
      <w:r w:rsidR="00197F2E">
        <w:t>, R. 533-21 et R. 533-21-2</w:t>
      </w:r>
      <w:r w:rsidR="00C8170B" w:rsidRPr="005813F0">
        <w:t xml:space="preserve"> du Code monétaire et financier</w:t>
      </w:r>
      <w:r w:rsidR="003B7539" w:rsidRPr="005813F0">
        <w:t>)</w:t>
      </w:r>
      <w:r w:rsidR="00743C3A" w:rsidRPr="005813F0">
        <w:t> ;</w:t>
      </w:r>
    </w:p>
    <w:p w14:paraId="3C6411BD" w14:textId="1C48B805" w:rsidR="00331B88" w:rsidRDefault="00463A1C" w:rsidP="004F3BB8">
      <w:pPr>
        <w:pStyle w:val="SGACP-enumerationniveau1"/>
        <w:ind w:left="284" w:hanging="284"/>
      </w:pPr>
      <w:r w:rsidRPr="007F2900">
        <w:t>les montants globaux des rémunérations différées, réparties entre rémunérations acquises et non acquises</w:t>
      </w:r>
      <w:r w:rsidR="00E90797">
        <w:t xml:space="preserve"> </w:t>
      </w:r>
      <w:r w:rsidR="00B165B5">
        <w:t xml:space="preserve">(cf. article R.511-18 </w:t>
      </w:r>
      <w:r w:rsidR="002F7254">
        <w:t xml:space="preserve">ou R. 533-19 </w:t>
      </w:r>
      <w:r w:rsidR="00B165B5">
        <w:t>du Code monétaire et financier) </w:t>
      </w:r>
      <w:r w:rsidR="00743C3A">
        <w:t>;</w:t>
      </w:r>
    </w:p>
    <w:p w14:paraId="66094DBC" w14:textId="1E4CC9F4" w:rsidR="00331B88" w:rsidRDefault="00463A1C" w:rsidP="004F3BB8">
      <w:pPr>
        <w:pStyle w:val="SGACP-enumerationniveau1"/>
        <w:ind w:left="284" w:hanging="284"/>
      </w:pPr>
      <w:r w:rsidRPr="007F2900">
        <w:t>les montants globaux des rémunérations différées attribués au cours de l</w:t>
      </w:r>
      <w:r w:rsidR="001224E7">
        <w:t>’</w:t>
      </w:r>
      <w:r w:rsidRPr="007F2900">
        <w:t>exercice, versés ou réduits, après ajustements en fonction des résultats</w:t>
      </w:r>
      <w:r w:rsidR="00743C3A">
        <w:t> </w:t>
      </w:r>
      <w:r w:rsidR="00B165B5">
        <w:t xml:space="preserve">(cf. article R.511-18 </w:t>
      </w:r>
      <w:r w:rsidR="002F7254">
        <w:t xml:space="preserve">ou R. 533-19 </w:t>
      </w:r>
      <w:r w:rsidR="00B165B5">
        <w:t>du Code monétaire et financier) </w:t>
      </w:r>
      <w:r w:rsidR="00743C3A">
        <w:t>;</w:t>
      </w:r>
    </w:p>
    <w:p w14:paraId="0DF8097B" w14:textId="16ADF875" w:rsidR="00331B88" w:rsidRDefault="00463A1C" w:rsidP="004F3BB8">
      <w:pPr>
        <w:pStyle w:val="SGACP-enumerationniveau1"/>
        <w:ind w:left="284" w:hanging="284"/>
      </w:pPr>
      <w:r w:rsidRPr="007F2900">
        <w:t>les paiements au titre de nouvelles embauches ou indemnités de licenciement et le nombre de bénéficiaires</w:t>
      </w:r>
      <w:r w:rsidR="00743C3A">
        <w:t> </w:t>
      </w:r>
      <w:r w:rsidR="00B165B5">
        <w:t xml:space="preserve">(cf. article R.511-18 </w:t>
      </w:r>
      <w:r w:rsidR="00AC4100">
        <w:t xml:space="preserve">ou R. 533-19 </w:t>
      </w:r>
      <w:r w:rsidR="00B165B5">
        <w:t>du Code monétaire et financier) </w:t>
      </w:r>
      <w:r w:rsidR="00743C3A">
        <w:t>;</w:t>
      </w:r>
    </w:p>
    <w:p w14:paraId="7F906189" w14:textId="519F7EF8" w:rsidR="007D3EEC" w:rsidRDefault="00463A1C" w:rsidP="004F3BB8">
      <w:pPr>
        <w:pStyle w:val="SGACP-enumerationniveau1"/>
        <w:ind w:left="284" w:hanging="284"/>
      </w:pPr>
      <w:r w:rsidRPr="007F2900">
        <w:t>les garanties d</w:t>
      </w:r>
      <w:r w:rsidR="001224E7">
        <w:t>’</w:t>
      </w:r>
      <w:r w:rsidRPr="007F2900">
        <w:t>indemnités de licenciement accordées au cours de l</w:t>
      </w:r>
      <w:r w:rsidR="001224E7">
        <w:t>’</w:t>
      </w:r>
      <w:r w:rsidRPr="007F2900">
        <w:t>exercice, le nombre de bénéficiaires et la somme la plus élevée accordée à ce titre à un seul bénéficiaire</w:t>
      </w:r>
      <w:r w:rsidR="00B165B5">
        <w:t xml:space="preserve"> (cf. article R.511-18 </w:t>
      </w:r>
      <w:r w:rsidR="00AC4100">
        <w:t xml:space="preserve">ou R. 533-19 </w:t>
      </w:r>
      <w:r w:rsidR="00B165B5">
        <w:t>du Code monétaire et financier)</w:t>
      </w:r>
      <w:r w:rsidR="007D3EEC">
        <w:t> ;</w:t>
      </w:r>
    </w:p>
    <w:p w14:paraId="60FACB44" w14:textId="58C534F4" w:rsidR="00331B88" w:rsidRDefault="007D3EEC" w:rsidP="004F3BB8">
      <w:pPr>
        <w:pStyle w:val="SGACP-enumerationniveau1"/>
        <w:ind w:left="284" w:hanging="284"/>
      </w:pPr>
      <w:r>
        <w:t xml:space="preserve">les </w:t>
      </w:r>
      <w:r w:rsidR="00286F75">
        <w:t>méthodes employées pour les</w:t>
      </w:r>
      <w:r>
        <w:t xml:space="preserve"> calculs d’actualisation</w:t>
      </w:r>
      <w:r w:rsidR="00286F75">
        <w:t xml:space="preserve"> (cf. articles 203 à 210 de l’arrêté du 3 novembre 2014</w:t>
      </w:r>
      <w:r w:rsidR="006653E9">
        <w:t xml:space="preserve"> modifié</w:t>
      </w:r>
      <w:r w:rsidR="00286F75">
        <w:t>)</w:t>
      </w:r>
      <w:r w:rsidR="00D82F7B">
        <w:t> ;</w:t>
      </w:r>
    </w:p>
    <w:p w14:paraId="1054CB58" w14:textId="5EB6C15E" w:rsidR="002A10D4" w:rsidRDefault="002A10D4" w:rsidP="003463F8">
      <w:pPr>
        <w:pStyle w:val="SGACP-enumerationniveau1"/>
        <w:ind w:left="284" w:hanging="284"/>
      </w:pPr>
      <w:r>
        <w:t xml:space="preserve">la rémunération totale de chaque dirigeant effectif ainsi que celle du responsable de la fonction de gestion des risques et, le cas échéant, du responsable </w:t>
      </w:r>
      <w:r w:rsidR="003463F8" w:rsidRPr="003463F8">
        <w:t xml:space="preserve">de la fonction de vérification </w:t>
      </w:r>
      <w:r>
        <w:t>de la conformité (cf. article 266 de l’arrêté du 3 novembre 2014</w:t>
      </w:r>
      <w:r w:rsidR="006653E9">
        <w:t xml:space="preserve"> modifié</w:t>
      </w:r>
      <w:r>
        <w:t>)</w:t>
      </w:r>
      <w:r w:rsidR="00D82F7B">
        <w:t>.</w:t>
      </w:r>
    </w:p>
    <w:p w14:paraId="2009A811" w14:textId="77777777" w:rsidR="004A229A" w:rsidRDefault="004A229A" w:rsidP="004A229A">
      <w:pPr>
        <w:pStyle w:val="SGACP-enumerationniveau1"/>
        <w:numPr>
          <w:ilvl w:val="0"/>
          <w:numId w:val="0"/>
        </w:numPr>
        <w:spacing w:before="0"/>
        <w:ind w:left="425"/>
      </w:pPr>
    </w:p>
    <w:p w14:paraId="2D815763" w14:textId="77777777" w:rsidR="00463A1C" w:rsidRPr="007F2900" w:rsidRDefault="00937489" w:rsidP="00937489">
      <w:pPr>
        <w:pStyle w:val="SGACP-sous-titrederubriqueniveau3"/>
      </w:pPr>
      <w:bookmarkStart w:id="29" w:name="_Toc266799786"/>
      <w:r>
        <w:t>3.</w:t>
      </w:r>
      <w:r w:rsidR="00C832E3">
        <w:t>3</w:t>
      </w:r>
      <w:r>
        <w:t>.4</w:t>
      </w:r>
      <w:r w:rsidR="00710008">
        <w:t>.</w:t>
      </w:r>
      <w:r>
        <w:tab/>
      </w:r>
      <w:r w:rsidR="00463A1C" w:rsidRPr="007F2900">
        <w:t>Transparence et contrôle de la politique de rémunération</w:t>
      </w:r>
      <w:bookmarkEnd w:id="29"/>
      <w:r w:rsidR="00743C3A">
        <w:t> :</w:t>
      </w:r>
    </w:p>
    <w:p w14:paraId="5602482E" w14:textId="26188AA2" w:rsidR="00331B88" w:rsidRPr="00156279" w:rsidRDefault="00743C3A" w:rsidP="006D1AEB">
      <w:pPr>
        <w:pStyle w:val="SGACP-enumerationniveau1"/>
        <w:ind w:left="284" w:hanging="284"/>
      </w:pPr>
      <w:r>
        <w:t>m</w:t>
      </w:r>
      <w:r w:rsidR="00463A1C" w:rsidRPr="007F2900">
        <w:t>odalités de vérification de l</w:t>
      </w:r>
      <w:r w:rsidR="001224E7">
        <w:t>’</w:t>
      </w:r>
      <w:r w:rsidR="00463A1C" w:rsidRPr="007F2900">
        <w:t>adéquation entre la politique de rémunération et les objectifs de maîtrise des risques</w:t>
      </w:r>
      <w:r w:rsidR="00386970">
        <w:t>, notamment compte tenu de la taille et de l’importance systémique de l’établissement ainsi que de la nature, l’échelle et de la complexité de ses activités</w:t>
      </w:r>
      <w:r w:rsidR="009256B0">
        <w:t>, en tenant compte</w:t>
      </w:r>
      <w:r w:rsidR="00386970">
        <w:t xml:space="preserve"> du principe de proportionnalité </w:t>
      </w:r>
      <w:r w:rsidR="00386970" w:rsidRPr="00156279">
        <w:t>(cf. article</w:t>
      </w:r>
      <w:r w:rsidR="00C705AE" w:rsidRPr="00C705AE">
        <w:t xml:space="preserve"> </w:t>
      </w:r>
      <w:r w:rsidR="00C705AE">
        <w:t>4</w:t>
      </w:r>
      <w:r w:rsidR="00C872FF" w:rsidRPr="005813F0">
        <w:t xml:space="preserve"> de l’arrêté du 3 novembre 2014</w:t>
      </w:r>
      <w:r w:rsidR="006653E9">
        <w:t xml:space="preserve"> modifié</w:t>
      </w:r>
      <w:r w:rsidR="00386970" w:rsidRPr="005813F0">
        <w:t>)</w:t>
      </w:r>
      <w:r w:rsidRPr="00156279">
        <w:t> ;</w:t>
      </w:r>
    </w:p>
    <w:p w14:paraId="3097F709" w14:textId="0BE54F7D" w:rsidR="00331B88" w:rsidRDefault="00743C3A" w:rsidP="006D1AEB">
      <w:pPr>
        <w:pStyle w:val="SGACP-enumerationniveau1"/>
        <w:ind w:left="284" w:hanging="284"/>
      </w:pPr>
      <w:r>
        <w:t>m</w:t>
      </w:r>
      <w:r w:rsidR="00463A1C" w:rsidRPr="007F2900">
        <w:t>odalités de publication des informations relatives à la politique et aux pratiques de rémunération</w:t>
      </w:r>
      <w:r w:rsidR="00FA1F77">
        <w:t xml:space="preserve"> prévues par l’article 450 du règlement 575/2013 du Parlement européen et du Conseil du 26 juin 2013</w:t>
      </w:r>
      <w:r w:rsidR="00C705AE">
        <w:t xml:space="preserve"> (cf. article 268 de l’arrêté du 3 novembre 2014</w:t>
      </w:r>
      <w:r w:rsidR="002A10D4">
        <w:t xml:space="preserve"> </w:t>
      </w:r>
      <w:r w:rsidR="006653E9">
        <w:t xml:space="preserve">modifié </w:t>
      </w:r>
      <w:r w:rsidR="002A10D4">
        <w:t xml:space="preserve">et </w:t>
      </w:r>
      <w:r w:rsidR="002A10D4" w:rsidRPr="00975E06">
        <w:t xml:space="preserve">partie </w:t>
      </w:r>
      <w:r w:rsidR="005B28BF">
        <w:t>20</w:t>
      </w:r>
      <w:r w:rsidR="002A10D4">
        <w:t xml:space="preserve"> des Orientations de </w:t>
      </w:r>
      <w:r w:rsidR="007B779D">
        <w:t>l’ABE</w:t>
      </w:r>
      <w:r w:rsidR="00975E06">
        <w:t xml:space="preserve"> n°2021/04</w:t>
      </w:r>
      <w:r w:rsidR="00C705AE">
        <w:t>)</w:t>
      </w:r>
      <w:r>
        <w:t>.</w:t>
      </w:r>
    </w:p>
    <w:p w14:paraId="2A07D6A7" w14:textId="122F45A2" w:rsidR="00AC4100" w:rsidRDefault="00AC4100" w:rsidP="00FA522B">
      <w:pPr>
        <w:pStyle w:val="SGACP-enumerationniveau1"/>
        <w:ind w:left="284" w:hanging="284"/>
      </w:pPr>
      <w:r>
        <w:t>m</w:t>
      </w:r>
      <w:r w:rsidRPr="007F2900">
        <w:t>odalités de publication des informations relatives à la politique et aux pratiques de rémunération</w:t>
      </w:r>
      <w:r>
        <w:t xml:space="preserve"> prévues par l’article 51 du règlement 2019/2033 du Parlement européen et du Conseil du 27 novembre 2019 (cf. </w:t>
      </w:r>
      <w:r w:rsidR="00975E06">
        <w:t xml:space="preserve">partie 20 </w:t>
      </w:r>
      <w:r>
        <w:t>des Orientations de l’ABE</w:t>
      </w:r>
      <w:r w:rsidR="00975E06">
        <w:t xml:space="preserve"> n°2021/13</w:t>
      </w:r>
      <w:r>
        <w:t>).</w:t>
      </w:r>
    </w:p>
    <w:p w14:paraId="50ECE471" w14:textId="77777777" w:rsidR="0084636D" w:rsidRDefault="0084636D" w:rsidP="00463A1C">
      <w:bookmarkStart w:id="30" w:name="_Toc266799787"/>
      <w:bookmarkStart w:id="31" w:name="_Toc266799856"/>
    </w:p>
    <w:p w14:paraId="2B04AA87" w14:textId="77777777" w:rsidR="0084636D" w:rsidRPr="00440703" w:rsidRDefault="0084636D" w:rsidP="00463A1C"/>
    <w:p w14:paraId="6D0ED0F6" w14:textId="42EA7C59" w:rsidR="004A229A" w:rsidRPr="00290219" w:rsidRDefault="005B2FBD" w:rsidP="004A229A">
      <w:pPr>
        <w:pStyle w:val="StyleSGACP-titrederubriqueniveau1CouleurpersonnaliseRVB"/>
        <w:ind w:left="426" w:hanging="426"/>
        <w:rPr>
          <w:bCs w:val="0"/>
        </w:rPr>
      </w:pPr>
      <w:bookmarkStart w:id="32" w:name="_Toc106958064"/>
      <w:r w:rsidRPr="005B2FBD">
        <w:t>Résultats des contrôles périodiques effectués au cours de l</w:t>
      </w:r>
      <w:r w:rsidR="001224E7">
        <w:t>’</w:t>
      </w:r>
      <w:r w:rsidRPr="005B2FBD">
        <w:t xml:space="preserve">exercice écoulé </w:t>
      </w:r>
      <w:r w:rsidR="00A264FD">
        <w:t xml:space="preserve">(cf. article </w:t>
      </w:r>
      <w:r w:rsidR="00E51556">
        <w:t xml:space="preserve">12 </w:t>
      </w:r>
      <w:r w:rsidR="00A264FD">
        <w:t>de l’arrêté du 3 novembre 2014</w:t>
      </w:r>
      <w:r w:rsidR="006653E9">
        <w:t xml:space="preserve"> modifié</w:t>
      </w:r>
      <w:r w:rsidR="00A264FD">
        <w:t>)</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30"/>
      <w:bookmarkEnd w:id="31"/>
      <w:bookmarkEnd w:id="32"/>
    </w:p>
    <w:p w14:paraId="6C7357FD" w14:textId="77777777" w:rsidR="00821A23" w:rsidRPr="005813F0" w:rsidRDefault="00821A23" w:rsidP="005813F0">
      <w:pPr>
        <w:pStyle w:val="StyleSGACP-titrederubriqueniveau1CouleurpersonnaliseRVB"/>
        <w:numPr>
          <w:ilvl w:val="0"/>
          <w:numId w:val="0"/>
        </w:numPr>
        <w:ind w:left="360" w:hanging="360"/>
        <w:rPr>
          <w:bCs w:val="0"/>
          <w:sz w:val="22"/>
          <w:szCs w:val="22"/>
        </w:rPr>
      </w:pPr>
    </w:p>
    <w:p w14:paraId="20037109" w14:textId="49902B67" w:rsidR="00331B88" w:rsidRDefault="00700F94" w:rsidP="004F3BB8">
      <w:pPr>
        <w:pStyle w:val="SGACP-enumerationniveau1"/>
        <w:ind w:left="284" w:hanging="284"/>
      </w:pPr>
      <w:r>
        <w:t>p</w:t>
      </w:r>
      <w:r w:rsidR="00291E2F">
        <w:t>rogramme</w:t>
      </w:r>
      <w:r>
        <w:t xml:space="preserve"> des missions (</w:t>
      </w:r>
      <w:r w:rsidR="00743C3A">
        <w:t>r</w:t>
      </w:r>
      <w:r w:rsidR="00463A1C" w:rsidRPr="007F2900">
        <w:t>isques et/ou entités ayant fait l</w:t>
      </w:r>
      <w:r w:rsidR="001224E7">
        <w:t>’</w:t>
      </w:r>
      <w:r w:rsidR="00463A1C" w:rsidRPr="007F2900">
        <w:t>objet d</w:t>
      </w:r>
      <w:r w:rsidR="001224E7">
        <w:t>’</w:t>
      </w:r>
      <w:r w:rsidR="00463A1C" w:rsidRPr="007F2900">
        <w:t>une vérification d</w:t>
      </w:r>
      <w:r w:rsidR="00291E2F">
        <w:t>e la fonction d’audit interne</w:t>
      </w:r>
      <w:r w:rsidR="00743C3A">
        <w:t xml:space="preserve"> au cours de l</w:t>
      </w:r>
      <w:r w:rsidR="001224E7">
        <w:t>’</w:t>
      </w:r>
      <w:r w:rsidR="00743C3A">
        <w:t>exercice écoulé</w:t>
      </w:r>
      <w:r>
        <w:t xml:space="preserve">), état d’achèvement et </w:t>
      </w:r>
      <w:r w:rsidR="008C04C9">
        <w:t>ressources allouées en jour-homme, si recours à un prestataire externe : fréquence d’intervention et dimension de l’équipe</w:t>
      </w:r>
      <w:r>
        <w:t> </w:t>
      </w:r>
      <w:r w:rsidR="00743C3A">
        <w:t>;</w:t>
      </w:r>
    </w:p>
    <w:p w14:paraId="3F141DF1" w14:textId="77777777" w:rsidR="00331B88" w:rsidRDefault="00743C3A" w:rsidP="004F3BB8">
      <w:pPr>
        <w:pStyle w:val="SGACP-enumerationniveau1"/>
        <w:ind w:left="284" w:hanging="284"/>
      </w:pPr>
      <w:r>
        <w:t>p</w:t>
      </w:r>
      <w:r w:rsidR="00463A1C" w:rsidRPr="007F2900">
        <w:t>rincipales insuffisances relevées</w:t>
      </w:r>
      <w:r>
        <w:t> ;</w:t>
      </w:r>
    </w:p>
    <w:p w14:paraId="01CD7ED2" w14:textId="77777777"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14:paraId="4386F0B7" w14:textId="77777777"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14:paraId="2ACD7FB1" w14:textId="2639C8E2" w:rsidR="00331B88" w:rsidRDefault="00743C3A" w:rsidP="004F3BB8">
      <w:pPr>
        <w:pStyle w:val="SGACP-enumerationniveau1"/>
        <w:ind w:left="284" w:hanging="284"/>
      </w:pPr>
      <w:r>
        <w:t>e</w:t>
      </w:r>
      <w:r w:rsidR="00463A1C" w:rsidRPr="007F2900">
        <w:t>nquêtes réalisées par l</w:t>
      </w:r>
      <w:r w:rsidR="00F648D0">
        <w:t>a fonction d’audit interne</w:t>
      </w:r>
      <w:r w:rsidR="00463A1C" w:rsidRPr="007F2900">
        <w:t xml:space="preserve"> de la maison-mère, des organismes extérieurs (cabinets extérieurs, etc.), résumé des principales conclusions et précisions sur les décisions prises pour pallier les éventuelles insuffisances relevées</w:t>
      </w:r>
      <w:r w:rsidR="00CC750C">
        <w:t>.</w:t>
      </w:r>
    </w:p>
    <w:p w14:paraId="28A8604D" w14:textId="77777777" w:rsidR="00BB6AE4" w:rsidRDefault="00BB6AE4" w:rsidP="00463A1C">
      <w:bookmarkStart w:id="33" w:name="_Toc263679147"/>
      <w:bookmarkStart w:id="34" w:name="_Toc266799788"/>
      <w:bookmarkStart w:id="35" w:name="_Toc266799857"/>
      <w:bookmarkEnd w:id="33"/>
    </w:p>
    <w:p w14:paraId="5E8329E3" w14:textId="15E54D50" w:rsidR="00D30821" w:rsidRDefault="00D30821" w:rsidP="00463A1C">
      <w:r>
        <w:br w:type="page"/>
      </w:r>
    </w:p>
    <w:p w14:paraId="68EAC0FB" w14:textId="552A193E" w:rsidR="004A229A" w:rsidRDefault="00463A1C" w:rsidP="004A229A">
      <w:pPr>
        <w:pStyle w:val="StyleSGACP-titrederubriqueniveau1CouleurpersonnaliseRVB"/>
        <w:ind w:left="426" w:hanging="426"/>
        <w:rPr>
          <w:bCs w:val="0"/>
        </w:rPr>
      </w:pPr>
      <w:bookmarkStart w:id="36" w:name="_Toc106958065"/>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 xml:space="preserve">(cf. articles 113 et 259 g) </w:t>
        </w:r>
        <w:r w:rsidR="00FA522B">
          <w:t xml:space="preserve">ou 259 bis e) </w:t>
        </w:r>
        <w:r w:rsidR="00513AFD">
          <w:t>de l’arrêté du 3 novembre 2014</w:t>
        </w:r>
        <w:r w:rsidR="006653E9">
          <w:t xml:space="preserve"> modifié</w:t>
        </w:r>
        <w:r w:rsidR="00513AFD">
          <w:t>)</w:t>
        </w:r>
        <w:bookmarkEnd w:id="36"/>
        <w:r w:rsidR="0071777E">
          <w:br/>
        </w:r>
        <w:bookmarkEnd w:id="34"/>
        <w:bookmarkEnd w:id="35"/>
      </w:hyperlink>
    </w:p>
    <w:p w14:paraId="10FA3D05" w14:textId="77777777" w:rsidR="00463A1C" w:rsidRPr="0071777E" w:rsidRDefault="00426D2E" w:rsidP="00463A1C">
      <w:pPr>
        <w:rPr>
          <w:sz w:val="22"/>
          <w:szCs w:val="22"/>
        </w:rPr>
      </w:pPr>
      <w:r>
        <w:rPr>
          <w:sz w:val="22"/>
          <w:szCs w:val="22"/>
        </w:rPr>
        <w:t>J</w:t>
      </w:r>
      <w:r w:rsidR="005B2FBD" w:rsidRPr="005B2FBD">
        <w:rPr>
          <w:sz w:val="22"/>
          <w:szCs w:val="22"/>
        </w:rPr>
        <w:t>oindre une annexe comprenant :</w:t>
      </w:r>
    </w:p>
    <w:p w14:paraId="6B03A881" w14:textId="77777777"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14:paraId="066445D7" w14:textId="77777777"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14:paraId="4FD80F03" w14:textId="77777777" w:rsidR="00E94236" w:rsidRDefault="00E94236" w:rsidP="00460E3D">
      <w:pPr>
        <w:pStyle w:val="SGACP-enumerationniveau1"/>
        <w:numPr>
          <w:ilvl w:val="0"/>
          <w:numId w:val="0"/>
        </w:numPr>
        <w:spacing w:before="0"/>
      </w:pPr>
    </w:p>
    <w:p w14:paraId="2EC4D1FD" w14:textId="77777777" w:rsidR="007877BE" w:rsidRDefault="007877BE" w:rsidP="00460E3D">
      <w:pPr>
        <w:pStyle w:val="SGACP-enumerationniveau1"/>
        <w:numPr>
          <w:ilvl w:val="0"/>
          <w:numId w:val="0"/>
        </w:numPr>
        <w:spacing w:before="0"/>
      </w:pPr>
    </w:p>
    <w:p w14:paraId="4FB89FF7" w14:textId="77777777" w:rsidR="00BB6AE4" w:rsidRDefault="00391450" w:rsidP="005813F0">
      <w:pPr>
        <w:pStyle w:val="StyleSGACP-titrederubriqueniveau1CouleurpersonnaliseRVB"/>
        <w:ind w:left="426" w:hanging="426"/>
      </w:pPr>
      <w:bookmarkStart w:id="37" w:name="_Toc482264804"/>
      <w:bookmarkStart w:id="38" w:name="_Toc483379352"/>
      <w:bookmarkStart w:id="39" w:name="_Toc482264805"/>
      <w:bookmarkStart w:id="40" w:name="_Toc483379353"/>
      <w:bookmarkStart w:id="41" w:name="_Toc106958066"/>
      <w:bookmarkEnd w:id="37"/>
      <w:bookmarkEnd w:id="38"/>
      <w:bookmarkEnd w:id="39"/>
      <w:bookmarkEnd w:id="40"/>
      <w:r>
        <w:t>Processus d’évaluation de l’adéquation du capital interne</w:t>
      </w:r>
      <w:bookmarkEnd w:id="41"/>
    </w:p>
    <w:p w14:paraId="78DDA463" w14:textId="77777777" w:rsidR="00244B74" w:rsidRDefault="00244B74" w:rsidP="005813F0">
      <w:pPr>
        <w:pStyle w:val="StyleSGACP-titrederubriqueniveau1CouleurpersonnaliseRVB"/>
        <w:numPr>
          <w:ilvl w:val="0"/>
          <w:numId w:val="0"/>
        </w:numPr>
      </w:pPr>
    </w:p>
    <w:p w14:paraId="69F86C1D" w14:textId="77777777" w:rsidR="00463A1C" w:rsidRDefault="00463A1C" w:rsidP="00A509C0">
      <w:pPr>
        <w:pStyle w:val="SGACP-textecourant"/>
        <w:rPr>
          <w:i/>
        </w:rPr>
      </w:pPr>
      <w:r w:rsidRPr="00743C3A">
        <w:rPr>
          <w:i/>
        </w:rPr>
        <w:t>Ce dispositif n</w:t>
      </w:r>
      <w:r w:rsidR="001224E7">
        <w:rPr>
          <w:i/>
        </w:rPr>
        <w:t>’</w:t>
      </w:r>
      <w:r w:rsidRPr="00743C3A">
        <w:rPr>
          <w:i/>
        </w:rPr>
        <w:t xml:space="preserve">est pas obligatoire pour les établissements inclus dans une consolidation et qui sont exonérés </w:t>
      </w:r>
      <w:r w:rsidRPr="00111D78">
        <w:rPr>
          <w:i/>
        </w:rPr>
        <w:t>de l</w:t>
      </w:r>
      <w:r w:rsidR="001224E7">
        <w:rPr>
          <w:i/>
        </w:rPr>
        <w:t>’</w:t>
      </w:r>
      <w:r w:rsidRPr="00111D78">
        <w:rPr>
          <w:i/>
        </w:rPr>
        <w:t>assujettissement aux ratios de gestion sur base sociale ou sous consolidée</w:t>
      </w:r>
      <w:r w:rsidR="00742B49">
        <w:rPr>
          <w:i/>
        </w:rPr>
        <w:t>.</w:t>
      </w:r>
    </w:p>
    <w:p w14:paraId="7A588201" w14:textId="77777777" w:rsidR="00BD4E69" w:rsidRDefault="00BD4E69" w:rsidP="00A509C0">
      <w:pPr>
        <w:pStyle w:val="SGACP-textecourant"/>
        <w:rPr>
          <w:i/>
        </w:rPr>
      </w:pPr>
    </w:p>
    <w:p w14:paraId="295C789A" w14:textId="77777777" w:rsidR="00B84C1D" w:rsidRDefault="00B84C1D" w:rsidP="004A229A">
      <w:pPr>
        <w:pStyle w:val="SGACP-enumerationniveau1"/>
        <w:ind w:left="284" w:hanging="284"/>
      </w:pPr>
      <w:r>
        <w:t>description du périmètre des activités pertinentes pour l’étude de l’adéquation du capital interne, et de l’approche utilisée pour déterminer la matérialité des risques ;</w:t>
      </w:r>
    </w:p>
    <w:p w14:paraId="5B8B75C0" w14:textId="77777777" w:rsidR="00B84C1D" w:rsidRDefault="00B84C1D" w:rsidP="007877BE">
      <w:pPr>
        <w:pStyle w:val="SGACP-enumerationniveau1"/>
        <w:ind w:left="284" w:hanging="284"/>
      </w:pPr>
      <w:r>
        <w:t>description des méthodologies employées pour la mesure, l’évaluation et l’agrégation des risques pour quantifier le capital interne (horizons d’analyse, approche par la valeur économique, description des modèles et paramètres de calcul…)</w:t>
      </w:r>
      <w:r w:rsidR="00C86CE7">
        <w:t>. Cette description doit inclure des explications concernant les limites ou faiblesses de la méthodologie de calcul employée</w:t>
      </w:r>
      <w:r w:rsidR="00902A14">
        <w:t>,</w:t>
      </w:r>
      <w:r w:rsidR="00C86CE7">
        <w:t xml:space="preserve"> ainsi que la façon dont ces éléments </w:t>
      </w:r>
      <w:r w:rsidR="003A51C1">
        <w:t>s</w:t>
      </w:r>
      <w:r w:rsidR="00C86CE7">
        <w:t>ont gérés, voire corrigés dans l’étude d’adéquation du capital interne</w:t>
      </w:r>
      <w:r w:rsidR="00D82F7B">
        <w:t xml:space="preserve"> </w:t>
      </w:r>
      <w:r>
        <w:t>;</w:t>
      </w:r>
    </w:p>
    <w:p w14:paraId="10311D5F" w14:textId="6CAB500F" w:rsidR="004A229A" w:rsidRDefault="00743C3A" w:rsidP="004A229A">
      <w:pPr>
        <w:pStyle w:val="SGACP-enumerationniveau1"/>
        <w:ind w:left="284" w:hanging="284"/>
      </w:pPr>
      <w:r w:rsidRPr="00111D78">
        <w:t>d</w:t>
      </w:r>
      <w:r w:rsidR="00463A1C" w:rsidRPr="00111D78">
        <w:t xml:space="preserve">escription des systèmes et procédures mis en place </w:t>
      </w:r>
      <w:r w:rsidR="000709B0" w:rsidRPr="00111D78">
        <w:t>pour s</w:t>
      </w:r>
      <w:r w:rsidR="001224E7">
        <w:t>’</w:t>
      </w:r>
      <w:r w:rsidR="000709B0" w:rsidRPr="00111D78">
        <w:t>assurer que</w:t>
      </w:r>
      <w:r w:rsidR="003D796E">
        <w:t xml:space="preserve"> le montant et la répartition du capital interne sont adaptés à la nature et au niveau des risques auquel l</w:t>
      </w:r>
      <w:r w:rsidR="001224E7">
        <w:t>’</w:t>
      </w:r>
      <w:r w:rsidR="003D796E">
        <w:t xml:space="preserve">établissement est exposé </w:t>
      </w:r>
      <w:r w:rsidR="003D796E">
        <w:rPr>
          <w:i/>
        </w:rPr>
        <w:t>(avec un accent particulier sur les risques non pris en compte par le pilier 1)</w:t>
      </w:r>
      <w:r w:rsidR="001E7E44">
        <w:rPr>
          <w:i/>
        </w:rPr>
        <w:t xml:space="preserve"> </w:t>
      </w:r>
      <w:r w:rsidR="001E7E44" w:rsidRPr="005813F0">
        <w:t>(cf. article 96 de l’arrêté du 3 novembre 2014</w:t>
      </w:r>
      <w:r w:rsidR="006653E9">
        <w:t xml:space="preserve"> modifié</w:t>
      </w:r>
      <w:r w:rsidR="001E7E44" w:rsidRPr="005813F0">
        <w:t>)</w:t>
      </w:r>
      <w:r w:rsidR="003D796E" w:rsidRPr="005813F0">
        <w:t> </w:t>
      </w:r>
      <w:r w:rsidR="003D796E" w:rsidRPr="00156279">
        <w:t xml:space="preserve">; </w:t>
      </w:r>
    </w:p>
    <w:p w14:paraId="47407817" w14:textId="77777777" w:rsidR="007877BE" w:rsidRPr="00156279" w:rsidRDefault="007877BE" w:rsidP="0068478B">
      <w:pPr>
        <w:pStyle w:val="SGACP-enumerationniveau1"/>
        <w:ind w:left="284" w:hanging="284"/>
      </w:pPr>
      <w:r w:rsidRPr="007877BE">
        <w:t>description de l’élaboration et de la mise à jour d’un plan de capitalisation en vue de s’assurer du maintien d’un montant de capital réglementaire et interne suffisant sur une durée d’au moins 3 ans, même dans des circonstances adverses (simulation de crise)</w:t>
      </w:r>
      <w:r w:rsidR="00895B72">
        <w:t> :</w:t>
      </w:r>
      <w:r w:rsidRPr="007877BE">
        <w:t xml:space="preserve"> </w:t>
      </w:r>
    </w:p>
    <w:p w14:paraId="0F4BD523" w14:textId="77777777" w:rsidR="00B84C1D" w:rsidRDefault="000709B0" w:rsidP="00460E3D">
      <w:pPr>
        <w:pStyle w:val="SGACP-enumerationniveau1"/>
        <w:numPr>
          <w:ilvl w:val="0"/>
          <w:numId w:val="103"/>
        </w:numPr>
      </w:pPr>
      <w:r>
        <w:t xml:space="preserve">niveau </w:t>
      </w:r>
      <w:r w:rsidR="00B84C1D">
        <w:t xml:space="preserve">et définition </w:t>
      </w:r>
      <w:r>
        <w:t>d</w:t>
      </w:r>
      <w:r w:rsidR="00B84C1D">
        <w:t>u</w:t>
      </w:r>
      <w:r>
        <w:t xml:space="preserve"> capital interne alloué </w:t>
      </w:r>
      <w:r w:rsidR="00C86CE7">
        <w:t xml:space="preserve">par type de </w:t>
      </w:r>
      <w:r>
        <w:t>risques pour l</w:t>
      </w:r>
      <w:r w:rsidR="001224E7">
        <w:t>’</w:t>
      </w:r>
      <w:r>
        <w:t>exercice écoulé</w:t>
      </w:r>
      <w:r w:rsidR="00925E38">
        <w:t xml:space="preserve"> en expliquant les principales différences entre le capital interne et le capital réglementaire, ainsi que les méthodes et hypothèses utilisées pour l’allocation du capital au sein de l’établissement</w:t>
      </w:r>
      <w:r w:rsidR="00D82F7B">
        <w:t>,</w:t>
      </w:r>
    </w:p>
    <w:p w14:paraId="6B3C5DD4" w14:textId="77777777" w:rsidR="001D2468" w:rsidRDefault="00B84C1D" w:rsidP="00460E3D">
      <w:pPr>
        <w:pStyle w:val="SGACP-enumerationniveau1"/>
        <w:numPr>
          <w:ilvl w:val="0"/>
          <w:numId w:val="103"/>
        </w:numPr>
      </w:pPr>
      <w:r>
        <w:t>prévision</w:t>
      </w:r>
      <w:r w:rsidR="00925E38">
        <w:t>s</w:t>
      </w:r>
      <w:r>
        <w:t xml:space="preserve"> du niveau de capital interne</w:t>
      </w:r>
    </w:p>
    <w:p w14:paraId="05E87E1D" w14:textId="77777777" w:rsidR="00941637" w:rsidRDefault="000709B0" w:rsidP="00460E3D">
      <w:pPr>
        <w:pStyle w:val="SGACP-enumerationniveau1"/>
        <w:ind w:left="284" w:hanging="284"/>
      </w:pPr>
      <w:r>
        <w:t>s</w:t>
      </w:r>
      <w:r w:rsidRPr="007F2900">
        <w:t xml:space="preserve">imulations de crise </w:t>
      </w:r>
      <w:r>
        <w:t xml:space="preserve">réalisées </w:t>
      </w:r>
      <w:r w:rsidRPr="007F2900">
        <w:t>aux fins d</w:t>
      </w:r>
      <w:r w:rsidR="001224E7">
        <w:t>’</w:t>
      </w:r>
      <w:r w:rsidRPr="007F2900">
        <w:t>évaluation de l</w:t>
      </w:r>
      <w:r w:rsidR="001224E7">
        <w:t>’</w:t>
      </w:r>
      <w:r w:rsidRPr="007F2900">
        <w:t xml:space="preserve">adéquation du capital interne : </w:t>
      </w:r>
    </w:p>
    <w:p w14:paraId="433AC7D2" w14:textId="77777777" w:rsidR="00941637" w:rsidRPr="00A85C3C" w:rsidRDefault="000709B0" w:rsidP="00A85C3C">
      <w:pPr>
        <w:pStyle w:val="SGACP-enumerationniveau1"/>
        <w:numPr>
          <w:ilvl w:val="1"/>
          <w:numId w:val="3"/>
        </w:numPr>
        <w:ind w:left="1349" w:hanging="357"/>
        <w:rPr>
          <w:i/>
        </w:rPr>
      </w:pPr>
      <w:r w:rsidRPr="007F2900">
        <w:t xml:space="preserve">description </w:t>
      </w:r>
      <w:r w:rsidR="00941637">
        <w:t>du champ d’application </w:t>
      </w:r>
      <w:r w:rsidR="00941637" w:rsidRPr="0068478B">
        <w:t xml:space="preserve">et du processus </w:t>
      </w:r>
      <w:r w:rsidR="00941637">
        <w:t>d</w:t>
      </w:r>
      <w:r w:rsidR="00941637" w:rsidRPr="0068478B">
        <w:t>’élaboration</w:t>
      </w:r>
      <w:r w:rsidR="00941637">
        <w:t xml:space="preserve"> </w:t>
      </w:r>
      <w:r w:rsidR="00933438">
        <w:t xml:space="preserve">des simulations de crise </w:t>
      </w:r>
      <w:r w:rsidR="00941637">
        <w:t xml:space="preserve">: </w:t>
      </w:r>
      <w:r w:rsidR="00941637" w:rsidRPr="00A85C3C">
        <w:rPr>
          <w:i/>
        </w:rPr>
        <w:t>périmètre (entités et risques pris en compte), fréquence d’application,</w:t>
      </w:r>
      <w:r w:rsidR="00941637">
        <w:rPr>
          <w:i/>
        </w:rPr>
        <w:t xml:space="preserve"> outils utilisés, </w:t>
      </w:r>
      <w:r w:rsidR="00FC1673">
        <w:rPr>
          <w:i/>
        </w:rPr>
        <w:t>unité(s) en charge de leur élaboration</w:t>
      </w:r>
      <w:r w:rsidR="009E3996">
        <w:rPr>
          <w:i/>
        </w:rPr>
        <w:t>, implication des instances dirigeantes dans</w:t>
      </w:r>
      <w:r w:rsidR="00140451">
        <w:rPr>
          <w:i/>
        </w:rPr>
        <w:t xml:space="preserve"> le processus de</w:t>
      </w:r>
      <w:r w:rsidR="009E3996">
        <w:rPr>
          <w:i/>
        </w:rPr>
        <w:t xml:space="preserve"> validation</w:t>
      </w:r>
      <w:r w:rsidR="00941637">
        <w:rPr>
          <w:i/>
        </w:rPr>
        <w:t>…,</w:t>
      </w:r>
      <w:r w:rsidR="00941637" w:rsidRPr="00A85C3C">
        <w:rPr>
          <w:i/>
        </w:rPr>
        <w:t xml:space="preserve">  </w:t>
      </w:r>
    </w:p>
    <w:p w14:paraId="4110A05A" w14:textId="77777777" w:rsidR="00941637" w:rsidRDefault="00941637" w:rsidP="00A85C3C">
      <w:pPr>
        <w:pStyle w:val="SGACP-enumerationniveau1"/>
        <w:numPr>
          <w:ilvl w:val="1"/>
          <w:numId w:val="3"/>
        </w:numPr>
        <w:ind w:left="1349" w:hanging="357"/>
      </w:pPr>
      <w:r>
        <w:t xml:space="preserve">description </w:t>
      </w:r>
      <w:r w:rsidR="000709B0" w:rsidRPr="007F2900">
        <w:t>des hypothèses et principes méthodologiques retenus ainsi que des résultats obtenus</w:t>
      </w:r>
      <w:r w:rsidR="0068478B" w:rsidRPr="0068478B">
        <w:t xml:space="preserve">, </w:t>
      </w:r>
    </w:p>
    <w:p w14:paraId="35E4671A" w14:textId="416D10E8" w:rsidR="004A229A" w:rsidRDefault="0068478B" w:rsidP="00A85C3C">
      <w:pPr>
        <w:pStyle w:val="SGACP-enumerationniveau1"/>
        <w:numPr>
          <w:ilvl w:val="1"/>
          <w:numId w:val="3"/>
        </w:numPr>
        <w:ind w:left="1349" w:hanging="357"/>
      </w:pPr>
      <w:r w:rsidRPr="00895B72">
        <w:t>description</w:t>
      </w:r>
      <w:r>
        <w:t xml:space="preserve"> </w:t>
      </w:r>
      <w:r w:rsidR="009E3996">
        <w:t xml:space="preserve">du processus de </w:t>
      </w:r>
      <w:r w:rsidRPr="0068478B">
        <w:t xml:space="preserve">prise en compte </w:t>
      </w:r>
      <w:r w:rsidR="009E3996">
        <w:t xml:space="preserve">des simulations de crise </w:t>
      </w:r>
      <w:r w:rsidRPr="0068478B">
        <w:t>dans les processus de décision managériale</w:t>
      </w:r>
      <w:r w:rsidR="009E3996">
        <w:t xml:space="preserve"> notamment en matière d’appétence pour les risques</w:t>
      </w:r>
      <w:r w:rsidR="00140451">
        <w:t>, de planification du capital</w:t>
      </w:r>
      <w:r w:rsidR="009E3996">
        <w:t xml:space="preserve"> et </w:t>
      </w:r>
      <w:r w:rsidR="00933438">
        <w:t>de</w:t>
      </w:r>
      <w:r w:rsidR="009E3996">
        <w:t xml:space="preserve"> fixation des limites</w:t>
      </w:r>
      <w:r w:rsidR="00026A01">
        <w:t> ;</w:t>
      </w:r>
    </w:p>
    <w:p w14:paraId="16541216" w14:textId="77777777" w:rsidR="004A229A" w:rsidRDefault="00743C3A" w:rsidP="004A229A">
      <w:pPr>
        <w:pStyle w:val="SGACP-enumerationniveau1"/>
        <w:ind w:left="284" w:hanging="284"/>
      </w:pPr>
      <w:r>
        <w:t>m</w:t>
      </w:r>
      <w:r w:rsidR="00463A1C" w:rsidRPr="007F2900">
        <w:t xml:space="preserve">odalités de contrôle prévues afin de vérifier que ces systèmes et procédures demeurent adaptés </w:t>
      </w:r>
      <w:r w:rsidR="000709B0">
        <w:t>à l</w:t>
      </w:r>
      <w:r w:rsidR="001224E7">
        <w:t>’</w:t>
      </w:r>
      <w:r w:rsidR="000709B0">
        <w:t>évolution d</w:t>
      </w:r>
      <w:r w:rsidR="00463A1C" w:rsidRPr="007F2900">
        <w:t>u profil de risques de l</w:t>
      </w:r>
      <w:r w:rsidR="001224E7">
        <w:t>’</w:t>
      </w:r>
      <w:r w:rsidR="00463A1C" w:rsidRPr="007F2900">
        <w:t>établissement</w:t>
      </w:r>
      <w:r w:rsidR="00925E38">
        <w:t> ;</w:t>
      </w:r>
    </w:p>
    <w:p w14:paraId="32468DF7" w14:textId="77777777" w:rsidR="0068478B" w:rsidRDefault="001F03C7" w:rsidP="004A229A">
      <w:pPr>
        <w:pStyle w:val="SGACP-enumerationniveau1"/>
        <w:ind w:left="284" w:hanging="284"/>
      </w:pPr>
      <w:r>
        <w:t>d</w:t>
      </w:r>
      <w:r w:rsidR="00925E38">
        <w:t xml:space="preserve">ocumentation formalisant </w:t>
      </w:r>
      <w:r>
        <w:t>le process d</w:t>
      </w:r>
      <w:r w:rsidR="0068478B">
        <w:t>’élaboration et d</w:t>
      </w:r>
      <w:r>
        <w:t>e</w:t>
      </w:r>
      <w:r w:rsidR="00925E38">
        <w:t xml:space="preserve"> validation de l’adéquation du capital interne, des hypothèses</w:t>
      </w:r>
      <w:r w:rsidR="008810C5">
        <w:t>, du plan de capitalisation, des simulations de crise</w:t>
      </w:r>
      <w:r w:rsidR="00925E38">
        <w:t xml:space="preserve"> et </w:t>
      </w:r>
      <w:r w:rsidR="00F7177B">
        <w:t xml:space="preserve">des </w:t>
      </w:r>
      <w:r w:rsidR="00925E38">
        <w:t>méthodologies utilisées dans le process</w:t>
      </w:r>
      <w:r w:rsidR="0068478B">
        <w:t>, notamment la répartition des rôles ainsi que l’information et l’implication des organes de gestion et/ou de surveillance dans la validation ;</w:t>
      </w:r>
      <w:r w:rsidR="00925E38">
        <w:t xml:space="preserve"> </w:t>
      </w:r>
    </w:p>
    <w:p w14:paraId="57C10A81" w14:textId="77777777" w:rsidR="00925E38" w:rsidRDefault="0068478B" w:rsidP="004A229A">
      <w:pPr>
        <w:pStyle w:val="SGACP-enumerationniveau1"/>
        <w:ind w:left="284" w:hanging="284"/>
      </w:pPr>
      <w:r>
        <w:t>documentation</w:t>
      </w:r>
      <w:r w:rsidR="00925E38">
        <w:t xml:space="preserve"> formalisant l’intégration de ce process dans la stratégie globale de l’établissement</w:t>
      </w:r>
      <w:r>
        <w:t>, notamment par l’intégration des problématiques de capital interne et d’appétit au risque dans les process de prises de décisions managériales via des reportings appropriés ;</w:t>
      </w:r>
    </w:p>
    <w:p w14:paraId="23BCE589" w14:textId="77777777" w:rsidR="00DD69B2" w:rsidRDefault="00BC60B3" w:rsidP="00DD69B2">
      <w:pPr>
        <w:pStyle w:val="SGACP-enumerationniveau1"/>
        <w:ind w:left="284" w:hanging="284"/>
      </w:pPr>
      <w:r>
        <w:t>l</w:t>
      </w:r>
      <w:r w:rsidR="00DD69B2">
        <w:t xml:space="preserve">es établissements soumis à CRR et ne se trouvant pas sous la supervision directe de la BCE, doivent remettre un « manuel du lecteur », élaboré comme un document global facilitant l’évaluation de la documentation justifiant de leur adéquation en capital. </w:t>
      </w:r>
      <w:r w:rsidR="00DD69B2" w:rsidRPr="00DD69B2">
        <w:t>À cet ef</w:t>
      </w:r>
      <w:r w:rsidR="00DD69B2">
        <w:t>fet, le «manuel du lecteur» do</w:t>
      </w:r>
      <w:r w:rsidR="00DD69B2" w:rsidRPr="00DD69B2">
        <w:t>it fournir une vue d’ensemble</w:t>
      </w:r>
      <w:r w:rsidR="00DD69B2">
        <w:t xml:space="preserve"> </w:t>
      </w:r>
      <w:r w:rsidR="00DD69B2" w:rsidRPr="00DD69B2">
        <w:t>de tous les documents communiqués aux autorités compétentes</w:t>
      </w:r>
      <w:r w:rsidR="00DD69B2">
        <w:t xml:space="preserve"> sur</w:t>
      </w:r>
      <w:r w:rsidR="00DD69B2" w:rsidRPr="00DD69B2">
        <w:t xml:space="preserve"> </w:t>
      </w:r>
      <w:r w:rsidR="00DD69B2">
        <w:t>ce sujet</w:t>
      </w:r>
      <w:r w:rsidR="00DD69B2" w:rsidRPr="00DD69B2">
        <w:t>, ainsi que de leur statut (nouveau, non modifié, modifié avec des corrections mineures, et</w:t>
      </w:r>
      <w:r w:rsidR="00DD69B2">
        <w:t>c.). Le «manuel du lecteur» do</w:t>
      </w:r>
      <w:r w:rsidR="00DD69B2" w:rsidRPr="00DD69B2">
        <w:t>it essentiellement fonctionner comme un index reliant les éléments d’info</w:t>
      </w:r>
      <w:r w:rsidR="00DD69B2">
        <w:t xml:space="preserve">rmation spécifiques prévus pour le rapport de contrôle interne </w:t>
      </w:r>
      <w:r w:rsidR="00DD69B2" w:rsidRPr="00DD69B2">
        <w:t>aux documents fournis à l’autorité compétente</w:t>
      </w:r>
      <w:r w:rsidR="00DD69B2">
        <w:t xml:space="preserve"> concernant l’évaluation de son adéquation en capital. Le «manuel du lecteur» do</w:t>
      </w:r>
      <w:r w:rsidR="00DD69B2" w:rsidRPr="00DD69B2">
        <w:t>it également comporter des renseignements concernant les modifications significatives apportées aux informations par rapport à celles communiquées précédemment, les éléments éventuellement exclu</w:t>
      </w:r>
      <w:r w:rsidR="00DD69B2">
        <w:t>s des informations communiquées</w:t>
      </w:r>
      <w:r w:rsidR="00DD69B2" w:rsidRPr="00DD69B2">
        <w:t>, ainsi que toute autre information qui pourrait être utile à l’autorité compétente en vue de l’évaluation. En o</w:t>
      </w:r>
      <w:r w:rsidR="00DD69B2">
        <w:t>utre, le «manuel du lecteur» do</w:t>
      </w:r>
      <w:r w:rsidR="00DD69B2" w:rsidRPr="00DD69B2">
        <w:t>it contenir des références à toutes les informations rendues publiques par l’établissement</w:t>
      </w:r>
      <w:r w:rsidR="00C97F9B">
        <w:t xml:space="preserve"> </w:t>
      </w:r>
      <w:r w:rsidR="00DD69B2">
        <w:t>sur son adéquation en capital</w:t>
      </w:r>
      <w:r w:rsidR="00D82F7B">
        <w:t> ;</w:t>
      </w:r>
      <w:r w:rsidR="00DD69B2" w:rsidRPr="00DD69B2">
        <w:t xml:space="preserve"> </w:t>
      </w:r>
    </w:p>
    <w:p w14:paraId="20BE771D" w14:textId="77777777" w:rsidR="00DD69B2" w:rsidRPr="00DD69B2" w:rsidRDefault="00DD69B2" w:rsidP="00DD69B2">
      <w:pPr>
        <w:pStyle w:val="SGACP-enumerationniveau1"/>
        <w:ind w:left="284" w:hanging="284"/>
      </w:pPr>
      <w:r>
        <w:t>l</w:t>
      </w:r>
      <w:r w:rsidRPr="00DD69B2">
        <w:t>es établissements soumis à CRR et ne se trouvant pas sous la supervision directe de la BCE,</w:t>
      </w:r>
      <w:r>
        <w:t xml:space="preserve"> doivent formaliser et remettre </w:t>
      </w:r>
      <w:r w:rsidRPr="00DD69B2">
        <w:t>les conclusions des évaluations de l’adéquation du capital interne ainsi que leur incidence sur la gestion du risque et sur la ges</w:t>
      </w:r>
      <w:r>
        <w:t>tion globale de l’établissement.</w:t>
      </w:r>
    </w:p>
    <w:p w14:paraId="45EC4BCE" w14:textId="324F8864" w:rsidR="00BB6AE4" w:rsidRDefault="00BB6AE4" w:rsidP="00463A1C"/>
    <w:p w14:paraId="303024EB" w14:textId="77777777" w:rsidR="00D30821" w:rsidRDefault="00D30821" w:rsidP="00463A1C"/>
    <w:p w14:paraId="1525077D" w14:textId="77777777" w:rsidR="004A229A" w:rsidRDefault="00890013" w:rsidP="00A85C3C">
      <w:pPr>
        <w:pStyle w:val="StyleSGACP-titrederubriqueniveau1CouleurpersonnaliseRVB"/>
        <w:keepNext/>
        <w:ind w:left="426" w:hanging="426"/>
      </w:pPr>
      <w:hyperlink w:anchor="_Toc244938695" w:history="1">
        <w:bookmarkStart w:id="42" w:name="_Toc106958067"/>
        <w:bookmarkStart w:id="43" w:name="_Toc266799790"/>
        <w:bookmarkStart w:id="44" w:name="_Toc266799859"/>
        <w:r w:rsidR="00463A1C" w:rsidRPr="007D7872">
          <w:t>Risque de non conformité</w:t>
        </w:r>
      </w:hyperlink>
      <w:r w:rsidR="00463A1C" w:rsidRPr="007D7872">
        <w:t xml:space="preserve"> (hors risque de blanchiment des capitaux </w:t>
      </w:r>
      <w:r w:rsidR="00FC763A">
        <w:br/>
      </w:r>
      <w:r w:rsidR="00FC763A" w:rsidRPr="007D7872">
        <w:t>et de financement du terrorisme</w:t>
      </w:r>
      <w:r w:rsidR="00FC763A">
        <w:t>)</w:t>
      </w:r>
      <w:bookmarkEnd w:id="42"/>
    </w:p>
    <w:p w14:paraId="489CFE3B" w14:textId="77777777" w:rsidR="00104225" w:rsidRDefault="00104225" w:rsidP="004E7222"/>
    <w:p w14:paraId="3E89E66A" w14:textId="1566EF98" w:rsidR="00F2624B" w:rsidRPr="00F13733" w:rsidRDefault="009E6572" w:rsidP="00F2624B">
      <w:pPr>
        <w:keepNext/>
        <w:rPr>
          <w:sz w:val="22"/>
          <w:szCs w:val="22"/>
        </w:rPr>
      </w:pPr>
      <w:r w:rsidRPr="00A85C3C">
        <w:rPr>
          <w:b/>
          <w:i/>
          <w:iCs/>
          <w:color w:val="003B8E"/>
          <w:sz w:val="22"/>
          <w:szCs w:val="22"/>
        </w:rPr>
        <w:t>Rappel</w:t>
      </w:r>
      <w:r>
        <w:rPr>
          <w:b/>
          <w:i/>
          <w:iCs/>
          <w:color w:val="003B8E"/>
          <w:szCs w:val="22"/>
        </w:rPr>
        <w:t> :</w:t>
      </w:r>
      <w:r w:rsidR="00104225" w:rsidRPr="00F13733">
        <w:rPr>
          <w:sz w:val="22"/>
          <w:szCs w:val="22"/>
        </w:rPr>
        <w:t xml:space="preserve"> </w:t>
      </w:r>
      <w:r>
        <w:rPr>
          <w:i/>
          <w:sz w:val="22"/>
          <w:szCs w:val="22"/>
        </w:rPr>
        <w:t>L</w:t>
      </w:r>
      <w:r w:rsidR="00104225" w:rsidRPr="00F13733">
        <w:rPr>
          <w:i/>
          <w:sz w:val="22"/>
          <w:szCs w:val="22"/>
        </w:rPr>
        <w:t>es informations relatives au risque de blanchiment des capitaux et de financement du terrorisme</w:t>
      </w:r>
      <w:r w:rsidR="00B80FD9" w:rsidRPr="00F13733">
        <w:rPr>
          <w:i/>
          <w:sz w:val="22"/>
          <w:szCs w:val="22"/>
        </w:rPr>
        <w:t xml:space="preserve"> sont à </w:t>
      </w:r>
      <w:r w:rsidR="00487700" w:rsidRPr="00F13733">
        <w:rPr>
          <w:i/>
          <w:sz w:val="22"/>
          <w:szCs w:val="22"/>
        </w:rPr>
        <w:t xml:space="preserve">remettre dans </w:t>
      </w:r>
      <w:r w:rsidR="004D7458">
        <w:rPr>
          <w:i/>
          <w:sz w:val="22"/>
          <w:szCs w:val="22"/>
        </w:rPr>
        <w:t>le</w:t>
      </w:r>
      <w:r w:rsidR="004D7458" w:rsidRPr="00F13733">
        <w:rPr>
          <w:i/>
          <w:sz w:val="22"/>
          <w:szCs w:val="22"/>
        </w:rPr>
        <w:t xml:space="preserve"> </w:t>
      </w:r>
      <w:r w:rsidR="00487700" w:rsidRPr="00F13733">
        <w:rPr>
          <w:i/>
          <w:sz w:val="22"/>
          <w:szCs w:val="22"/>
        </w:rPr>
        <w:t>rapport</w:t>
      </w:r>
      <w:r w:rsidR="00DF0A81" w:rsidRPr="00F13733">
        <w:rPr>
          <w:i/>
          <w:sz w:val="22"/>
          <w:szCs w:val="22"/>
        </w:rPr>
        <w:t xml:space="preserve"> </w:t>
      </w:r>
      <w:r w:rsidR="004D7458">
        <w:rPr>
          <w:i/>
          <w:sz w:val="22"/>
          <w:szCs w:val="22"/>
        </w:rPr>
        <w:t>sur l’organisation des dispositifs de contrôle interne de LCB-FT et de gel des avoirs</w:t>
      </w:r>
      <w:r w:rsidR="00E931FD">
        <w:rPr>
          <w:i/>
          <w:sz w:val="22"/>
          <w:szCs w:val="22"/>
        </w:rPr>
        <w:t xml:space="preserve">, prévu </w:t>
      </w:r>
      <w:r w:rsidR="00A62657">
        <w:rPr>
          <w:i/>
          <w:sz w:val="22"/>
          <w:szCs w:val="22"/>
        </w:rPr>
        <w:t>aux</w:t>
      </w:r>
      <w:r w:rsidR="00E931FD">
        <w:rPr>
          <w:i/>
          <w:sz w:val="22"/>
          <w:szCs w:val="22"/>
        </w:rPr>
        <w:t xml:space="preserve"> articles R.561-38-6</w:t>
      </w:r>
      <w:r w:rsidR="0046009F">
        <w:rPr>
          <w:i/>
          <w:sz w:val="22"/>
          <w:szCs w:val="22"/>
        </w:rPr>
        <w:t xml:space="preserve"> et</w:t>
      </w:r>
      <w:r>
        <w:rPr>
          <w:i/>
          <w:sz w:val="22"/>
          <w:szCs w:val="22"/>
        </w:rPr>
        <w:t xml:space="preserve"> </w:t>
      </w:r>
      <w:r w:rsidR="00F2624B">
        <w:rPr>
          <w:i/>
          <w:sz w:val="22"/>
          <w:szCs w:val="22"/>
        </w:rPr>
        <w:t xml:space="preserve">R.561-38-7 </w:t>
      </w:r>
      <w:r>
        <w:rPr>
          <w:i/>
          <w:sz w:val="22"/>
          <w:szCs w:val="22"/>
        </w:rPr>
        <w:t>du Code monétaire et financier</w:t>
      </w:r>
      <w:r w:rsidR="0017657F">
        <w:rPr>
          <w:i/>
          <w:sz w:val="22"/>
          <w:szCs w:val="22"/>
        </w:rPr>
        <w:t>,</w:t>
      </w:r>
      <w:r>
        <w:rPr>
          <w:i/>
          <w:sz w:val="22"/>
          <w:szCs w:val="22"/>
        </w:rPr>
        <w:t xml:space="preserve"> selon les modalités définies dans l’arrêté du 21 décembre 2018</w:t>
      </w:r>
      <w:r w:rsidR="00DF0A81" w:rsidRPr="00F13733">
        <w:rPr>
          <w:i/>
          <w:sz w:val="22"/>
          <w:szCs w:val="22"/>
        </w:rPr>
        <w:t>.</w:t>
      </w:r>
    </w:p>
    <w:p w14:paraId="49D203A3" w14:textId="17894DE1" w:rsidR="00104225" w:rsidRPr="00F13733" w:rsidRDefault="00104225" w:rsidP="00A85C3C">
      <w:pPr>
        <w:keepNext/>
        <w:rPr>
          <w:sz w:val="22"/>
          <w:szCs w:val="22"/>
        </w:rPr>
      </w:pPr>
    </w:p>
    <w:bookmarkEnd w:id="43"/>
    <w:bookmarkEnd w:id="44"/>
    <w:p w14:paraId="3DDAA0CB" w14:textId="24B14503" w:rsidR="004A229A" w:rsidRDefault="00A509C0" w:rsidP="005813F0">
      <w:pPr>
        <w:pStyle w:val="SGACP-sous-titrederubriquenivaeu2"/>
        <w:jc w:val="both"/>
      </w:pPr>
      <w:r>
        <w:t>7.1.</w:t>
      </w:r>
      <w:r>
        <w:tab/>
      </w:r>
      <w:bookmarkStart w:id="45"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45"/>
      <w:r w:rsidR="008D475D">
        <w:t xml:space="preserve"> (cf. articles 39 et 40 de l’arrêté du 3 novembre 2014</w:t>
      </w:r>
      <w:r w:rsidR="006653E9">
        <w:t xml:space="preserve"> modifié</w:t>
      </w:r>
      <w:r w:rsidR="008D475D">
        <w:t>)</w:t>
      </w:r>
    </w:p>
    <w:p w14:paraId="0757716D" w14:textId="1A192759" w:rsidR="00A509C0" w:rsidRPr="007F2900" w:rsidRDefault="006653E9" w:rsidP="00A509C0">
      <w:pPr>
        <w:pStyle w:val="SGACP-textecourant"/>
      </w:pPr>
      <w:r>
        <w:t xml:space="preserve"> </w:t>
      </w:r>
    </w:p>
    <w:p w14:paraId="40A728BB" w14:textId="77777777" w:rsidR="00463A1C" w:rsidRPr="007F2900" w:rsidRDefault="00A509C0" w:rsidP="00A509C0">
      <w:pPr>
        <w:pStyle w:val="SGACP-sous-titrederubriquenivaeu2"/>
      </w:pPr>
      <w:bookmarkStart w:id="46" w:name="_Toc266799792"/>
      <w:r>
        <w:t>7.2.</w:t>
      </w:r>
      <w:r>
        <w:tab/>
      </w:r>
      <w:r w:rsidR="00463A1C" w:rsidRPr="007F2900">
        <w:t>Évaluation et maîtrise du risque de réputation</w:t>
      </w:r>
      <w:bookmarkEnd w:id="46"/>
      <w:r w:rsidR="00463A1C" w:rsidRPr="007F2900">
        <w:t xml:space="preserve"> </w:t>
      </w:r>
    </w:p>
    <w:p w14:paraId="67D2685F" w14:textId="77777777" w:rsidR="00A509C0" w:rsidRDefault="00A509C0" w:rsidP="00A509C0">
      <w:pPr>
        <w:pStyle w:val="SGACP-textecourant"/>
      </w:pPr>
      <w:bookmarkStart w:id="47" w:name="_Toc266799793"/>
      <w:bookmarkStart w:id="48" w:name="_Toc263679151"/>
    </w:p>
    <w:p w14:paraId="0DFAE792" w14:textId="77777777" w:rsidR="00463A1C" w:rsidRDefault="00463A1C" w:rsidP="00A509C0">
      <w:pPr>
        <w:pStyle w:val="SGACP-sous-titrederubriquenivaeu2"/>
      </w:pPr>
      <w:r w:rsidRPr="007F2900">
        <w:t>7.3</w:t>
      </w:r>
      <w:r w:rsidR="00A509C0">
        <w:t>.</w:t>
      </w:r>
      <w:r w:rsidR="00A509C0">
        <w:tab/>
      </w:r>
      <w:r w:rsidRPr="007F2900">
        <w:t>Autres risques de non-conformité (déontologie bancaire et financière…)</w:t>
      </w:r>
      <w:bookmarkEnd w:id="47"/>
    </w:p>
    <w:p w14:paraId="6D928475" w14:textId="77777777" w:rsidR="00F56F68" w:rsidRDefault="00F56F68" w:rsidP="00A509C0">
      <w:pPr>
        <w:pStyle w:val="SGACP-sous-titrederubriquenivaeu2"/>
      </w:pPr>
    </w:p>
    <w:p w14:paraId="28F07417" w14:textId="77777777" w:rsidR="00F56F68" w:rsidRDefault="00F56F68" w:rsidP="00460E3D">
      <w:pPr>
        <w:pStyle w:val="Titre2"/>
        <w:numPr>
          <w:ilvl w:val="1"/>
          <w:numId w:val="34"/>
        </w:numPr>
        <w:spacing w:before="120"/>
        <w:ind w:left="567" w:hanging="567"/>
      </w:pPr>
      <w:r>
        <w:t>Procédures permettant le signalement des manquements, infractions et dysfonctionnements</w:t>
      </w:r>
    </w:p>
    <w:p w14:paraId="2BA26C4D" w14:textId="77777777" w:rsidR="00F56F68" w:rsidRPr="001E5404" w:rsidRDefault="00F56F68" w:rsidP="00F56F68">
      <w:pPr>
        <w:rPr>
          <w:sz w:val="22"/>
          <w:szCs w:val="22"/>
        </w:rPr>
      </w:pPr>
      <w:r w:rsidRPr="001E5404">
        <w:rPr>
          <w:sz w:val="22"/>
          <w:szCs w:val="22"/>
        </w:rPr>
        <w:t>Indiquer :</w:t>
      </w:r>
    </w:p>
    <w:p w14:paraId="11218690" w14:textId="77777777" w:rsidR="00F56F68" w:rsidRDefault="00F56F68" w:rsidP="00F56F68">
      <w:pPr>
        <w:pStyle w:val="SGACP-enumerationniveau1"/>
        <w:ind w:left="284" w:hanging="284"/>
      </w:pPr>
      <w:r>
        <w:t>les procédures mises en place pour</w:t>
      </w:r>
      <w:r w:rsidRPr="00C17F5F">
        <w:t xml:space="preserve"> </w:t>
      </w:r>
      <w:r w:rsidRPr="001E5404">
        <w:t xml:space="preserve">permettre </w:t>
      </w:r>
      <w:r>
        <w:t>au</w:t>
      </w:r>
      <w:r w:rsidRPr="001E5404">
        <w:t xml:space="preserve"> personnel de signaler </w:t>
      </w:r>
      <w:r>
        <w:t>aux responsables et comités compétents de leur entreprise ainsi qu'à l’ACPR (ou à la BCE selon les cas) les</w:t>
      </w:r>
      <w:r w:rsidRPr="00C17F5F">
        <w:t xml:space="preserve"> manquements ou infraction</w:t>
      </w:r>
      <w:r>
        <w:t xml:space="preserve">s </w:t>
      </w:r>
      <w:r w:rsidRPr="001E5404">
        <w:t>à la réglementation prudentiel</w:t>
      </w:r>
      <w:r w:rsidRPr="00C17F5F">
        <w:t>le</w:t>
      </w:r>
      <w:r w:rsidRPr="001E5404">
        <w:t xml:space="preserve"> commis </w:t>
      </w:r>
      <w:r>
        <w:t>au sein de l’établissement</w:t>
      </w:r>
      <w:r w:rsidRPr="001E5404">
        <w:t xml:space="preserve"> ou susceptible</w:t>
      </w:r>
      <w:r>
        <w:t>s</w:t>
      </w:r>
      <w:r w:rsidRPr="001E5404">
        <w:t xml:space="preserve"> de l’être </w:t>
      </w:r>
      <w:r>
        <w:t>(cf. article L.511-41 du Code monétaire et financier) ;</w:t>
      </w:r>
    </w:p>
    <w:p w14:paraId="4E340BD1" w14:textId="11430C0B" w:rsidR="00646DB1" w:rsidRDefault="00F56F68" w:rsidP="00F56F68">
      <w:pPr>
        <w:pStyle w:val="SGACP-enumerationniveau1"/>
        <w:ind w:left="284" w:hanging="284"/>
      </w:pPr>
      <w:r>
        <w:t xml:space="preserve">les procédures mises en place pour permettre à tout dirigeant ou préposé de faire part, au responsable </w:t>
      </w:r>
      <w:r w:rsidR="0046009F" w:rsidRPr="003463F8">
        <w:t xml:space="preserve">de la fonction de vérification </w:t>
      </w:r>
      <w:r>
        <w:t>de la conformité de l'entité ou de la ligne métier à laquelle ils appartiennent, ou au responsable mentionné à l'article 28 de l’arrêté du 3 novembre 2014</w:t>
      </w:r>
      <w:r w:rsidR="006653E9">
        <w:t xml:space="preserve"> modifié</w:t>
      </w:r>
      <w:r>
        <w:t>, de ses interrogations sur d’éventuels dysfonctionnements concernant le dispositif de contrôle de la conformité (cf. article 37 de l’arrêté du 3 novembre 2014</w:t>
      </w:r>
      <w:r w:rsidR="006653E9">
        <w:t xml:space="preserve"> modifié</w:t>
      </w:r>
      <w:r w:rsidR="00B97991">
        <w:t>)</w:t>
      </w:r>
      <w:r w:rsidR="006653E9">
        <w:t> </w:t>
      </w:r>
      <w:r w:rsidR="00646DB1">
        <w:t>;</w:t>
      </w:r>
    </w:p>
    <w:p w14:paraId="3DB63209" w14:textId="77777777" w:rsidR="00F56F68" w:rsidRDefault="00646DB1" w:rsidP="00646DB1">
      <w:pPr>
        <w:pStyle w:val="SGACP-enumerationniveau1"/>
        <w:ind w:left="284" w:hanging="284"/>
      </w:pPr>
      <w:r>
        <w:t>les procédures mises en place pour permettre au personnel de signaler à l’ACPR tout manquement aux obligations définies par les règlements européens et par le Code monétaire et financier (cf. article L. 634-1 et L. 634-2 du Code monétaire et financier)</w:t>
      </w:r>
      <w:r w:rsidR="00F56F68">
        <w:t xml:space="preserve">. </w:t>
      </w:r>
    </w:p>
    <w:p w14:paraId="11AA4655" w14:textId="468F9FA5" w:rsidR="00E7222B" w:rsidRDefault="00E7222B" w:rsidP="00E7222B">
      <w:pPr>
        <w:pStyle w:val="SGACP-enumerationniveau1"/>
        <w:numPr>
          <w:ilvl w:val="0"/>
          <w:numId w:val="0"/>
        </w:numPr>
        <w:ind w:left="284"/>
      </w:pPr>
    </w:p>
    <w:p w14:paraId="12BAD562" w14:textId="5C1694E6" w:rsidR="00514CF7" w:rsidRDefault="00514CF7" w:rsidP="00514CF7">
      <w:pPr>
        <w:pStyle w:val="Titre2"/>
        <w:numPr>
          <w:ilvl w:val="1"/>
          <w:numId w:val="34"/>
        </w:numPr>
        <w:spacing w:before="120"/>
        <w:ind w:left="567" w:hanging="567"/>
      </w:pPr>
      <w:r>
        <w:t>Procédures lors d’opérations relatives à de nouveaux produits, de croissance externe et interne</w:t>
      </w:r>
    </w:p>
    <w:p w14:paraId="3B6CC8CC" w14:textId="620B4471" w:rsidR="00514CF7" w:rsidRDefault="00514CF7" w:rsidP="00514CF7">
      <w:pPr>
        <w:pStyle w:val="SGACP-enumerationniveau1"/>
        <w:ind w:left="284" w:hanging="284"/>
      </w:pPr>
      <w:r>
        <w:t xml:space="preserve">présentation des procédures </w:t>
      </w:r>
      <w:r w:rsidRPr="0068699A">
        <w:t>d'examen de la conformité</w:t>
      </w:r>
      <w:r w:rsidR="005F398B">
        <w:t xml:space="preserve"> </w:t>
      </w:r>
      <w:r>
        <w:t>mises en œuvre lors</w:t>
      </w:r>
      <w:r w:rsidRPr="0068699A">
        <w:t xml:space="preserve"> de la réalisation d’</w:t>
      </w:r>
      <w:r>
        <w:t>opérations relatives à des nouveaux produits ou services, à des changements significatifs de ces derniers</w:t>
      </w:r>
      <w:r w:rsidRPr="00D32155">
        <w:t xml:space="preserve"> </w:t>
      </w:r>
      <w:r>
        <w:t xml:space="preserve">ou des systèmes associés aux produits, lors d’opérations de croissance externe et interne ou de transactions exceptionnelles : </w:t>
      </w:r>
      <w:r w:rsidRPr="0068699A">
        <w:rPr>
          <w:i/>
        </w:rPr>
        <w:t>avis requis, par écrit et de façon systématique, du responsable de la fonction de vérification de la conformité préalablement à l'exécution de ces opérations</w:t>
      </w:r>
      <w:r>
        <w:t xml:space="preserve"> (cf. articles 35 et 221 1</w:t>
      </w:r>
      <w:r w:rsidRPr="00D52530">
        <w:rPr>
          <w:vertAlign w:val="superscript"/>
        </w:rPr>
        <w:t>er</w:t>
      </w:r>
      <w:r>
        <w:t xml:space="preserve"> alinéa de l’arrêté du 3 novembre 2014</w:t>
      </w:r>
      <w:r w:rsidRPr="0068699A">
        <w:t xml:space="preserve"> </w:t>
      </w:r>
      <w:r>
        <w:t>modifié)</w:t>
      </w:r>
      <w:r w:rsidR="00CD63A7">
        <w:t>.</w:t>
      </w:r>
      <w:r>
        <w:t xml:space="preserve">   </w:t>
      </w:r>
    </w:p>
    <w:p w14:paraId="03F26805" w14:textId="6F25C6F6" w:rsidR="00514CF7" w:rsidRDefault="00514CF7" w:rsidP="00E7222B">
      <w:pPr>
        <w:pStyle w:val="SGACP-enumerationniveau1"/>
        <w:numPr>
          <w:ilvl w:val="0"/>
          <w:numId w:val="0"/>
        </w:numPr>
        <w:ind w:left="284"/>
      </w:pPr>
    </w:p>
    <w:p w14:paraId="4C58F429" w14:textId="20CBB9C4" w:rsidR="00F56F68" w:rsidRPr="00E7222B" w:rsidRDefault="00E7222B" w:rsidP="00E7222B">
      <w:pPr>
        <w:pStyle w:val="SGACP-sous-titrederubriquenivaeu2"/>
      </w:pPr>
      <w:r w:rsidRPr="00E7222B">
        <w:t>7.</w:t>
      </w:r>
      <w:r w:rsidR="00445F76">
        <w:t>6</w:t>
      </w:r>
      <w:r w:rsidR="00F56F68" w:rsidRPr="00E7222B">
        <w:t>.</w:t>
      </w:r>
      <w:r>
        <w:t xml:space="preserve"> </w:t>
      </w:r>
      <w:r w:rsidR="002F066C">
        <w:tab/>
      </w:r>
      <w:r w:rsidR="00F56F68" w:rsidRPr="00E7222B">
        <w:t>Centralisation et mise en place de mesures de remédiation et de suivi</w:t>
      </w:r>
    </w:p>
    <w:p w14:paraId="0B9B951A" w14:textId="77777777" w:rsidR="00E7222B" w:rsidRDefault="00E7222B" w:rsidP="00F56F68">
      <w:pPr>
        <w:rPr>
          <w:sz w:val="22"/>
          <w:szCs w:val="22"/>
        </w:rPr>
      </w:pPr>
    </w:p>
    <w:p w14:paraId="6AB3AF81" w14:textId="77777777" w:rsidR="00F56F68" w:rsidRPr="001E5404" w:rsidRDefault="00F56F68" w:rsidP="00F56F68">
      <w:pPr>
        <w:rPr>
          <w:sz w:val="22"/>
          <w:szCs w:val="22"/>
        </w:rPr>
      </w:pPr>
      <w:r w:rsidRPr="001E5404">
        <w:rPr>
          <w:sz w:val="22"/>
          <w:szCs w:val="22"/>
        </w:rPr>
        <w:t>Indiquer :</w:t>
      </w:r>
    </w:p>
    <w:p w14:paraId="0A60D663" w14:textId="7C55DFAE" w:rsidR="00F56F68" w:rsidRDefault="00F56F68" w:rsidP="00F56F68">
      <w:pPr>
        <w:pStyle w:val="SGACP-enumerationniveau1"/>
        <w:ind w:left="284" w:hanging="284"/>
      </w:pPr>
      <w:r>
        <w:t>les procédures mises en place pour centraliser les informations relatives aux dysfonctionnements éventuels dans la mise en œuvre des obligations de conformité (cf. articles 36 et 37 de l’arrêté du 3 novembre 2014</w:t>
      </w:r>
      <w:r w:rsidR="006653E9">
        <w:t xml:space="preserve"> modifié</w:t>
      </w:r>
      <w:r>
        <w:t>) ;</w:t>
      </w:r>
    </w:p>
    <w:p w14:paraId="400D445E" w14:textId="6E0EBB46" w:rsidR="00F56F68" w:rsidRDefault="00F56F68" w:rsidP="00F56F68">
      <w:pPr>
        <w:pStyle w:val="SGACP-enumerationniveau1"/>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r w:rsidR="006653E9">
        <w:t xml:space="preserve"> modifié</w:t>
      </w:r>
      <w:r>
        <w:t>).</w:t>
      </w:r>
    </w:p>
    <w:p w14:paraId="5804B106" w14:textId="77777777" w:rsidR="00A509C0" w:rsidRDefault="00A509C0" w:rsidP="00A509C0">
      <w:pPr>
        <w:pStyle w:val="SGACP-textecourant"/>
      </w:pPr>
      <w:bookmarkStart w:id="49" w:name="_Toc266799794"/>
    </w:p>
    <w:p w14:paraId="47081C14" w14:textId="7E7424A9" w:rsidR="00463A1C" w:rsidRPr="007F2900" w:rsidRDefault="00A509C0" w:rsidP="00A509C0">
      <w:pPr>
        <w:pStyle w:val="SGACP-sous-titrederubriquenivaeu2"/>
      </w:pPr>
      <w:r>
        <w:t>7.</w:t>
      </w:r>
      <w:r w:rsidR="00445F76">
        <w:t>7</w:t>
      </w:r>
      <w:r w:rsidR="00F56F68">
        <w:t>.</w:t>
      </w:r>
      <w:r>
        <w:tab/>
      </w:r>
      <w:r w:rsidR="00463A1C" w:rsidRPr="007F2900">
        <w:t>Description des principaux dysfonctionnements identifiés au cours de l</w:t>
      </w:r>
      <w:r w:rsidR="001224E7">
        <w:t>’</w:t>
      </w:r>
      <w:r w:rsidR="00463A1C" w:rsidRPr="007F2900">
        <w:t>exercice</w:t>
      </w:r>
      <w:bookmarkEnd w:id="48"/>
      <w:bookmarkEnd w:id="49"/>
    </w:p>
    <w:p w14:paraId="1D2A107F" w14:textId="77777777" w:rsidR="00A509C0" w:rsidRDefault="00A509C0" w:rsidP="00A509C0">
      <w:pPr>
        <w:pStyle w:val="SGACP-textecourant"/>
      </w:pPr>
      <w:bookmarkStart w:id="50" w:name="_Toc263679152"/>
      <w:bookmarkStart w:id="51" w:name="_Toc266799795"/>
    </w:p>
    <w:p w14:paraId="71C79AD2" w14:textId="153AB504" w:rsidR="00463A1C" w:rsidRPr="007F2900" w:rsidRDefault="00A509C0" w:rsidP="00A509C0">
      <w:pPr>
        <w:pStyle w:val="SGACP-sous-titrederubriquenivaeu2"/>
      </w:pPr>
      <w:r>
        <w:t>7.</w:t>
      </w:r>
      <w:r w:rsidR="00445F76">
        <w:t>8</w:t>
      </w:r>
      <w:r>
        <w:t>.</w:t>
      </w:r>
      <w:r>
        <w:tab/>
      </w:r>
      <w:r w:rsidR="00463A1C" w:rsidRPr="007F2900">
        <w:t>Résultats des contrôles permanents</w:t>
      </w:r>
      <w:r w:rsidR="00D5659E">
        <w:t xml:space="preserve"> de 2</w:t>
      </w:r>
      <w:r w:rsidR="00D5659E" w:rsidRPr="002B7399">
        <w:rPr>
          <w:vertAlign w:val="superscript"/>
        </w:rPr>
        <w:t>ème</w:t>
      </w:r>
      <w:r w:rsidR="00D5659E">
        <w:t xml:space="preserve"> niveau</w:t>
      </w:r>
      <w:r w:rsidR="00463A1C" w:rsidRPr="007F2900">
        <w:t xml:space="preserve"> menés en matière de risque de non-conformité</w:t>
      </w:r>
      <w:bookmarkEnd w:id="50"/>
      <w:bookmarkEnd w:id="51"/>
      <w:r w:rsidR="00743C3A">
        <w:t> :</w:t>
      </w:r>
    </w:p>
    <w:p w14:paraId="118B5D75" w14:textId="77777777" w:rsidR="00331B88" w:rsidRDefault="00743C3A" w:rsidP="004F3BB8">
      <w:pPr>
        <w:pStyle w:val="SGACP-enumerationniveau1"/>
        <w:ind w:left="284" w:hanging="284"/>
      </w:pPr>
      <w:r>
        <w:t>p</w:t>
      </w:r>
      <w:r w:rsidR="00463A1C" w:rsidRPr="007F2900">
        <w:t>rincipales insuffisances relevées</w:t>
      </w:r>
      <w:r>
        <w:t> ;</w:t>
      </w:r>
    </w:p>
    <w:p w14:paraId="2A8D0C06" w14:textId="77777777" w:rsidR="00331B88" w:rsidRDefault="00743C3A"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14:paraId="001316B4" w14:textId="77777777"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14:paraId="775AA6AB" w14:textId="670C51A6"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6653E9">
        <w:t xml:space="preserve"> modifié</w:t>
      </w:r>
      <w:r w:rsidR="00463A1C" w:rsidRPr="005813F0">
        <w:t>)</w:t>
      </w:r>
      <w:r w:rsidRPr="005813F0">
        <w:t>.</w:t>
      </w:r>
    </w:p>
    <w:p w14:paraId="696C98F7" w14:textId="03EF07A2" w:rsidR="00D50807" w:rsidRDefault="00D50807" w:rsidP="00463A1C">
      <w:bookmarkStart w:id="52" w:name="_Toc266799796"/>
      <w:bookmarkStart w:id="53" w:name="_Toc266799860"/>
      <w:r>
        <w:br w:type="page"/>
      </w:r>
    </w:p>
    <w:bookmarkStart w:id="54" w:name="_Toc482264808"/>
    <w:bookmarkStart w:id="55" w:name="_Toc482264809"/>
    <w:bookmarkStart w:id="56" w:name="_Toc482264810"/>
    <w:bookmarkStart w:id="57" w:name="_Toc482264811"/>
    <w:bookmarkStart w:id="58" w:name="_Toc482264812"/>
    <w:bookmarkStart w:id="59" w:name="_Toc482264813"/>
    <w:bookmarkStart w:id="60" w:name="_Toc482264814"/>
    <w:bookmarkStart w:id="61" w:name="_Toc482264815"/>
    <w:bookmarkStart w:id="62" w:name="_Toc482264816"/>
    <w:bookmarkStart w:id="63" w:name="_Toc482264817"/>
    <w:bookmarkStart w:id="64" w:name="_Toc482264818"/>
    <w:bookmarkStart w:id="65" w:name="_Toc482264819"/>
    <w:bookmarkStart w:id="66" w:name="_Toc482264820"/>
    <w:bookmarkStart w:id="67" w:name="_Toc482264821"/>
    <w:bookmarkStart w:id="68" w:name="_Toc482264822"/>
    <w:bookmarkStart w:id="69" w:name="_Toc482264823"/>
    <w:bookmarkStart w:id="70" w:name="_Toc482264824"/>
    <w:bookmarkStart w:id="71" w:name="_Toc482264825"/>
    <w:bookmarkStart w:id="72" w:name="_Toc482264826"/>
    <w:bookmarkStart w:id="73" w:name="_Toc482264827"/>
    <w:bookmarkStart w:id="74" w:name="_Toc482264828"/>
    <w:bookmarkStart w:id="75" w:name="_Toc482264829"/>
    <w:bookmarkStart w:id="76" w:name="_Toc482264830"/>
    <w:bookmarkStart w:id="77" w:name="_Toc482264831"/>
    <w:bookmarkStart w:id="78" w:name="_Toc48226483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06352B74" w14:textId="40706A5E" w:rsidR="00331B88" w:rsidRDefault="00A72BE1">
      <w:pPr>
        <w:pStyle w:val="StyleSGACP-titrederubriqueniveau1CouleurpersonnaliseRVB"/>
        <w:ind w:left="426" w:hanging="426"/>
      </w:pPr>
      <w:r>
        <w:fldChar w:fldCharType="begin"/>
      </w:r>
      <w:r>
        <w:instrText xml:space="preserve"> HYPERLINK \l "_Toc244938696" </w:instrText>
      </w:r>
      <w:r>
        <w:fldChar w:fldCharType="separate"/>
      </w:r>
      <w:bookmarkStart w:id="79" w:name="_Toc266799861"/>
      <w:bookmarkStart w:id="80" w:name="_Toc266799801"/>
      <w:bookmarkStart w:id="81" w:name="_Toc106958068"/>
      <w:r w:rsidR="00463A1C" w:rsidRPr="007D7872">
        <w:t>Risque de crédit</w:t>
      </w:r>
      <w:bookmarkEnd w:id="79"/>
      <w:bookmarkEnd w:id="80"/>
      <w:r>
        <w:fldChar w:fldCharType="end"/>
      </w:r>
      <w:r w:rsidR="001F19C0">
        <w:t xml:space="preserve"> </w:t>
      </w:r>
      <w:r w:rsidR="00506F68">
        <w:t xml:space="preserve">et de contrepartie </w:t>
      </w:r>
      <w:r w:rsidR="00625CFE">
        <w:t>(cf. articles 106 à 121 de l’arrêté du 3 novembre 2014</w:t>
      </w:r>
      <w:r w:rsidR="006653E9">
        <w:t xml:space="preserve"> modifié</w:t>
      </w:r>
      <w:r w:rsidR="00625CFE">
        <w:t>)</w:t>
      </w:r>
      <w:bookmarkEnd w:id="81"/>
    </w:p>
    <w:p w14:paraId="40D0ADF3" w14:textId="77777777" w:rsidR="00A509C0" w:rsidRPr="00440703" w:rsidRDefault="00A509C0" w:rsidP="00463A1C"/>
    <w:p w14:paraId="20AE0E95" w14:textId="77777777" w:rsidR="00463A1C" w:rsidRDefault="00463A1C" w:rsidP="00BB0752">
      <w:pPr>
        <w:pStyle w:val="SGACP-textecourant"/>
        <w:rPr>
          <w:i/>
          <w:iCs/>
        </w:rPr>
      </w:pPr>
      <w:r w:rsidRPr="00935917">
        <w:rPr>
          <w:b/>
          <w:i/>
          <w:iCs/>
          <w:color w:val="003B8E"/>
        </w:rPr>
        <w:t>N</w:t>
      </w:r>
      <w:r w:rsidR="001511E1" w:rsidRPr="00935917">
        <w:rPr>
          <w:b/>
          <w:i/>
          <w:iCs/>
          <w:color w:val="003B8E"/>
        </w:rPr>
        <w:t>ota bene</w:t>
      </w:r>
      <w:r w:rsidRPr="00A509C0">
        <w:rPr>
          <w:i/>
          <w:iCs/>
        </w:rPr>
        <w:t xml:space="preserve"> : </w:t>
      </w:r>
      <w:r w:rsidR="00A509C0">
        <w:rPr>
          <w:i/>
          <w:iCs/>
        </w:rPr>
        <w:t>p</w:t>
      </w:r>
      <w:r w:rsidRPr="00A509C0">
        <w:rPr>
          <w:i/>
          <w:iCs/>
        </w:rPr>
        <w:t>our les prestataires de services d</w:t>
      </w:r>
      <w:r w:rsidR="001224E7">
        <w:rPr>
          <w:i/>
          <w:iCs/>
        </w:rPr>
        <w:t>’</w:t>
      </w:r>
      <w:r w:rsidRPr="00A509C0">
        <w:rPr>
          <w:i/>
          <w:iCs/>
        </w:rPr>
        <w:t xml:space="preserve">investissement (PSI), le cas particulier des </w:t>
      </w:r>
      <w:r w:rsidRPr="008335E0">
        <w:rPr>
          <w:b/>
          <w:i/>
          <w:iCs/>
        </w:rPr>
        <w:t>opérations de service à règlement-livraison différé (SRD)</w:t>
      </w:r>
      <w:r w:rsidRPr="00A509C0">
        <w:rPr>
          <w:i/>
          <w:iCs/>
        </w:rPr>
        <w:t>, est traité dans ce chapitre avec notamment des éléments d</w:t>
      </w:r>
      <w:r w:rsidR="001224E7">
        <w:rPr>
          <w:i/>
          <w:iCs/>
        </w:rPr>
        <w:t>’</w:t>
      </w:r>
      <w:r w:rsidRPr="00A509C0">
        <w:rPr>
          <w:i/>
          <w:iCs/>
        </w:rPr>
        <w:t>information sur la sélection des clients pour lesquels ce type d</w:t>
      </w:r>
      <w:r w:rsidR="001224E7">
        <w:rPr>
          <w:i/>
          <w:iCs/>
        </w:rPr>
        <w:t>’</w:t>
      </w:r>
      <w:r w:rsidRPr="00A509C0">
        <w:rPr>
          <w:i/>
          <w:iCs/>
        </w:rPr>
        <w:t>ordre est autorisé, sur les limites d</w:t>
      </w:r>
      <w:r w:rsidR="001224E7">
        <w:rPr>
          <w:i/>
          <w:iCs/>
        </w:rPr>
        <w:t>’</w:t>
      </w:r>
      <w:r w:rsidRPr="00A509C0">
        <w:rPr>
          <w:i/>
          <w:iCs/>
        </w:rPr>
        <w:t>intervention fixées et sur la gestion du risque (couverture initiale, maintien de cette couverture, suivi des prorogations, provisionnement des créances douteuses).</w:t>
      </w:r>
    </w:p>
    <w:p w14:paraId="507232A9" w14:textId="77777777" w:rsidR="007B6E6E" w:rsidRDefault="007B6E6E" w:rsidP="00BB0752">
      <w:pPr>
        <w:pStyle w:val="SGACP-textecourant"/>
        <w:rPr>
          <w:i/>
          <w:iCs/>
        </w:rPr>
      </w:pPr>
    </w:p>
    <w:p w14:paraId="06D43DEF" w14:textId="77777777" w:rsidR="00463A1C" w:rsidRPr="007F2900" w:rsidRDefault="008F3AF1" w:rsidP="00A73147">
      <w:pPr>
        <w:pStyle w:val="SGACP-sous-titrederubriquenivaeu2"/>
      </w:pPr>
      <w:bookmarkStart w:id="82" w:name="_Toc266799802"/>
      <w:r>
        <w:t>8</w:t>
      </w:r>
      <w:r w:rsidR="00A73147">
        <w:t>.1.</w:t>
      </w:r>
      <w:r w:rsidR="00A73147">
        <w:tab/>
      </w:r>
      <w:r w:rsidR="00463A1C" w:rsidRPr="007F2900">
        <w:t>Dispositif de sélection des opérations</w:t>
      </w:r>
      <w:bookmarkEnd w:id="82"/>
      <w:r w:rsidR="00F26BD5">
        <w:t> :</w:t>
      </w:r>
    </w:p>
    <w:p w14:paraId="1758A237" w14:textId="77777777" w:rsidR="00331B88" w:rsidRDefault="00F26BD5" w:rsidP="004F3BB8">
      <w:pPr>
        <w:pStyle w:val="SGACP-enumerationniveau1"/>
        <w:ind w:left="284" w:hanging="284"/>
      </w:pPr>
      <w:r>
        <w:t>c</w:t>
      </w:r>
      <w:r w:rsidR="00463A1C" w:rsidRPr="007F2900">
        <w:t>ritères prédéfinis de sélection des opérations</w:t>
      </w:r>
      <w:r>
        <w:t> ;</w:t>
      </w:r>
    </w:p>
    <w:p w14:paraId="3E53C7C9"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14:paraId="2F243F84" w14:textId="77777777"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6242B3">
        <w:t> ;</w:t>
      </w:r>
    </w:p>
    <w:p w14:paraId="1CA56819" w14:textId="77777777" w:rsidR="00331B88" w:rsidRDefault="00EA6D5F" w:rsidP="004F3BB8">
      <w:pPr>
        <w:pStyle w:val="SGACP-enumerationniveau1"/>
        <w:ind w:left="284" w:hanging="284"/>
      </w:pPr>
      <w:r>
        <w:t>p</w:t>
      </w:r>
      <w:r w:rsidR="00B23D5B" w:rsidRPr="00B23D5B">
        <w:t>olitique d</w:t>
      </w:r>
      <w:r w:rsidR="001224E7">
        <w:t>’</w:t>
      </w:r>
      <w:r w:rsidR="00B23D5B" w:rsidRPr="00B23D5B">
        <w:t>octroi des crédits à l</w:t>
      </w:r>
      <w:r w:rsidR="001224E7">
        <w:t>’</w:t>
      </w:r>
      <w:r w:rsidR="00B23D5B" w:rsidRPr="00B23D5B">
        <w:t>habitat à la clientèle française, notamment en ce qui concerne les critères relatifs à la charge de remboursement en fonction du revenu disponible des emprunteurs, au rapport entre le montant des prêts accordés et la valeur des biens financés et à la durée des crédits</w:t>
      </w:r>
      <w:r w:rsidR="006242B3">
        <w:t>.</w:t>
      </w:r>
    </w:p>
    <w:p w14:paraId="109742F4" w14:textId="77777777" w:rsidR="00A73147" w:rsidRPr="00440703" w:rsidRDefault="00A73147" w:rsidP="00463A1C">
      <w:bookmarkStart w:id="83" w:name="_Toc244576447"/>
      <w:bookmarkStart w:id="84" w:name="_Toc266799803"/>
    </w:p>
    <w:p w14:paraId="15F04324" w14:textId="52898985" w:rsidR="00F11B34" w:rsidRDefault="008F3AF1" w:rsidP="00724D63">
      <w:pPr>
        <w:pStyle w:val="SGACP-sous-titrederubriquenivaeu2"/>
      </w:pPr>
      <w:r>
        <w:t>8</w:t>
      </w:r>
      <w:r w:rsidR="00A73147">
        <w:t>.2.</w:t>
      </w:r>
      <w:r w:rsidR="00A73147">
        <w:tab/>
      </w:r>
      <w:r w:rsidR="00463A1C" w:rsidRPr="007F2900">
        <w:t>Dispositif de mesure et de surveillance des risques</w:t>
      </w:r>
      <w:bookmarkEnd w:id="83"/>
      <w:bookmarkEnd w:id="84"/>
      <w:r w:rsidR="00F26BD5">
        <w:t> :</w:t>
      </w:r>
    </w:p>
    <w:p w14:paraId="016D8E6F" w14:textId="6DCBEC0F" w:rsidR="005E4A09" w:rsidRDefault="005E4A09" w:rsidP="00724D63">
      <w:pPr>
        <w:pStyle w:val="SGACP-sous-titrederubriquenivaeu2"/>
      </w:pPr>
    </w:p>
    <w:p w14:paraId="3D4C6DE8" w14:textId="77777777"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14:paraId="38212F1B" w14:textId="77777777"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14:paraId="6C18DFC5" w14:textId="77777777" w:rsidR="00331B88" w:rsidRDefault="00F26BD5" w:rsidP="004F3BB8">
      <w:pPr>
        <w:pStyle w:val="SGACP-enumerationniveau1"/>
        <w:ind w:left="284" w:hanging="284"/>
      </w:pPr>
      <w:r>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14:paraId="114D74EA" w14:textId="77777777"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14:paraId="638B01A8" w14:textId="77777777" w:rsidR="00331B88" w:rsidRDefault="00F26BD5" w:rsidP="004F3BB8">
      <w:pPr>
        <w:pStyle w:val="SGACP-enumerationniveau1"/>
        <w:ind w:left="284" w:hanging="284"/>
      </w:pPr>
      <w:r>
        <w:t>p</w:t>
      </w:r>
      <w:r w:rsidR="00463A1C" w:rsidRPr="007F2900">
        <w:t>rocédures suivies pour autoriser ces dépassements</w:t>
      </w:r>
      <w:r>
        <w:t> ;</w:t>
      </w:r>
    </w:p>
    <w:p w14:paraId="66CB8343" w14:textId="77777777" w:rsidR="00331B88" w:rsidRDefault="00F26BD5" w:rsidP="004F3BB8">
      <w:pPr>
        <w:pStyle w:val="SGACP-enumerationniveau1"/>
        <w:ind w:left="284" w:hanging="284"/>
      </w:pPr>
      <w:r>
        <w:t>m</w:t>
      </w:r>
      <w:r w:rsidR="00463A1C" w:rsidRPr="007F2900">
        <w:t>esures mises en œuvre pour régulariser ces dépassements</w:t>
      </w:r>
      <w:r>
        <w:t> ;</w:t>
      </w:r>
    </w:p>
    <w:p w14:paraId="28779D7F" w14:textId="77777777"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14:paraId="0FE1EA28" w14:textId="77777777" w:rsidR="00E40A8F" w:rsidRDefault="00E40A8F" w:rsidP="00E40A8F">
      <w:pPr>
        <w:pStyle w:val="SGACP-enumerationniveau1"/>
        <w:ind w:left="284" w:hanging="284"/>
      </w:pPr>
      <w:r>
        <w:t xml:space="preserve">description des dispositifs de suivi des indicateurs avancés du risque (préciser les principaux critères de placement des contreparties sous </w:t>
      </w:r>
      <w:r w:rsidRPr="00890013">
        <w:rPr>
          <w:i/>
        </w:rPr>
        <w:t>watch-list</w:t>
      </w:r>
      <w:r>
        <w:t>) ;</w:t>
      </w:r>
    </w:p>
    <w:p w14:paraId="68E0ABEA" w14:textId="4E610928"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14:paraId="7BA92250" w14:textId="140193A0" w:rsidR="0013740F" w:rsidRDefault="0013740F" w:rsidP="0013740F">
      <w:pPr>
        <w:pStyle w:val="SGACP-enumerationniveau1"/>
        <w:ind w:left="284" w:hanging="284"/>
      </w:pPr>
      <w:r>
        <w:t xml:space="preserve">adaptations prises par l’établissement </w:t>
      </w:r>
      <w:r w:rsidRPr="0013740F">
        <w:t xml:space="preserve">pour se </w:t>
      </w:r>
      <w:r>
        <w:t xml:space="preserve">mettre en conformité avec </w:t>
      </w:r>
      <w:r w:rsidRPr="0013740F">
        <w:t xml:space="preserve">les </w:t>
      </w:r>
      <w:r w:rsidR="000001E8">
        <w:t>O</w:t>
      </w:r>
      <w:r w:rsidRPr="0013740F">
        <w:t xml:space="preserve">rientations de l’ABE </w:t>
      </w:r>
      <w:r>
        <w:t>sur</w:t>
      </w:r>
      <w:r w:rsidRPr="0013740F">
        <w:t xml:space="preserve"> </w:t>
      </w:r>
      <w:r>
        <w:t>l'application de la définition du défaut qui sont entrées en vigueur depuis le 1</w:t>
      </w:r>
      <w:r w:rsidRPr="0013740F">
        <w:rPr>
          <w:vertAlign w:val="superscript"/>
        </w:rPr>
        <w:t>er</w:t>
      </w:r>
      <w:r>
        <w:t xml:space="preserve"> janvier 2021</w:t>
      </w:r>
      <w:r w:rsidR="003678D6">
        <w:t xml:space="preserve"> (</w:t>
      </w:r>
      <w:r w:rsidR="003678D6" w:rsidRPr="0035393E">
        <w:t>EBA/GL/2016/07</w:t>
      </w:r>
      <w:r w:rsidR="003678D6">
        <w:t>)</w:t>
      </w:r>
      <w:r>
        <w:t> ;</w:t>
      </w:r>
    </w:p>
    <w:p w14:paraId="0E30105E" w14:textId="77777777"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D82F7B">
        <w:t xml:space="preserve"> </w:t>
      </w:r>
      <w:r>
        <w:t>;</w:t>
      </w:r>
    </w:p>
    <w:p w14:paraId="64F0B040" w14:textId="7031153F"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w:t>
      </w:r>
      <w:r w:rsidR="006653E9">
        <w:t xml:space="preserve"> modifié</w:t>
      </w:r>
      <w:r>
        <w:t>) ;</w:t>
      </w:r>
    </w:p>
    <w:p w14:paraId="00A679BF" w14:textId="250665C0" w:rsidR="00D21E38" w:rsidRDefault="00A02E95" w:rsidP="00A85C3C">
      <w:pPr>
        <w:pStyle w:val="SGACP-enumerationniveau1"/>
        <w:ind w:left="284" w:hanging="284"/>
      </w:pPr>
      <w:r>
        <w:t>pour les établissements</w:t>
      </w:r>
      <w:r w:rsidR="00E72B15">
        <w:t xml:space="preserve"> </w:t>
      </w:r>
      <w:r w:rsidR="006B633A" w:rsidRPr="00716DB6">
        <w:t xml:space="preserve">de crédit </w:t>
      </w:r>
      <w:r w:rsidR="00F96C6A" w:rsidRPr="00716DB6">
        <w:t>et les entreprises d’investissement</w:t>
      </w:r>
      <w:r w:rsidR="00F96C6A">
        <w:t xml:space="preserve"> </w:t>
      </w:r>
      <w:r w:rsidR="00E72B15">
        <w:t xml:space="preserve">présentant </w:t>
      </w:r>
      <w:r w:rsidR="00E72B15" w:rsidRPr="00D91E59">
        <w:t xml:space="preserve">un niveau </w:t>
      </w:r>
      <w:r w:rsidR="00E72B15">
        <w:t>de prêts</w:t>
      </w:r>
      <w:r w:rsidR="00E72B15" w:rsidRPr="00D91E59">
        <w:t xml:space="preserve"> non performants</w:t>
      </w:r>
      <w:r w:rsidR="00C1119A">
        <w:t xml:space="preserve"> supérieur à 5%</w:t>
      </w:r>
      <w:r w:rsidR="00D91E59">
        <w:t> :</w:t>
      </w:r>
      <w:r w:rsidR="00E72B15" w:rsidRPr="00D91E59">
        <w:t xml:space="preserve"> présentation </w:t>
      </w:r>
      <w:r w:rsidR="00E72B15">
        <w:t xml:space="preserve">de la </w:t>
      </w:r>
      <w:r w:rsidR="00E72B15" w:rsidRPr="00D91E59">
        <w:t xml:space="preserve">stratégie </w:t>
      </w:r>
      <w:r w:rsidR="00D91E59">
        <w:t>de gestion</w:t>
      </w:r>
      <w:r w:rsidR="003256B8">
        <w:t xml:space="preserve"> et de réduction</w:t>
      </w:r>
      <w:r w:rsidR="00D91E59">
        <w:t xml:space="preserve"> des expositions non-performantes </w:t>
      </w:r>
      <w:r w:rsidR="00E72B15" w:rsidRPr="00D91E59">
        <w:t xml:space="preserve">poursuivie </w:t>
      </w:r>
      <w:r w:rsidR="00D91E59" w:rsidRPr="00D91E59">
        <w:rPr>
          <w:i/>
        </w:rPr>
        <w:t>(</w:t>
      </w:r>
      <w:r w:rsidR="00E72B15" w:rsidRPr="00D91E59">
        <w:rPr>
          <w:i/>
        </w:rPr>
        <w:t>plan d’action</w:t>
      </w:r>
      <w:r w:rsidR="003256B8">
        <w:rPr>
          <w:i/>
        </w:rPr>
        <w:t xml:space="preserve"> et calendrier</w:t>
      </w:r>
      <w:r w:rsidR="00E72B15" w:rsidRPr="00D91E59">
        <w:rPr>
          <w:i/>
        </w:rPr>
        <w:t xml:space="preserve">, </w:t>
      </w:r>
      <w:r w:rsidR="003256B8" w:rsidRPr="003256B8">
        <w:rPr>
          <w:i/>
        </w:rPr>
        <w:t>évaluation de l’environnement opérationnel, objectifs quantitatifs,</w:t>
      </w:r>
      <w:r w:rsidR="003256B8">
        <w:rPr>
          <w:i/>
        </w:rPr>
        <w:t xml:space="preserve"> </w:t>
      </w:r>
      <w:r w:rsidR="00E72B15" w:rsidRPr="00D91E59">
        <w:rPr>
          <w:i/>
        </w:rPr>
        <w:t>objectifs d’atteinte à court, moyen et long terme</w:t>
      </w:r>
      <w:r w:rsidR="003256B8" w:rsidRPr="003256B8">
        <w:rPr>
          <w:i/>
        </w:rPr>
        <w:t xml:space="preserve">, objectifs par principaux portefeuilles, objectifs par options de mise en œuvre </w:t>
      </w:r>
      <w:r w:rsidR="00E72B15" w:rsidRPr="00D91E59">
        <w:rPr>
          <w:i/>
        </w:rPr>
        <w:t>…</w:t>
      </w:r>
      <w:r w:rsidR="00D91E59" w:rsidRPr="00D91E59">
        <w:rPr>
          <w:i/>
        </w:rPr>
        <w:t>)</w:t>
      </w:r>
      <w:r w:rsidR="00EB7A5E">
        <w:rPr>
          <w:i/>
        </w:rPr>
        <w:t xml:space="preserve"> </w:t>
      </w:r>
      <w:r w:rsidR="00EB7A5E" w:rsidRPr="00EB7A5E">
        <w:t>et</w:t>
      </w:r>
      <w:r w:rsidR="003A0B34" w:rsidRPr="00EB7A5E">
        <w:t xml:space="preserve"> </w:t>
      </w:r>
      <w:r w:rsidR="003A0B34" w:rsidRPr="003A0B34">
        <w:t>description d</w:t>
      </w:r>
      <w:r w:rsidR="00D91E59">
        <w:t>u dispositif de</w:t>
      </w:r>
      <w:r w:rsidR="00A162D5">
        <w:t xml:space="preserve"> </w:t>
      </w:r>
      <w:r w:rsidR="00E37C6E">
        <w:t>m</w:t>
      </w:r>
      <w:r w:rsidR="00D91E59">
        <w:t xml:space="preserve">ise en œuvre opérationnelle </w:t>
      </w:r>
      <w:r w:rsidR="00D91E59" w:rsidRPr="00D91E59">
        <w:rPr>
          <w:i/>
        </w:rPr>
        <w:t>(</w:t>
      </w:r>
      <w:r w:rsidR="003256B8" w:rsidRPr="003256B8">
        <w:rPr>
          <w:i/>
        </w:rPr>
        <w:t xml:space="preserve">plan opérationnel approuvé par l’organe de direction, </w:t>
      </w:r>
      <w:r w:rsidR="00D91E59" w:rsidRPr="00D91E59">
        <w:rPr>
          <w:i/>
        </w:rPr>
        <w:t xml:space="preserve">unités impliquées, outils </w:t>
      </w:r>
      <w:r w:rsidR="00A162D5">
        <w:rPr>
          <w:i/>
        </w:rPr>
        <w:t>utilis</w:t>
      </w:r>
      <w:r w:rsidR="00D91E59" w:rsidRPr="00D91E59">
        <w:rPr>
          <w:i/>
        </w:rPr>
        <w:t>és, fréquence des états de reporting instaurés</w:t>
      </w:r>
      <w:r w:rsidR="00D91E59">
        <w:rPr>
          <w:i/>
        </w:rPr>
        <w:t>, implication des instances dirigeantes</w:t>
      </w:r>
      <w:r w:rsidR="00D91E59" w:rsidRPr="00D91E59">
        <w:rPr>
          <w:i/>
        </w:rPr>
        <w:t>…)</w:t>
      </w:r>
      <w:r w:rsidR="00D91E59">
        <w:t xml:space="preserve"> ; </w:t>
      </w:r>
    </w:p>
    <w:p w14:paraId="0D99367C" w14:textId="756A321D" w:rsidR="00A02E95" w:rsidRDefault="006B633A" w:rsidP="00A85C3C">
      <w:pPr>
        <w:pStyle w:val="SGACP-enumerationniveau1"/>
        <w:ind w:left="284" w:hanging="284"/>
      </w:pPr>
      <w:r w:rsidRPr="00716DB6">
        <w:t>pour les établissements de crédit</w:t>
      </w:r>
      <w:r w:rsidR="00F96C6A" w:rsidRPr="00716DB6">
        <w:t xml:space="preserve"> et les entreprises d’investissement</w:t>
      </w:r>
      <w:r w:rsidR="00716DB6">
        <w:t> :</w:t>
      </w:r>
      <w:r>
        <w:t xml:space="preserve"> </w:t>
      </w:r>
      <w:r w:rsidR="00A3135B">
        <w:t xml:space="preserve">présentation </w:t>
      </w:r>
      <w:r w:rsidR="00DD194F">
        <w:t>d</w:t>
      </w:r>
      <w:r w:rsidR="00DA5D0A">
        <w:t>u processus</w:t>
      </w:r>
      <w:r w:rsidR="00D21E38">
        <w:t xml:space="preserve"> </w:t>
      </w:r>
      <w:r w:rsidR="00DD194F">
        <w:t xml:space="preserve">de </w:t>
      </w:r>
      <w:r w:rsidR="00D21E38">
        <w:t>restructuration des expositions</w:t>
      </w:r>
      <w:r w:rsidR="00DD194F">
        <w:t> </w:t>
      </w:r>
      <w:r w:rsidR="00DA5D0A" w:rsidRPr="003A0B34">
        <w:rPr>
          <w:i/>
        </w:rPr>
        <w:t>(</w:t>
      </w:r>
      <w:r w:rsidR="00DD194F" w:rsidRPr="003A0B34">
        <w:rPr>
          <w:i/>
        </w:rPr>
        <w:t>c</w:t>
      </w:r>
      <w:r w:rsidR="00D21E38" w:rsidRPr="003A0B34">
        <w:rPr>
          <w:i/>
        </w:rPr>
        <w:t>ritères pris en compte</w:t>
      </w:r>
      <w:r w:rsidR="00DD194F" w:rsidRPr="003A0B34">
        <w:rPr>
          <w:i/>
        </w:rPr>
        <w:t xml:space="preserve"> dans la décision de restructuration</w:t>
      </w:r>
      <w:r w:rsidR="00D21E38" w:rsidRPr="003A0B34">
        <w:rPr>
          <w:i/>
        </w:rPr>
        <w:t>, délais appliqués</w:t>
      </w:r>
      <w:r w:rsidR="00DD194F" w:rsidRPr="003A0B34">
        <w:rPr>
          <w:i/>
        </w:rPr>
        <w:t>, procédures de contrôle mises en place pour s’assurer de la viabilité de la mesure de restructuration prise</w:t>
      </w:r>
      <w:r w:rsidR="00DA5D0A" w:rsidRPr="003A0B34">
        <w:rPr>
          <w:i/>
        </w:rPr>
        <w:t>…)</w:t>
      </w:r>
      <w:r w:rsidR="00DA5D0A">
        <w:t xml:space="preserve"> et modalités de suivi des expositions restructurées</w:t>
      </w:r>
      <w:r w:rsidR="003256B8" w:rsidRPr="003256B8">
        <w:t xml:space="preserve">, notamment par des indicateurs clés de performance </w:t>
      </w:r>
      <w:r w:rsidR="003256B8" w:rsidRPr="00A85C3C">
        <w:rPr>
          <w:i/>
        </w:rPr>
        <w:t xml:space="preserve">(paramètres des </w:t>
      </w:r>
      <w:r w:rsidR="003256B8" w:rsidRPr="003256B8">
        <w:rPr>
          <w:i/>
        </w:rPr>
        <w:t>expositions non performantes</w:t>
      </w:r>
      <w:r w:rsidR="003256B8" w:rsidRPr="00A85C3C">
        <w:rPr>
          <w:i/>
        </w:rPr>
        <w:t>, activités de renégociation, activités de liquidation, promesse de paiement de l’emprunteur et la collecte de liquidités…)</w:t>
      </w:r>
      <w:r w:rsidR="003256B8">
        <w:rPr>
          <w:i/>
        </w:rPr>
        <w:t xml:space="preserve"> </w:t>
      </w:r>
      <w:r w:rsidR="00DD194F">
        <w:t>;</w:t>
      </w:r>
    </w:p>
    <w:p w14:paraId="49CBD8F6" w14:textId="77777777" w:rsidR="003A4420" w:rsidRDefault="003A4420" w:rsidP="00E72B15">
      <w:pPr>
        <w:pStyle w:val="SGACP-enumerationniveau1"/>
        <w:ind w:left="284" w:hanging="284"/>
      </w:pPr>
      <w:r>
        <w:t xml:space="preserve">description du processus d’évaluation comptable des pertes de crédit attendues (méthodes utilisées, facteurs et hypothèses </w:t>
      </w:r>
      <w:r w:rsidR="001C79CB">
        <w:t>pris en compte</w:t>
      </w:r>
      <w:r>
        <w:t xml:space="preserve"> dans les modèles</w:t>
      </w:r>
      <w:r w:rsidR="001C79CB">
        <w:t xml:space="preserve"> internes </w:t>
      </w:r>
      <w:r w:rsidR="00474936">
        <w:t>développés</w:t>
      </w:r>
      <w:r w:rsidR="001C79CB">
        <w:t>, périodicité de revue…) ;</w:t>
      </w:r>
      <w:r>
        <w:t xml:space="preserve"> </w:t>
      </w:r>
    </w:p>
    <w:p w14:paraId="2C4F3743" w14:textId="77777777"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14:paraId="7607D80F" w14:textId="77777777" w:rsidR="00E40A8F" w:rsidRDefault="00E40A8F" w:rsidP="00E40A8F">
      <w:pPr>
        <w:pStyle w:val="SGACP-enumerationniveau1"/>
        <w:ind w:left="284" w:hanging="284"/>
      </w:pPr>
      <w:r>
        <w:t>modalités et périodicité des exercices de back-testing des modèles de provisionnement collectif et statistique, ainsi que les principaux résultats de l’année le cas échéant ;</w:t>
      </w:r>
    </w:p>
    <w:p w14:paraId="25F8A5AC" w14:textId="77777777" w:rsidR="00331B88" w:rsidRPr="00846FAA" w:rsidRDefault="00F26BD5" w:rsidP="004F3BB8">
      <w:pPr>
        <w:pStyle w:val="SGACP-enumerationniveau1"/>
        <w:ind w:left="284" w:hanging="284"/>
        <w:rPr>
          <w:i/>
          <w:iCs/>
        </w:rPr>
      </w:pPr>
      <w:r>
        <w:t>m</w:t>
      </w:r>
      <w:r w:rsidR="00463A1C" w:rsidRPr="007F2900">
        <w:t>odalités et périodicité de l</w:t>
      </w:r>
      <w:r w:rsidR="001224E7">
        <w:t>’</w:t>
      </w:r>
      <w:r w:rsidR="00463A1C" w:rsidRPr="007F2900">
        <w:t xml:space="preserve">analyse des risques de perte de valeur des actifs loués </w:t>
      </w:r>
      <w:r w:rsidR="00463A1C" w:rsidRPr="00210431">
        <w:rPr>
          <w:iCs/>
        </w:rPr>
        <w:t>(opérations de location à caractère financier)</w:t>
      </w:r>
      <w:r w:rsidRPr="00210431">
        <w:rPr>
          <w:iCs/>
        </w:rPr>
        <w:t> ;</w:t>
      </w:r>
    </w:p>
    <w:p w14:paraId="4EF87274" w14:textId="77777777" w:rsidR="00E40A8F" w:rsidRPr="00E40A8F" w:rsidRDefault="00E40A8F" w:rsidP="00E40A8F">
      <w:pPr>
        <w:pStyle w:val="SGACP-enumerationniveau1"/>
        <w:ind w:left="284" w:hanging="284"/>
        <w:rPr>
          <w:i/>
          <w:iCs/>
        </w:rPr>
      </w:pPr>
      <w:r>
        <w:t>m</w:t>
      </w:r>
      <w:r w:rsidRPr="007F2900">
        <w:t>odalités et périodicité de l</w:t>
      </w:r>
      <w:r>
        <w:t>’</w:t>
      </w:r>
      <w:r w:rsidRPr="007F2900">
        <w:t>analyse des risques de perte de valeur des actifs</w:t>
      </w:r>
      <w:r>
        <w:t xml:space="preserve"> immobiliers financés (y compris les actifs financés en crédit-bail) ;</w:t>
      </w:r>
    </w:p>
    <w:p w14:paraId="2C4BA41C" w14:textId="77777777"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14:paraId="6CE38316" w14:textId="41525A4E"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6653E9">
        <w:t xml:space="preserve"> modifié</w:t>
      </w:r>
      <w:r w:rsidR="00463A1C" w:rsidRPr="00935917">
        <w:rPr>
          <w:iCs/>
        </w:rPr>
        <w:t>)</w:t>
      </w:r>
      <w:r w:rsidRPr="00935917">
        <w:rPr>
          <w:iCs/>
        </w:rPr>
        <w:t> ;</w:t>
      </w:r>
    </w:p>
    <w:p w14:paraId="6F28D6AE" w14:textId="664BCFD5"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324FF6">
        <w:t>, de l’organe de surveillance</w:t>
      </w:r>
      <w:r w:rsidR="00463A1C" w:rsidRPr="007F2900">
        <w:t xml:space="preserve"> </w:t>
      </w:r>
      <w:r w:rsidR="00324FF6">
        <w:t xml:space="preserve">et le cas échéant du comité des risques </w:t>
      </w:r>
      <w:r w:rsidR="00463A1C" w:rsidRPr="007F2900">
        <w:t>sur le niveau des risques de crédit</w:t>
      </w:r>
      <w:r>
        <w:t> </w:t>
      </w:r>
      <w:r w:rsidR="00324FF6">
        <w:t>(cf. article 230 de l’arrêté du 3 novembre 2014</w:t>
      </w:r>
      <w:r w:rsidR="006653E9">
        <w:t xml:space="preserve"> modifié</w:t>
      </w:r>
      <w:r w:rsidR="00324FF6">
        <w:t xml:space="preserve">) </w:t>
      </w:r>
      <w:r>
        <w:t>;</w:t>
      </w:r>
    </w:p>
    <w:p w14:paraId="0CC0BC70" w14:textId="31790CC2" w:rsidR="0058734D" w:rsidRDefault="0058734D" w:rsidP="004F3BB8">
      <w:pPr>
        <w:pStyle w:val="SGACP-enumerationniveau1"/>
        <w:ind w:left="284" w:hanging="284"/>
      </w:pPr>
      <w:r>
        <w:t>rôle</w:t>
      </w:r>
      <w:r w:rsidR="008E631B">
        <w:t>s des dirigeants effectifs</w:t>
      </w:r>
      <w:r w:rsidR="00E914A0">
        <w:t>, de l’organe de surveillance</w:t>
      </w:r>
      <w:r w:rsidR="008E631B">
        <w:t xml:space="preserve"> et</w:t>
      </w:r>
      <w:r>
        <w:t xml:space="preserve"> </w:t>
      </w:r>
      <w:r w:rsidR="00E914A0">
        <w:t xml:space="preserve">le cas échéant </w:t>
      </w:r>
      <w:r>
        <w:t>du comité des risques dans la définition</w:t>
      </w:r>
      <w:r w:rsidR="008E631B">
        <w:t>, le contrôle et la révision</w:t>
      </w:r>
      <w:r w:rsidR="0091511E">
        <w:t xml:space="preserve"> de </w:t>
      </w:r>
      <w:r w:rsidR="00E914A0">
        <w:t xml:space="preserve">la stratégie globale en matière de risques </w:t>
      </w:r>
      <w:r w:rsidR="003D1AFF">
        <w:t xml:space="preserve">de crédit </w:t>
      </w:r>
      <w:r w:rsidR="00E914A0">
        <w:t xml:space="preserve">et de </w:t>
      </w:r>
      <w:r w:rsidR="0091511E">
        <w:t>l’appétence</w:t>
      </w:r>
      <w:r>
        <w:t xml:space="preserve"> pour le</w:t>
      </w:r>
      <w:r w:rsidR="003D1AFF">
        <w:t>s</w:t>
      </w:r>
      <w:r>
        <w:t xml:space="preserve"> risque</w:t>
      </w:r>
      <w:r w:rsidR="003D1AFF">
        <w:t>s de crédit</w:t>
      </w:r>
      <w:r>
        <w:t xml:space="preserve"> actuel</w:t>
      </w:r>
      <w:r w:rsidR="00E914A0">
        <w:t>s et futurs</w:t>
      </w:r>
      <w:r>
        <w:t xml:space="preserve"> de l’établissement</w:t>
      </w:r>
      <w:r w:rsidR="00E914A0">
        <w:t xml:space="preserve"> </w:t>
      </w:r>
      <w:r w:rsidR="0006478D">
        <w:t>(</w:t>
      </w:r>
      <w:r w:rsidR="00156279">
        <w:t xml:space="preserve">cf. </w:t>
      </w:r>
      <w:r w:rsidR="0006478D">
        <w:t xml:space="preserve">articles L.511-92 et L.511-93 </w:t>
      </w:r>
      <w:r w:rsidR="007C679C">
        <w:t xml:space="preserve">ou L. 533-31-1 et L. 533-31-2 </w:t>
      </w:r>
      <w:r w:rsidR="0006478D">
        <w:t>du Code monétaire et financier)</w:t>
      </w:r>
      <w:r w:rsidR="003D1AFF">
        <w:t>, et dans la fixation des limites (cf. article 224 de l’arrêté du 3 novembre 2014</w:t>
      </w:r>
      <w:r w:rsidR="006653E9">
        <w:t xml:space="preserve"> modifié</w:t>
      </w:r>
      <w:r w:rsidR="003D1AFF">
        <w:t>)</w:t>
      </w:r>
      <w:r w:rsidR="0006478D">
        <w:t xml:space="preserve"> </w:t>
      </w:r>
      <w:r>
        <w:t>;</w:t>
      </w:r>
    </w:p>
    <w:p w14:paraId="5909C577"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14:paraId="66E94995" w14:textId="77777777"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14:paraId="1EB8D3CA" w14:textId="77777777"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avec mise en évidence des prêts à l</w:t>
      </w:r>
      <w:r w:rsidR="001224E7">
        <w:t>’</w:t>
      </w:r>
      <w:r w:rsidR="00463A1C" w:rsidRPr="007F2900">
        <w:t>habitat) ou des lignes de métier pour lesquelles les marges sont calculées</w:t>
      </w:r>
      <w:r>
        <w:t>,</w:t>
      </w:r>
    </w:p>
    <w:p w14:paraId="33A1AD1F" w14:textId="77777777"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14:paraId="5C7B55B4" w14:textId="77777777" w:rsidR="00331B88" w:rsidRPr="00F053EE" w:rsidRDefault="00F26BD5" w:rsidP="004F3BB8">
      <w:pPr>
        <w:pStyle w:val="SGACP-enumerationniveau1"/>
        <w:ind w:left="284" w:hanging="284"/>
      </w:pPr>
      <w:r>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14:paraId="0293B342" w14:textId="77777777"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14:paraId="7750AEC9" w14:textId="77777777" w:rsidR="00324FF6" w:rsidRDefault="00EA6D5F" w:rsidP="003D1AFF">
      <w:pPr>
        <w:pStyle w:val="SGACP-enumerationniveau1"/>
        <w:ind w:left="284" w:hanging="284"/>
      </w:pPr>
      <w:r w:rsidRPr="00724D63">
        <w:t>m</w:t>
      </w:r>
      <w:r w:rsidR="00B23D5B" w:rsidRPr="00A57FEE">
        <w:t>odalités de suivi des critères d</w:t>
      </w:r>
      <w:r w:rsidR="001224E7" w:rsidRPr="00A57FEE">
        <w:t>’</w:t>
      </w:r>
      <w:r w:rsidR="00B23D5B" w:rsidRPr="00A57FEE">
        <w:t>octroi des crédits à l</w:t>
      </w:r>
      <w:r w:rsidR="001224E7" w:rsidRPr="00A57FEE">
        <w:t>’</w:t>
      </w:r>
      <w:r w:rsidR="00B23D5B" w:rsidRPr="00A57FEE">
        <w:t>habitat à la clientèle française</w:t>
      </w:r>
      <w:r w:rsidR="00E05D9A">
        <w:t> ;</w:t>
      </w:r>
    </w:p>
    <w:p w14:paraId="6D4E3D9F" w14:textId="77777777" w:rsidR="00E40A8F" w:rsidRDefault="00E40A8F" w:rsidP="00E40A8F">
      <w:pPr>
        <w:pStyle w:val="SGACP-enumerationniveau1"/>
        <w:ind w:left="284" w:hanging="284"/>
      </w:pPr>
      <w:r>
        <w:t>répartition des engagements de crédits à l’habitat par type de garantie (caution, hypothèques, et</w:t>
      </w:r>
      <w:r w:rsidR="00846FAA">
        <w:t>c</w:t>
      </w:r>
      <w:r>
        <w:t>.) ;</w:t>
      </w:r>
    </w:p>
    <w:p w14:paraId="6D9EDD31" w14:textId="77777777" w:rsidR="00E40A8F" w:rsidRDefault="00E40A8F" w:rsidP="00E40A8F">
      <w:pPr>
        <w:pStyle w:val="SGACP-enumerationniveau1"/>
        <w:ind w:left="284" w:hanging="284"/>
      </w:pPr>
      <w:r>
        <w:t>présentation de la LT</w:t>
      </w:r>
      <w:r w:rsidR="00825584">
        <w:t>V</w:t>
      </w:r>
      <w:r>
        <w:t xml:space="preserve"> sur crédits à l’habitat par type de garantie (à l’origination, en moyenne et après réévaluation des collatéraux) ;</w:t>
      </w:r>
    </w:p>
    <w:p w14:paraId="02989851" w14:textId="2E107DC6"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A264FD">
        <w:t>, assisté le cas échéant du comité des risques</w:t>
      </w:r>
      <w:r w:rsidR="000319CD">
        <w:t xml:space="preserve"> (cf. article 253 de l’arrêté du 3 novembre 2014</w:t>
      </w:r>
      <w:r w:rsidR="006653E9">
        <w:t xml:space="preserve"> modifié</w:t>
      </w:r>
      <w:r w:rsidR="000319CD">
        <w:t>)</w:t>
      </w:r>
      <w:r w:rsidR="00E05D9A">
        <w:t> ;</w:t>
      </w:r>
    </w:p>
    <w:p w14:paraId="3318041D" w14:textId="77777777" w:rsidR="004A229A" w:rsidRDefault="000319CD" w:rsidP="00935917">
      <w:pPr>
        <w:pStyle w:val="SGACP-enumerationniveau1"/>
        <w:ind w:left="284" w:hanging="284"/>
      </w:pPr>
      <w:r>
        <w:t xml:space="preserve">modalités d’approbation </w:t>
      </w:r>
      <w:r w:rsidR="00E05D9A">
        <w:t xml:space="preserve">et de révision </w:t>
      </w:r>
      <w:r>
        <w:t>par l’organe de surveillance des stratégies et politiques régissant</w:t>
      </w:r>
      <w:r w:rsidR="00724D63">
        <w:t xml:space="preserve"> </w:t>
      </w:r>
      <w:r>
        <w:t>la prise, la gestion, le suivi et la réduction des risques de crédit</w:t>
      </w:r>
      <w:r w:rsidR="00E05D9A">
        <w:t xml:space="preserve"> (cf. article L.511-60 du Code monétaire et financier)</w:t>
      </w:r>
      <w:bookmarkStart w:id="85" w:name="_Toc244576448"/>
      <w:bookmarkStart w:id="86" w:name="_Toc266799804"/>
      <w:r w:rsidR="00D82F7B">
        <w:t> ;</w:t>
      </w:r>
    </w:p>
    <w:p w14:paraId="3B629837" w14:textId="77777777" w:rsidR="00023B27" w:rsidRDefault="00023B27" w:rsidP="00023B27">
      <w:pPr>
        <w:pStyle w:val="SGACP-enumerationniveau1"/>
        <w:ind w:left="284" w:hanging="284"/>
      </w:pPr>
      <w:r>
        <w:t>le cas échéant, m</w:t>
      </w:r>
      <w:r w:rsidRPr="007F2900">
        <w:t xml:space="preserve">odalités et périodicité de </w:t>
      </w:r>
      <w:r>
        <w:t>l’analyse, de la mesure et de la surveillance du risque lié aux opérations intragroupe (risque de crédit et risque de crédit de contrepartie).</w:t>
      </w:r>
    </w:p>
    <w:p w14:paraId="507651FE" w14:textId="77777777" w:rsidR="00023B27" w:rsidRDefault="00023B27" w:rsidP="00023B27">
      <w:pPr>
        <w:pStyle w:val="SGACP-enumerationniveau1"/>
        <w:numPr>
          <w:ilvl w:val="0"/>
          <w:numId w:val="0"/>
        </w:numPr>
        <w:ind w:left="284"/>
      </w:pPr>
    </w:p>
    <w:p w14:paraId="66345935" w14:textId="77777777" w:rsidR="00023B27" w:rsidRDefault="00023B27" w:rsidP="002C0F9D">
      <w:pPr>
        <w:pStyle w:val="SGACP-enumerationniveau1"/>
        <w:numPr>
          <w:ilvl w:val="0"/>
          <w:numId w:val="0"/>
        </w:numPr>
      </w:pPr>
      <w:r w:rsidRPr="005B1D5E">
        <w:rPr>
          <w:u w:val="single"/>
        </w:rPr>
        <w:t>Éléments spécifiques au risque de crédit de contrepartie</w:t>
      </w:r>
      <w:r>
        <w:t> :</w:t>
      </w:r>
    </w:p>
    <w:p w14:paraId="014F4197" w14:textId="77777777" w:rsidR="00023B27" w:rsidRDefault="00023B27" w:rsidP="00460E3D">
      <w:pPr>
        <w:pStyle w:val="SGACP-enumerationniveau1"/>
        <w:numPr>
          <w:ilvl w:val="0"/>
          <w:numId w:val="38"/>
        </w:numPr>
      </w:pPr>
      <w:r>
        <w:t>description des métriques de risque employées pour mesurer le risque de crédit de contrepartie</w:t>
      </w:r>
      <w:r w:rsidR="00D82F7B">
        <w:t> ;</w:t>
      </w:r>
    </w:p>
    <w:p w14:paraId="5893F095" w14:textId="77777777"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14:paraId="3E815CD8" w14:textId="77777777" w:rsidR="00F11B34" w:rsidRDefault="00F11B34" w:rsidP="004A229A">
      <w:pPr>
        <w:pStyle w:val="SGACP-enumerationniveau1"/>
        <w:numPr>
          <w:ilvl w:val="0"/>
          <w:numId w:val="0"/>
        </w:numPr>
        <w:spacing w:before="0"/>
      </w:pPr>
    </w:p>
    <w:p w14:paraId="03D3B22C" w14:textId="77777777" w:rsidR="00463A1C" w:rsidRPr="007F2900" w:rsidRDefault="008F3AF1" w:rsidP="00A73147">
      <w:pPr>
        <w:pStyle w:val="SGACP-sous-titrederubriquenivaeu2"/>
      </w:pPr>
      <w:r>
        <w:t>8</w:t>
      </w:r>
      <w:r w:rsidR="00A73147">
        <w:t>.3.</w:t>
      </w:r>
      <w:r w:rsidR="00A73147">
        <w:tab/>
      </w:r>
      <w:r w:rsidR="00463A1C" w:rsidRPr="007F2900">
        <w:t>Risque de concentration</w:t>
      </w:r>
      <w:bookmarkEnd w:id="85"/>
      <w:bookmarkEnd w:id="86"/>
    </w:p>
    <w:p w14:paraId="6B670472" w14:textId="77777777" w:rsidR="00A73147" w:rsidRPr="00440703" w:rsidRDefault="00A73147" w:rsidP="00A73147">
      <w:bookmarkStart w:id="87" w:name="_Toc244576449"/>
      <w:bookmarkStart w:id="88" w:name="_Toc266799805"/>
    </w:p>
    <w:p w14:paraId="6A2267AC" w14:textId="77777777" w:rsidR="00463A1C" w:rsidRDefault="008F3AF1" w:rsidP="00A73147">
      <w:pPr>
        <w:pStyle w:val="SGACP-sous-titrederubriqueniveau3"/>
      </w:pPr>
      <w:r>
        <w:t>8</w:t>
      </w:r>
      <w:r w:rsidR="00A73147">
        <w:t>.3.1</w:t>
      </w:r>
      <w:r w:rsidR="00710008">
        <w:t>.</w:t>
      </w:r>
      <w:r w:rsidR="00A73147">
        <w:tab/>
      </w:r>
      <w:r w:rsidR="00463A1C" w:rsidRPr="007F2900">
        <w:t>Risque de concentration par contrepartie</w:t>
      </w:r>
      <w:bookmarkEnd w:id="87"/>
      <w:bookmarkEnd w:id="88"/>
      <w:r w:rsidR="00F26BD5">
        <w:t> :</w:t>
      </w:r>
    </w:p>
    <w:p w14:paraId="44F01ECE" w14:textId="43C97744" w:rsidR="00BD4E69" w:rsidRDefault="00BD4E69" w:rsidP="00A73147">
      <w:pPr>
        <w:pStyle w:val="SGACP-sous-titrederubriqueniveau3"/>
      </w:pPr>
    </w:p>
    <w:p w14:paraId="6B0AA463" w14:textId="3E657B50" w:rsidR="005F398B" w:rsidRDefault="005F398B" w:rsidP="005F398B">
      <w:pPr>
        <w:rPr>
          <w:i/>
          <w:sz w:val="22"/>
          <w:szCs w:val="22"/>
        </w:rPr>
      </w:pPr>
      <w:r w:rsidRPr="007655D3">
        <w:rPr>
          <w:b/>
          <w:i/>
          <w:color w:val="003B8E"/>
          <w:sz w:val="22"/>
          <w:szCs w:val="22"/>
        </w:rPr>
        <w:t>Nota bene</w:t>
      </w:r>
      <w:r w:rsidRPr="007655D3">
        <w:rPr>
          <w:i/>
          <w:sz w:val="22"/>
          <w:szCs w:val="22"/>
        </w:rPr>
        <w:t> : Pour l’exercice 20</w:t>
      </w:r>
      <w:r>
        <w:rPr>
          <w:i/>
          <w:sz w:val="22"/>
          <w:szCs w:val="22"/>
        </w:rPr>
        <w:t>22</w:t>
      </w:r>
      <w:r w:rsidRPr="007655D3">
        <w:rPr>
          <w:i/>
          <w:sz w:val="22"/>
          <w:szCs w:val="22"/>
        </w:rPr>
        <w:t xml:space="preserve">, cette partie devra inclure une description des adaptations prises par l’établissement pour se mettre en conformité avec les nouvelles dispositions introduites par les </w:t>
      </w:r>
      <w:r w:rsidR="000001E8">
        <w:rPr>
          <w:i/>
          <w:sz w:val="22"/>
          <w:szCs w:val="22"/>
        </w:rPr>
        <w:t>O</w:t>
      </w:r>
      <w:r w:rsidRPr="007655D3">
        <w:rPr>
          <w:i/>
          <w:sz w:val="22"/>
          <w:szCs w:val="22"/>
        </w:rPr>
        <w:t>rientations de l’</w:t>
      </w:r>
      <w:r>
        <w:rPr>
          <w:i/>
          <w:sz w:val="22"/>
          <w:szCs w:val="22"/>
        </w:rPr>
        <w:t>ABE</w:t>
      </w:r>
      <w:r w:rsidRPr="007655D3">
        <w:rPr>
          <w:i/>
          <w:sz w:val="22"/>
          <w:szCs w:val="22"/>
        </w:rPr>
        <w:t xml:space="preserve"> </w:t>
      </w:r>
      <w:r w:rsidRPr="005F398B">
        <w:rPr>
          <w:i/>
          <w:sz w:val="22"/>
          <w:szCs w:val="22"/>
        </w:rPr>
        <w:t>précisant les critères d’évaluation des cas exceptionnels de dépassement</w:t>
      </w:r>
      <w:r>
        <w:rPr>
          <w:i/>
          <w:sz w:val="22"/>
          <w:szCs w:val="22"/>
        </w:rPr>
        <w:t xml:space="preserve"> </w:t>
      </w:r>
      <w:r w:rsidRPr="005F398B">
        <w:rPr>
          <w:i/>
          <w:sz w:val="22"/>
          <w:szCs w:val="22"/>
        </w:rPr>
        <w:t>des limites aux grands-risques ainsi que les délais et les mesures à prendre pour une remise en conformité</w:t>
      </w:r>
      <w:r w:rsidRPr="00BC7C55">
        <w:rPr>
          <w:i/>
          <w:sz w:val="22"/>
          <w:szCs w:val="22"/>
        </w:rPr>
        <w:t xml:space="preserve"> </w:t>
      </w:r>
      <w:r>
        <w:rPr>
          <w:i/>
          <w:sz w:val="22"/>
          <w:szCs w:val="22"/>
        </w:rPr>
        <w:t>(EBA/GL/2021/09)</w:t>
      </w:r>
      <w:r w:rsidR="003678D6">
        <w:rPr>
          <w:i/>
          <w:sz w:val="22"/>
          <w:szCs w:val="22"/>
        </w:rPr>
        <w:t xml:space="preserve"> </w:t>
      </w:r>
      <w:r w:rsidR="003678D6">
        <w:rPr>
          <w:i/>
          <w:iCs/>
          <w:sz w:val="22"/>
          <w:szCs w:val="22"/>
        </w:rPr>
        <w:t xml:space="preserve">et les Orientations de l’ABE précisant </w:t>
      </w:r>
      <w:r w:rsidR="003678D6" w:rsidRPr="00A71B38">
        <w:rPr>
          <w:i/>
          <w:iCs/>
          <w:sz w:val="22"/>
          <w:szCs w:val="22"/>
        </w:rPr>
        <w:t>les conditions p</w:t>
      </w:r>
      <w:r w:rsidR="003678D6">
        <w:rPr>
          <w:i/>
          <w:iCs/>
          <w:sz w:val="22"/>
          <w:szCs w:val="22"/>
        </w:rPr>
        <w:t xml:space="preserve">our l’application du traitement </w:t>
      </w:r>
      <w:r w:rsidR="003678D6" w:rsidRPr="00A71B38">
        <w:rPr>
          <w:i/>
          <w:iCs/>
          <w:sz w:val="22"/>
          <w:szCs w:val="22"/>
        </w:rPr>
        <w:t>alternatif des expositions des établissements liées aux</w:t>
      </w:r>
      <w:r w:rsidR="003678D6">
        <w:rPr>
          <w:i/>
          <w:iCs/>
          <w:sz w:val="22"/>
          <w:szCs w:val="22"/>
        </w:rPr>
        <w:t xml:space="preserve"> </w:t>
      </w:r>
      <w:r w:rsidR="003678D6" w:rsidRPr="00A71B38">
        <w:rPr>
          <w:i/>
          <w:iCs/>
          <w:sz w:val="22"/>
          <w:szCs w:val="22"/>
        </w:rPr>
        <w:t>«opérations de pension tripartites», visé</w:t>
      </w:r>
      <w:r w:rsidR="003678D6">
        <w:rPr>
          <w:i/>
          <w:iCs/>
          <w:sz w:val="22"/>
          <w:szCs w:val="22"/>
        </w:rPr>
        <w:t xml:space="preserve"> au paragraphe 3 de</w:t>
      </w:r>
      <w:r w:rsidR="003678D6" w:rsidRPr="00A71B38">
        <w:rPr>
          <w:i/>
          <w:iCs/>
          <w:sz w:val="22"/>
          <w:szCs w:val="22"/>
        </w:rPr>
        <w:t xml:space="preserve"> l’article 403 du règlement (UE) nº 575/2013 </w:t>
      </w:r>
      <w:r w:rsidR="003678D6">
        <w:rPr>
          <w:i/>
          <w:iCs/>
          <w:sz w:val="22"/>
          <w:szCs w:val="22"/>
        </w:rPr>
        <w:t>(EBA/GL/2021/01)</w:t>
      </w:r>
      <w:r w:rsidRPr="007655D3">
        <w:rPr>
          <w:i/>
          <w:sz w:val="22"/>
          <w:szCs w:val="22"/>
        </w:rPr>
        <w:t>.</w:t>
      </w:r>
    </w:p>
    <w:p w14:paraId="22F13F07" w14:textId="77777777" w:rsidR="005F398B" w:rsidRDefault="005F398B" w:rsidP="00A73147">
      <w:pPr>
        <w:pStyle w:val="SGACP-sous-titrederubriqueniveau3"/>
      </w:pPr>
    </w:p>
    <w:p w14:paraId="4AA0C0F1" w14:textId="77777777" w:rsidR="00331B88" w:rsidRDefault="00F26BD5" w:rsidP="004F3BB8">
      <w:pPr>
        <w:pStyle w:val="SGACP-enumerationniveau1"/>
        <w:ind w:left="284" w:hanging="284"/>
      </w:pPr>
      <w:r>
        <w:t>o</w:t>
      </w:r>
      <w:r w:rsidR="00463A1C" w:rsidRPr="007F2900">
        <w:t>util de suivi du risque de concentration par contrepartie</w:t>
      </w:r>
      <w:r w:rsidR="0032768B">
        <w:t xml:space="preserve"> y compris les contreparties centrales</w:t>
      </w:r>
      <w:r w:rsidR="00463A1C" w:rsidRPr="007F2900">
        <w:t> </w:t>
      </w:r>
      <w:r w:rsidR="009E3FDA">
        <w:t>et les entités du système bancaire parallèle</w:t>
      </w:r>
      <w:r w:rsidR="009E3FDA" w:rsidRPr="007F2900">
        <w:t>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vulnérabilité à la volatilité du prix des actifs notamment pour les entités du système bancaire parallèle,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 xml:space="preserve">un seuil quantitatif au-delà duquel cette recherche est systématique ...) ; </w:t>
      </w:r>
      <w:r w:rsidR="00450D36" w:rsidRPr="00EB2278">
        <w:t>l</w:t>
      </w:r>
      <w:r w:rsidR="001224E7">
        <w:t>’</w:t>
      </w:r>
      <w:r w:rsidR="00450D36" w:rsidRPr="00EB2278">
        <w:t>utilisation de l</w:t>
      </w:r>
      <w:r w:rsidR="001224E7">
        <w:t>’</w:t>
      </w:r>
      <w:r w:rsidR="00450D36" w:rsidRPr="00EB2278">
        <w:t>approche par transparence notamment en matière d</w:t>
      </w:r>
      <w:r w:rsidR="001224E7">
        <w:t>’</w:t>
      </w:r>
      <w:r w:rsidR="00450D36" w:rsidRPr="00EB2278">
        <w:t>expositions sur des organismes de placement collectif, des titrisations ou le refinancement de créances commerciales (affacturage, …) ain</w:t>
      </w:r>
      <w:r w:rsidR="00450D36">
        <w:t xml:space="preserve">si que </w:t>
      </w:r>
      <w:r w:rsidR="00463A1C" w:rsidRPr="00A73147">
        <w:t>sur l</w:t>
      </w:r>
      <w:r w:rsidR="001224E7">
        <w:t>’</w:t>
      </w:r>
      <w:r w:rsidR="00463A1C" w:rsidRPr="00A73147">
        <w:t xml:space="preserve">inclusion des techniques </w:t>
      </w:r>
      <w:r w:rsidR="007461CE">
        <w:t>d’atténuation</w:t>
      </w:r>
      <w:r w:rsidR="00463A1C" w:rsidRPr="00A73147">
        <w:t xml:space="preserve"> du risque de crédit), modalités d</w:t>
      </w:r>
      <w:r w:rsidR="001224E7">
        <w:t>’</w:t>
      </w:r>
      <w:r w:rsidR="00463A1C" w:rsidRPr="00A73147">
        <w:t xml:space="preserve">information </w:t>
      </w:r>
      <w:r w:rsidR="0003780F">
        <w:t>des dirigeants effectifs</w:t>
      </w:r>
      <w:r w:rsidR="00873542">
        <w:t xml:space="preserve"> et de l’organe de surveillance</w:t>
      </w:r>
      <w:r>
        <w:t> ;</w:t>
      </w:r>
    </w:p>
    <w:p w14:paraId="1416AE67"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452D5885" w14:textId="77777777" w:rsidR="00331B88" w:rsidRDefault="00F26BD5" w:rsidP="004F3BB8">
      <w:pPr>
        <w:pStyle w:val="SGACP-enumerationniveau1"/>
        <w:ind w:left="284" w:hanging="284"/>
      </w:pPr>
      <w:r>
        <w:t>m</w:t>
      </w:r>
      <w:r w:rsidR="00463A1C" w:rsidRPr="007F2900">
        <w:t>ontant des engagements sur les principales contreparties</w:t>
      </w:r>
      <w:r>
        <w:t> ;</w:t>
      </w:r>
    </w:p>
    <w:p w14:paraId="77A9BB82"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rsidR="0032768B" w:rsidRPr="0032768B">
        <w:t xml:space="preserve"> </w:t>
      </w:r>
      <w:r w:rsidR="0032768B">
        <w:t>y compris les contreparties centrales</w:t>
      </w:r>
      <w:r w:rsidR="009E3FDA">
        <w:t xml:space="preserve"> et les entités du système bancaire parallèle</w:t>
      </w:r>
      <w:r>
        <w:t>.</w:t>
      </w:r>
    </w:p>
    <w:p w14:paraId="458B5839" w14:textId="77777777" w:rsidR="004A229A" w:rsidRDefault="004A229A" w:rsidP="004A229A">
      <w:pPr>
        <w:pStyle w:val="SGACP-enumerationniveau1"/>
        <w:numPr>
          <w:ilvl w:val="0"/>
          <w:numId w:val="0"/>
        </w:numPr>
        <w:spacing w:before="0"/>
        <w:ind w:left="720"/>
      </w:pPr>
    </w:p>
    <w:p w14:paraId="0DC44F10" w14:textId="77777777" w:rsidR="00331B88" w:rsidRDefault="008F3AF1">
      <w:pPr>
        <w:pStyle w:val="SGACP-sous-titrederubriqueniveau3"/>
        <w:keepNext/>
        <w:keepLines/>
      </w:pPr>
      <w:bookmarkStart w:id="89" w:name="_Toc244576450"/>
      <w:bookmarkStart w:id="90" w:name="_Toc266799806"/>
      <w:r>
        <w:t>8</w:t>
      </w:r>
      <w:r w:rsidR="00A73147">
        <w:t>.3.2</w:t>
      </w:r>
      <w:r w:rsidR="00710008">
        <w:t>.</w:t>
      </w:r>
      <w:r w:rsidR="00A73147">
        <w:tab/>
      </w:r>
      <w:r w:rsidR="00463A1C" w:rsidRPr="007F2900">
        <w:t>Risque de concentration sectorielle</w:t>
      </w:r>
      <w:bookmarkEnd w:id="89"/>
      <w:bookmarkEnd w:id="90"/>
      <w:r w:rsidR="00F26BD5">
        <w:t> :</w:t>
      </w:r>
    </w:p>
    <w:p w14:paraId="3F19CFCF" w14:textId="77777777" w:rsidR="00331B88" w:rsidRDefault="00F26BD5" w:rsidP="004F3BB8">
      <w:pPr>
        <w:pStyle w:val="SGACP-enumerationniveau1"/>
        <w:keepNext/>
        <w:keepLines/>
        <w:ind w:left="284" w:hanging="284"/>
      </w:pPr>
      <w:r>
        <w:t>o</w:t>
      </w:r>
      <w:r w:rsidR="00463A1C" w:rsidRPr="007F2900">
        <w:t>util de suivi du risque de concentration sectorielle</w:t>
      </w:r>
      <w:r w:rsidR="009E3FDA">
        <w:t xml:space="preserve"> (notamment pour le système bancaire parallèle)</w:t>
      </w:r>
      <w:r w:rsidR="00463A1C" w:rsidRPr="007F2900">
        <w:t xml:space="preserve"> :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14:paraId="5C461E7A"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090C05D7" w14:textId="77777777" w:rsidR="00331B88" w:rsidRDefault="00F26BD5" w:rsidP="004F3BB8">
      <w:pPr>
        <w:pStyle w:val="SGACP-enumerationniveau1"/>
        <w:ind w:left="284" w:hanging="284"/>
      </w:pPr>
      <w:r>
        <w:t>r</w:t>
      </w:r>
      <w:r w:rsidR="00463A1C" w:rsidRPr="007F2900">
        <w:t>épartition des engagements par secteurs</w:t>
      </w:r>
      <w:r>
        <w:t> ;</w:t>
      </w:r>
    </w:p>
    <w:p w14:paraId="2D48C294" w14:textId="77777777"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 xml:space="preserve"> (notamment pour le système bancaire parallèle).</w:t>
      </w:r>
    </w:p>
    <w:p w14:paraId="5B5D6774" w14:textId="77777777" w:rsidR="00A73147" w:rsidRPr="00440703" w:rsidRDefault="00A73147" w:rsidP="00463A1C">
      <w:bookmarkStart w:id="91" w:name="_Toc244576451"/>
      <w:bookmarkStart w:id="92" w:name="_Toc266799807"/>
    </w:p>
    <w:p w14:paraId="2956B61E" w14:textId="77777777" w:rsidR="00463A1C" w:rsidRPr="007F2900" w:rsidRDefault="008F3AF1" w:rsidP="00F26BD5">
      <w:pPr>
        <w:pStyle w:val="SGACP-sous-titrederubriqueniveau3"/>
        <w:keepNext/>
        <w:keepLines/>
      </w:pPr>
      <w:r>
        <w:t>8</w:t>
      </w:r>
      <w:r w:rsidR="00A73147">
        <w:t>.3.</w:t>
      </w:r>
      <w:r w:rsidR="000907F4">
        <w:t>3</w:t>
      </w:r>
      <w:r w:rsidR="00710008">
        <w:t>.</w:t>
      </w:r>
      <w:r w:rsidR="00A73147">
        <w:tab/>
      </w:r>
      <w:r w:rsidR="00463A1C" w:rsidRPr="007F2900">
        <w:t>Risque de concentration géographique</w:t>
      </w:r>
      <w:bookmarkEnd w:id="91"/>
      <w:bookmarkEnd w:id="92"/>
      <w:r w:rsidR="00F26BD5">
        <w:t> :</w:t>
      </w:r>
    </w:p>
    <w:p w14:paraId="7E9562BA" w14:textId="77777777"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14:paraId="43F984DD"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566ADF89" w14:textId="77777777" w:rsidR="00331B88" w:rsidRDefault="00F26BD5" w:rsidP="004F3BB8">
      <w:pPr>
        <w:pStyle w:val="SGACP-enumerationniveau1"/>
        <w:ind w:left="284" w:hanging="284"/>
      </w:pPr>
      <w:r>
        <w:t>r</w:t>
      </w:r>
      <w:r w:rsidR="00463A1C" w:rsidRPr="007F2900">
        <w:t>épartition des engagements par zones géographiques</w:t>
      </w:r>
      <w:r>
        <w:t> ;</w:t>
      </w:r>
    </w:p>
    <w:p w14:paraId="5D0E6F06"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14:paraId="0DC6145F" w14:textId="77777777" w:rsidR="00331B88" w:rsidRPr="00440703" w:rsidRDefault="00331B88">
      <w:bookmarkStart w:id="93" w:name="_Toc244576452"/>
      <w:bookmarkStart w:id="94" w:name="_Toc266799808"/>
    </w:p>
    <w:p w14:paraId="0308362A" w14:textId="14B37DA5" w:rsidR="004A229A" w:rsidRDefault="008F3AF1" w:rsidP="004A229A">
      <w:pPr>
        <w:pStyle w:val="SGACP-sous-titrederubriquenivaeu2"/>
      </w:pPr>
      <w:r>
        <w:t>8</w:t>
      </w:r>
      <w:r w:rsidR="00A73147">
        <w:t>.4.</w:t>
      </w:r>
      <w:r w:rsidR="00A73147">
        <w:tab/>
      </w:r>
      <w:r w:rsidR="00463A1C" w:rsidRPr="007F2900">
        <w:t>Exigences liées à l</w:t>
      </w:r>
      <w:r w:rsidR="001224E7">
        <w:t>’</w:t>
      </w:r>
      <w:r w:rsidR="00463A1C" w:rsidRPr="007F2900">
        <w:t xml:space="preserve">utilisation des systèmes de notations internes pour le calcul </w:t>
      </w:r>
      <w:r w:rsidR="00E55A5D">
        <w:br/>
      </w:r>
      <w:r w:rsidR="00463A1C" w:rsidRPr="007F2900">
        <w:t>des exigences en fonds propres au titre du risque de crédit</w:t>
      </w:r>
      <w:bookmarkEnd w:id="93"/>
      <w:bookmarkEnd w:id="94"/>
      <w:r w:rsidR="00F26BD5">
        <w:t> :</w:t>
      </w:r>
    </w:p>
    <w:p w14:paraId="44E7E2EE" w14:textId="166E84F3" w:rsidR="00C35A9E" w:rsidRDefault="00C35A9E" w:rsidP="004A229A">
      <w:pPr>
        <w:pStyle w:val="SGACP-sous-titrederubriquenivaeu2"/>
      </w:pPr>
    </w:p>
    <w:p w14:paraId="6D129ED4" w14:textId="77777777" w:rsidR="00331B88" w:rsidRDefault="00F26BD5" w:rsidP="004F3BB8">
      <w:pPr>
        <w:pStyle w:val="SGACP-enumerationniveau1"/>
        <w:ind w:left="284" w:hanging="284"/>
      </w:pPr>
      <w:r>
        <w:t>c</w:t>
      </w:r>
      <w:r w:rsidR="00463A1C" w:rsidRPr="007F2900">
        <w:t>ontrôles ex-post et comparaisons avec des données externes afin de s</w:t>
      </w:r>
      <w:r w:rsidR="001224E7">
        <w:t>’</w:t>
      </w:r>
      <w:r w:rsidR="00463A1C" w:rsidRPr="007F2900">
        <w:t>assurer de l</w:t>
      </w:r>
      <w:r w:rsidR="001224E7">
        <w:t>’</w:t>
      </w:r>
      <w:r w:rsidR="00463A1C" w:rsidRPr="007F2900">
        <w:t>exactitude et de la cohérence du ou des systèmes de notations internes, des procédés et des paramètres utilisés</w:t>
      </w:r>
      <w:r>
        <w:t> ;</w:t>
      </w:r>
    </w:p>
    <w:p w14:paraId="7E642659" w14:textId="77777777" w:rsidR="00331B88" w:rsidRDefault="00F26BD5" w:rsidP="004F3BB8">
      <w:pPr>
        <w:pStyle w:val="SGACP-enumerationniveau1"/>
        <w:ind w:left="284" w:hanging="284"/>
      </w:pPr>
      <w:r>
        <w:t>c</w:t>
      </w:r>
      <w:r w:rsidR="00463A1C" w:rsidRPr="007F2900">
        <w:t>ontenu et périodicité de contrôle des systèmes de notations dans le cadre du contrôle permanent et dans le cadre du contrôle périodique</w:t>
      </w:r>
      <w:r>
        <w:t> ;</w:t>
      </w:r>
    </w:p>
    <w:p w14:paraId="6320147F" w14:textId="77777777" w:rsidR="00331B88" w:rsidRDefault="00F26BD5" w:rsidP="004F3BB8">
      <w:pPr>
        <w:pStyle w:val="SGACP-enumerationniveau1"/>
        <w:ind w:left="284" w:hanging="284"/>
      </w:pPr>
      <w:r>
        <w:t>d</w:t>
      </w:r>
      <w:r w:rsidR="00463A1C" w:rsidRPr="007F2900">
        <w:t>escription de l</w:t>
      </w:r>
      <w:r w:rsidR="001224E7">
        <w:t>’</w:t>
      </w:r>
      <w:r w:rsidR="00463A1C" w:rsidRPr="007F2900">
        <w:t xml:space="preserve">insertion opérationnelle des systèmes de notation : </w:t>
      </w:r>
      <w:r w:rsidR="00463A1C" w:rsidRPr="00A73147">
        <w:t>utilisation effective des paramètres issus des systèmes de notation dans l</w:t>
      </w:r>
      <w:r w:rsidR="001224E7">
        <w:t>’</w:t>
      </w:r>
      <w:r w:rsidR="00463A1C" w:rsidRPr="00A73147">
        <w:t>approbation des crédits, la tarification, la gestion du recouvrement, le suivi des risques, la politique de provisionnement, l</w:t>
      </w:r>
      <w:r w:rsidR="001224E7">
        <w:t>’</w:t>
      </w:r>
      <w:r w:rsidR="00463A1C" w:rsidRPr="00A73147">
        <w:t>allocation du capital interne et le gouvernement d</w:t>
      </w:r>
      <w:r w:rsidR="001224E7">
        <w:t>’</w:t>
      </w:r>
      <w:r w:rsidR="00463A1C" w:rsidRPr="00A73147">
        <w:t xml:space="preserve">entreprise (tableaux de bord à destination des </w:t>
      </w:r>
      <w:r w:rsidR="0003780F">
        <w:t>dirigeants effectifs</w:t>
      </w:r>
      <w:r w:rsidR="00463A1C" w:rsidRPr="00A73147">
        <w:t xml:space="preserve"> / </w:t>
      </w:r>
      <w:r w:rsidR="0003780F">
        <w:t xml:space="preserve">des organes </w:t>
      </w:r>
      <w:r w:rsidR="0094273B">
        <w:t>de surveillance</w:t>
      </w:r>
      <w:r w:rsidR="00463A1C" w:rsidRPr="00A73147">
        <w:t>, notamment)</w:t>
      </w:r>
      <w:r>
        <w:t> ;</w:t>
      </w:r>
    </w:p>
    <w:p w14:paraId="60BF4931" w14:textId="77777777" w:rsidR="0091511E" w:rsidRDefault="00F26BD5" w:rsidP="004F3BB8">
      <w:pPr>
        <w:pStyle w:val="SGACP-enumerationniveau1"/>
        <w:ind w:left="284" w:hanging="284"/>
      </w:pPr>
      <w:r>
        <w:t>m</w:t>
      </w:r>
      <w:r w:rsidR="00463A1C" w:rsidRPr="007F2900">
        <w:t>odalités d</w:t>
      </w:r>
      <w:r w:rsidR="001224E7">
        <w:t>’</w:t>
      </w:r>
      <w:r w:rsidR="00463A1C" w:rsidRPr="007F2900">
        <w:t xml:space="preserve">implication </w:t>
      </w:r>
      <w:r w:rsidR="0003780F">
        <w:t>des dirigeants effectifs</w:t>
      </w:r>
      <w:r w:rsidR="00463A1C" w:rsidRPr="007F2900">
        <w:t xml:space="preserve"> dans la conception et la mise à jour du ou des systèmes de notations internes : </w:t>
      </w:r>
      <w:r w:rsidR="00463A1C" w:rsidRPr="00A73147">
        <w:t>notamment approbation des principes méthodologiques, vérification de la bonne maîtrise de la conception et du mode de fonctionnement du ou des systèmes, modalités selon lesquelles il</w:t>
      </w:r>
      <w:r w:rsidR="00F0077D">
        <w:t>s</w:t>
      </w:r>
      <w:r w:rsidR="00463A1C" w:rsidRPr="00A73147">
        <w:t xml:space="preserve"> </w:t>
      </w:r>
      <w:r w:rsidR="00F0077D">
        <w:t>sont</w:t>
      </w:r>
      <w:r w:rsidR="00463A1C" w:rsidRPr="00A73147">
        <w:t xml:space="preserve"> informé</w:t>
      </w:r>
      <w:r w:rsidR="00F0077D">
        <w:t>s</w:t>
      </w:r>
      <w:r w:rsidR="00463A1C" w:rsidRPr="00A73147">
        <w:t xml:space="preserve"> de </w:t>
      </w:r>
      <w:r w:rsidR="00F0077D">
        <w:t>son/</w:t>
      </w:r>
      <w:r w:rsidR="00463A1C" w:rsidRPr="00A73147">
        <w:t>leur fonctionnement</w:t>
      </w:r>
      <w:r w:rsidR="0091511E">
        <w:t> ;</w:t>
      </w:r>
    </w:p>
    <w:p w14:paraId="4241B513" w14:textId="77777777" w:rsidR="004059B0" w:rsidRDefault="0091511E" w:rsidP="004F3BB8">
      <w:pPr>
        <w:pStyle w:val="SGACP-enumerationniveau1"/>
        <w:ind w:left="284" w:hanging="284"/>
      </w:pPr>
      <w:r>
        <w:t>démonstration que les méthodes internes d’évaluation du risque de crédit ne reposent pas exclusivement ou mécaniquement sur un système de notation externe du risque (cf. article 114 de l’arrêté du 3 novembre 2014</w:t>
      </w:r>
      <w:r w:rsidR="006653E9">
        <w:t xml:space="preserve"> modifié</w:t>
      </w:r>
      <w:r>
        <w:t>)</w:t>
      </w:r>
      <w:r w:rsidR="004059B0">
        <w:t> ;</w:t>
      </w:r>
    </w:p>
    <w:p w14:paraId="2567BCB6" w14:textId="53C4B76A" w:rsidR="00331B88" w:rsidRPr="00D17233" w:rsidRDefault="004059B0" w:rsidP="004F3BB8">
      <w:pPr>
        <w:pStyle w:val="SGACP-enumerationniveau1"/>
        <w:ind w:left="284" w:hanging="284"/>
      </w:pPr>
      <w:r w:rsidRPr="00C96B52">
        <w:t xml:space="preserve">description des mesures mises en œuvre par l’établissement pour se mettre en conformité avec d’une part les </w:t>
      </w:r>
      <w:r w:rsidR="000001E8">
        <w:t>O</w:t>
      </w:r>
      <w:r w:rsidRPr="00C96B52">
        <w:t xml:space="preserve">rientations de l’ABE sur les estimations de probabilité de défaut (PD), les estimations de perte en cas de défaut (LGD) et sur le traitement des expositions sur lesquelles il y a eu défaut </w:t>
      </w:r>
      <w:r w:rsidR="00E34538">
        <w:t>(</w:t>
      </w:r>
      <w:r w:rsidR="00E34538" w:rsidRPr="00C1770A">
        <w:t>EBA/GL/2017/16</w:t>
      </w:r>
      <w:r w:rsidR="00E34538">
        <w:t>)</w:t>
      </w:r>
      <w:r w:rsidR="00E34538" w:rsidRPr="00C96B52">
        <w:t xml:space="preserve"> </w:t>
      </w:r>
      <w:r w:rsidRPr="00C96B52">
        <w:t xml:space="preserve">et d’autre part les </w:t>
      </w:r>
      <w:r w:rsidR="000001E8">
        <w:t>O</w:t>
      </w:r>
      <w:r w:rsidRPr="00C96B52">
        <w:t>rientations de l’ABE sur les estimations de LGD en cas de ralentissement économique</w:t>
      </w:r>
      <w:r w:rsidR="00E34538">
        <w:t xml:space="preserve"> (</w:t>
      </w:r>
      <w:r w:rsidR="00E34538" w:rsidRPr="00C1770A">
        <w:t>EBA/GL/2019/03</w:t>
      </w:r>
      <w:r w:rsidR="00E34538">
        <w:t>)</w:t>
      </w:r>
      <w:r>
        <w:rPr>
          <w:i/>
        </w:rPr>
        <w:t>.</w:t>
      </w:r>
    </w:p>
    <w:p w14:paraId="5C31C8FB" w14:textId="1F6D9EA2" w:rsidR="00D30821" w:rsidRPr="00DE4B91" w:rsidRDefault="00353C2D" w:rsidP="00DE4B91">
      <w:pPr>
        <w:pStyle w:val="SGACP-enumerationniveau1"/>
        <w:ind w:left="357" w:hanging="357"/>
      </w:pPr>
      <w:r w:rsidRPr="00DE4B91">
        <w:t xml:space="preserve">description des mesures mises en œuvre par l’établissement pour se mettre en conformité avec </w:t>
      </w:r>
      <w:r w:rsidR="000001E8" w:rsidRPr="00DE4B91">
        <w:t>les O</w:t>
      </w:r>
      <w:r w:rsidRPr="00DE4B91">
        <w:t>rientations de l’ABE sur l’atténuation du risque de crédit pour les établissements appliquant l’approche NI avec leurs propres estimations de LGD (EBA/GL/2020/05).</w:t>
      </w:r>
    </w:p>
    <w:p w14:paraId="17BF58C7" w14:textId="77777777" w:rsidR="00A73147" w:rsidRPr="00DE4B91" w:rsidRDefault="00A73147" w:rsidP="00890013">
      <w:pPr>
        <w:pStyle w:val="SGACP-enumerationniveau1"/>
        <w:numPr>
          <w:ilvl w:val="0"/>
          <w:numId w:val="0"/>
        </w:numPr>
        <w:ind w:left="357"/>
      </w:pPr>
      <w:bookmarkStart w:id="95" w:name="_Toc244576453"/>
      <w:bookmarkStart w:id="96" w:name="_Toc266799809"/>
    </w:p>
    <w:p w14:paraId="22BD88C9" w14:textId="77777777" w:rsidR="00463A1C" w:rsidRDefault="008F3AF1" w:rsidP="00A73147">
      <w:pPr>
        <w:pStyle w:val="SGACP-sous-titrederubriquenivaeu2"/>
      </w:pPr>
      <w:r>
        <w:t>8</w:t>
      </w:r>
      <w:r w:rsidR="00A73147">
        <w:t>.5.</w:t>
      </w:r>
      <w:r w:rsidR="00A73147">
        <w:tab/>
      </w:r>
      <w:r w:rsidR="00463A1C" w:rsidRPr="007F2900">
        <w:t>Risques liés aux opérations ou montages de titrisation</w:t>
      </w:r>
      <w:bookmarkEnd w:id="95"/>
      <w:bookmarkEnd w:id="96"/>
      <w:r w:rsidR="00F26BD5">
        <w:t> :</w:t>
      </w:r>
    </w:p>
    <w:p w14:paraId="5C354D3A" w14:textId="77777777" w:rsidR="003C7FF8" w:rsidRDefault="003C7FF8" w:rsidP="00A73147">
      <w:pPr>
        <w:pStyle w:val="SGACP-sous-titrederubriquenivaeu2"/>
      </w:pPr>
    </w:p>
    <w:p w14:paraId="1C1DEAC6" w14:textId="77777777" w:rsidR="00331B88" w:rsidRDefault="00F26BD5" w:rsidP="004F3BB8">
      <w:pPr>
        <w:pStyle w:val="SGACP-enumerationniveau1"/>
        <w:ind w:left="284" w:hanging="284"/>
      </w:pPr>
      <w:r>
        <w:t>p</w:t>
      </w:r>
      <w:r w:rsidR="00463A1C" w:rsidRPr="007F2900">
        <w:t>résentation de la stratégie en matière de titrisation et de transfert du risque de crédit</w:t>
      </w:r>
      <w:r>
        <w:t> ;</w:t>
      </w:r>
    </w:p>
    <w:p w14:paraId="42C47BA1" w14:textId="77777777" w:rsidR="00331B88" w:rsidRDefault="00450D36" w:rsidP="004F3BB8">
      <w:pPr>
        <w:pStyle w:val="SGACP-enumerationniveau1"/>
        <w:ind w:left="284" w:hanging="284"/>
      </w:pPr>
      <w:r>
        <w:t>présentation des politiques et des procédures internes mises en place afin de s</w:t>
      </w:r>
      <w:r w:rsidR="001224E7">
        <w:t>’</w:t>
      </w:r>
      <w:r>
        <w:t>assurer avant d</w:t>
      </w:r>
      <w:r w:rsidR="001224E7">
        <w:t>’</w:t>
      </w:r>
      <w:r>
        <w:t>investir de la connaissance approfondie des positions de titrisation concernées et du respect de l</w:t>
      </w:r>
      <w:r w:rsidR="001224E7">
        <w:t>’</w:t>
      </w:r>
      <w:r>
        <w:t>obligation de rétention de 5% d</w:t>
      </w:r>
      <w:r w:rsidR="001224E7">
        <w:t>’</w:t>
      </w:r>
      <w:r>
        <w:t>intérêt économique net par les établissements agissant en qualité d</w:t>
      </w:r>
      <w:r w:rsidR="001224E7">
        <w:t>’</w:t>
      </w:r>
      <w:r w:rsidRPr="005C333C">
        <w:rPr>
          <w:i/>
        </w:rPr>
        <w:t>originateur</w:t>
      </w:r>
      <w:r>
        <w:t>, de sponsor ou de prêteur initial ;</w:t>
      </w:r>
    </w:p>
    <w:p w14:paraId="06C7B731" w14:textId="77777777"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suivi et de maîtrise des risques liés aux montages ou opérations de titrisation </w:t>
      </w:r>
      <w:r w:rsidR="00463A1C" w:rsidRPr="00210431">
        <w:rPr>
          <w:iCs/>
        </w:rPr>
        <w:t>(et notamment analyse de leur substance économique)</w:t>
      </w:r>
      <w:r w:rsidR="00463A1C" w:rsidRPr="00C26DE4">
        <w:t xml:space="preserve"> pou</w:t>
      </w:r>
      <w:r w:rsidR="00463A1C" w:rsidRPr="007F2900">
        <w:t xml:space="preserve">r les établissements </w:t>
      </w:r>
      <w:r w:rsidR="00463A1C" w:rsidRPr="005C333C">
        <w:rPr>
          <w:i/>
        </w:rPr>
        <w:t>originateurs</w:t>
      </w:r>
      <w:r w:rsidR="003E38A0">
        <w:t>,</w:t>
      </w:r>
      <w:r w:rsidR="00463A1C" w:rsidRPr="007F2900">
        <w:t xml:space="preserve"> </w:t>
      </w:r>
      <w:r w:rsidR="00463A1C" w:rsidRPr="007B6E6E">
        <w:rPr>
          <w:i/>
        </w:rPr>
        <w:t>sponsors</w:t>
      </w:r>
      <w:r w:rsidR="003E38A0">
        <w:t xml:space="preserve"> ou </w:t>
      </w:r>
      <w:r w:rsidR="00CC750C">
        <w:t xml:space="preserve">investisseurs </w:t>
      </w:r>
      <w:r w:rsidR="00450D36">
        <w:t>y compris via des scénarios de crise (hypothèses, périodicité, conséquences)</w:t>
      </w:r>
      <w:r w:rsidR="004B0BE5">
        <w:t> ;</w:t>
      </w:r>
    </w:p>
    <w:p w14:paraId="36CB9543" w14:textId="77777777" w:rsidR="00B27BC4" w:rsidRDefault="00A62C06" w:rsidP="00B27BC4">
      <w:pPr>
        <w:pStyle w:val="SGACP-enumerationniveau1"/>
        <w:ind w:left="284" w:hanging="284"/>
      </w:pPr>
      <w:r>
        <w:t xml:space="preserve">pour </w:t>
      </w:r>
      <w:r w:rsidR="00B27BC4">
        <w:t>les</w:t>
      </w:r>
      <w:r w:rsidR="00B27BC4" w:rsidRPr="00B65A9E">
        <w:t xml:space="preserve"> banques originatrices</w:t>
      </w:r>
      <w:r>
        <w:t>, description</w:t>
      </w:r>
      <w:r w:rsidR="00532C12">
        <w:t xml:space="preserve"> </w:t>
      </w:r>
      <w:r>
        <w:t xml:space="preserve">du </w:t>
      </w:r>
      <w:r w:rsidR="00B27BC4" w:rsidRPr="00B65A9E">
        <w:t>process</w:t>
      </w:r>
      <w:r w:rsidR="00B27BC4">
        <w:t>us</w:t>
      </w:r>
      <w:r w:rsidR="00B27BC4" w:rsidRPr="00B65A9E">
        <w:t xml:space="preserve"> interne d’évaluation des transactions déconsolidantes prudentiellement</w:t>
      </w:r>
      <w:r>
        <w:t>, étayée par une piste d’audit et modalités de suivi du transfert</w:t>
      </w:r>
      <w:r w:rsidR="00B27BC4">
        <w:t xml:space="preserve"> de risque</w:t>
      </w:r>
      <w:r w:rsidR="00B27BC4" w:rsidRPr="00B65A9E">
        <w:t xml:space="preserve"> sur la durée à travers une revue périodique</w:t>
      </w:r>
      <w:r w:rsidR="00B27BC4">
        <w:t>.</w:t>
      </w:r>
    </w:p>
    <w:p w14:paraId="3B2A099A" w14:textId="77777777" w:rsidR="00D82F7B" w:rsidRDefault="00D82F7B" w:rsidP="00D82F7B">
      <w:pPr>
        <w:pStyle w:val="SGACP-enumerationniveau1"/>
        <w:numPr>
          <w:ilvl w:val="0"/>
          <w:numId w:val="0"/>
        </w:numPr>
        <w:ind w:left="284"/>
      </w:pPr>
    </w:p>
    <w:p w14:paraId="56BF1FC0" w14:textId="77777777" w:rsidR="00331B88" w:rsidRDefault="008F3AF1">
      <w:pPr>
        <w:pStyle w:val="SGACP-sous-titrederubriquenivaeu2"/>
        <w:keepNext/>
        <w:keepLines/>
      </w:pPr>
      <w:bookmarkStart w:id="97" w:name="_Toc244576454"/>
      <w:bookmarkStart w:id="98" w:name="_Toc266799810"/>
      <w:r>
        <w:t>8</w:t>
      </w:r>
      <w:r w:rsidR="00C66532">
        <w:t>.6.</w:t>
      </w:r>
      <w:r w:rsidR="00C66532">
        <w:tab/>
      </w:r>
      <w:r w:rsidR="00463A1C" w:rsidRPr="007F2900">
        <w:t>Risque de crédit intra-journalier</w:t>
      </w:r>
      <w:bookmarkEnd w:id="97"/>
      <w:bookmarkEnd w:id="98"/>
      <w:r w:rsidR="00F26BD5">
        <w:t> :</w:t>
      </w:r>
    </w:p>
    <w:p w14:paraId="7D31FB89" w14:textId="77777777" w:rsidR="00331B88" w:rsidRPr="00440703" w:rsidRDefault="00331B88" w:rsidP="00460E3D"/>
    <w:p w14:paraId="018BC177" w14:textId="77777777" w:rsidR="00331B88" w:rsidRDefault="00463A1C">
      <w:pPr>
        <w:pStyle w:val="SGACP-textecourant"/>
        <w:keepNext/>
        <w:keepLines/>
        <w:rPr>
          <w:i/>
        </w:rPr>
      </w:pPr>
      <w:r w:rsidRPr="00F26BD5">
        <w:rPr>
          <w:i/>
        </w:rPr>
        <w:t>Risque encouru dans le cadre de l</w:t>
      </w:r>
      <w:r w:rsidR="001224E7">
        <w:rPr>
          <w:i/>
        </w:rPr>
        <w:t>’</w:t>
      </w:r>
      <w:r w:rsidRPr="00F26BD5">
        <w:rPr>
          <w:i/>
        </w:rPr>
        <w:t>activité de conservation par les établissements qui octroient à leur client un crédit en cours de journée, en espèces et/ou en titres, pour faciliter l</w:t>
      </w:r>
      <w:r w:rsidR="001224E7">
        <w:rPr>
          <w:i/>
        </w:rPr>
        <w:t>’</w:t>
      </w:r>
      <w:r w:rsidRPr="00F26BD5">
        <w:rPr>
          <w:i/>
        </w:rPr>
        <w:t xml:space="preserve">exécution des opérations de </w:t>
      </w:r>
      <w:r w:rsidR="00D01AE7" w:rsidRPr="00F26BD5">
        <w:rPr>
          <w:i/>
        </w:rPr>
        <w:t>titres</w:t>
      </w:r>
      <w:r w:rsidRPr="00F26BD5">
        <w:rPr>
          <w:i/>
          <w:vertAlign w:val="superscript"/>
        </w:rPr>
        <w:footnoteReference w:id="3"/>
      </w:r>
      <w:r w:rsidR="00C66532" w:rsidRPr="00F26BD5">
        <w:rPr>
          <w:i/>
        </w:rPr>
        <w:t>.</w:t>
      </w:r>
    </w:p>
    <w:p w14:paraId="6989AE19" w14:textId="77777777" w:rsidR="00331B88" w:rsidRDefault="00F26BD5" w:rsidP="004F3BB8">
      <w:pPr>
        <w:pStyle w:val="SGACP-enumerationniveau1"/>
        <w:ind w:left="284" w:hanging="284"/>
      </w:pPr>
      <w:r>
        <w:t>d</w:t>
      </w:r>
      <w:r w:rsidR="00463A1C" w:rsidRPr="007F2900">
        <w:t>escription de la politique appliquée par l</w:t>
      </w:r>
      <w:r w:rsidR="001224E7">
        <w:t>’</w:t>
      </w:r>
      <w:r w:rsidR="00463A1C" w:rsidRPr="007F2900">
        <w:t>établissement pour la gestion du risque de crédit intra-journalier ; description des limites (modalités de définition et de suivi) ;</w:t>
      </w:r>
    </w:p>
    <w:p w14:paraId="61E8D3F1" w14:textId="77777777" w:rsidR="00331B88" w:rsidRDefault="00F26BD5" w:rsidP="004F3BB8">
      <w:pPr>
        <w:pStyle w:val="SGACP-enumerationniveau1"/>
        <w:ind w:left="284" w:hanging="284"/>
      </w:pPr>
      <w:r>
        <w:t>p</w:t>
      </w:r>
      <w:r w:rsidR="00463A1C" w:rsidRPr="007F2900">
        <w:t xml:space="preserve">résentation du système de mesure des expositions et de suivi des limites sur une base intra-journalière </w:t>
      </w:r>
      <w:r w:rsidR="00463A1C" w:rsidRPr="00210431">
        <w:t>(y compris la gestion des éventuels dépassements de limites)</w:t>
      </w:r>
      <w:r w:rsidR="00463A1C" w:rsidRPr="007F2900">
        <w:t> ;</w:t>
      </w:r>
    </w:p>
    <w:p w14:paraId="3C17A835" w14:textId="77777777" w:rsidR="00331B88" w:rsidRDefault="00F26BD5" w:rsidP="004F3BB8">
      <w:pPr>
        <w:pStyle w:val="SGACP-enumerationniveau1"/>
        <w:ind w:left="284" w:hanging="284"/>
      </w:pPr>
      <w:r>
        <w:t>m</w:t>
      </w:r>
      <w:r w:rsidR="00463A1C" w:rsidRPr="007F2900">
        <w:t>odalités des décisions d</w:t>
      </w:r>
      <w:r w:rsidR="001224E7">
        <w:t>’</w:t>
      </w:r>
      <w:r w:rsidR="00463A1C" w:rsidRPr="007F2900">
        <w:t>octroi d</w:t>
      </w:r>
      <w:r w:rsidR="001224E7">
        <w:t>’</w:t>
      </w:r>
      <w:r w:rsidR="00463A1C" w:rsidRPr="007F2900">
        <w:t>un crédit intra-journalier ;</w:t>
      </w:r>
    </w:p>
    <w:p w14:paraId="729CC30E" w14:textId="77777777"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la qualité des sûretés réelles ; </w:t>
      </w:r>
    </w:p>
    <w:p w14:paraId="02F3ED12" w14:textId="77777777" w:rsidR="00331B88" w:rsidRDefault="00F26BD5" w:rsidP="004F3BB8">
      <w:pPr>
        <w:pStyle w:val="SGACP-enumerationniveau1"/>
        <w:ind w:left="284" w:hanging="284"/>
      </w:pPr>
      <w:r>
        <w:t>d</w:t>
      </w:r>
      <w:r w:rsidR="00463A1C" w:rsidRPr="007F2900">
        <w:t xml:space="preserve">escription des reportings à destination des </w:t>
      </w:r>
      <w:r w:rsidR="0003780F">
        <w:t>dirigeants effectifs</w:t>
      </w:r>
      <w:r w:rsidR="00463A1C" w:rsidRPr="007F2900">
        <w:t xml:space="preserve"> et </w:t>
      </w:r>
      <w:r w:rsidR="0094273B">
        <w:t>de</w:t>
      </w:r>
      <w:r w:rsidR="0003780F">
        <w:t xml:space="preserve">s organes de </w:t>
      </w:r>
      <w:r w:rsidR="0094273B">
        <w:t>surveillance</w:t>
      </w:r>
      <w:r w:rsidR="0094273B" w:rsidRPr="007F2900">
        <w:t> </w:t>
      </w:r>
      <w:r w:rsidR="00463A1C" w:rsidRPr="007F2900">
        <w:t>;</w:t>
      </w:r>
    </w:p>
    <w:p w14:paraId="62DA7E1D"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crédit intra-journalier.</w:t>
      </w:r>
    </w:p>
    <w:p w14:paraId="73250FAD" w14:textId="77777777" w:rsidR="00C66532" w:rsidRPr="00440703" w:rsidRDefault="00C66532" w:rsidP="00463A1C">
      <w:bookmarkStart w:id="99" w:name="_Toc266799811"/>
    </w:p>
    <w:p w14:paraId="6FD75B54" w14:textId="7E2F89D9" w:rsidR="00463A1C" w:rsidRDefault="008F3AF1" w:rsidP="00F26BD5">
      <w:pPr>
        <w:pStyle w:val="SGACP-sous-titrederubriquenivaeu2"/>
        <w:keepNext/>
        <w:keepLines/>
      </w:pPr>
      <w:r>
        <w:t>8</w:t>
      </w:r>
      <w:r w:rsidR="00C66532">
        <w:t>.7.</w:t>
      </w:r>
      <w:r w:rsidR="00C66532">
        <w:tab/>
      </w:r>
      <w:r w:rsidR="00463A1C" w:rsidRPr="007F2900">
        <w:t xml:space="preserve">Résultats des contrôles permanents </w:t>
      </w:r>
      <w:r w:rsidR="00D5659E">
        <w:t>de 2</w:t>
      </w:r>
      <w:r w:rsidR="00D5659E" w:rsidRPr="00D5659E">
        <w:rPr>
          <w:vertAlign w:val="superscript"/>
        </w:rPr>
        <w:t>ème</w:t>
      </w:r>
      <w:r w:rsidR="00D5659E">
        <w:t xml:space="preserve"> niveau </w:t>
      </w:r>
      <w:r w:rsidR="00463A1C" w:rsidRPr="007F2900">
        <w:t>menés sur les activités de crédit</w:t>
      </w:r>
      <w:bookmarkEnd w:id="99"/>
      <w:r w:rsidR="00F26BD5">
        <w:t> :</w:t>
      </w:r>
    </w:p>
    <w:p w14:paraId="33D78C8B" w14:textId="77777777" w:rsidR="00331B88" w:rsidRDefault="00F26BD5" w:rsidP="004F3BB8">
      <w:pPr>
        <w:pStyle w:val="SGACP-enumerationniveau1"/>
        <w:ind w:left="284" w:hanging="284"/>
      </w:pPr>
      <w:r>
        <w:t>p</w:t>
      </w:r>
      <w:r w:rsidR="00463A1C" w:rsidRPr="007F2900">
        <w:t>rincipales insuffisances relevées</w:t>
      </w:r>
      <w:r>
        <w:t> ;</w:t>
      </w:r>
    </w:p>
    <w:p w14:paraId="6F37810B" w14:textId="77777777"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14:paraId="3F5E66F3" w14:textId="77777777"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14:paraId="23A05E1B" w14:textId="1208A358"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6653E9">
        <w:t xml:space="preserve"> modifié</w:t>
      </w:r>
      <w:r w:rsidR="00463A1C" w:rsidRPr="003D1AFF">
        <w:rPr>
          <w:iCs/>
        </w:rPr>
        <w:t>)</w:t>
      </w:r>
      <w:r w:rsidRPr="00266335">
        <w:t>.</w:t>
      </w:r>
    </w:p>
    <w:p w14:paraId="5A4705E0" w14:textId="77777777" w:rsidR="007B6E6E" w:rsidRPr="00440703" w:rsidRDefault="007B6E6E" w:rsidP="00463A1C">
      <w:bookmarkStart w:id="100" w:name="_Toc266799812"/>
      <w:bookmarkStart w:id="101" w:name="_Toc244576455"/>
    </w:p>
    <w:p w14:paraId="71B95AEF" w14:textId="77777777" w:rsidR="00463A1C" w:rsidRPr="007F2900" w:rsidRDefault="008F3AF1" w:rsidP="00C66532">
      <w:pPr>
        <w:pStyle w:val="SGACP-sous-titrederubriquenivaeu2"/>
      </w:pPr>
      <w:r>
        <w:t>8</w:t>
      </w:r>
      <w:r w:rsidR="00C66532">
        <w:t>.8.</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00"/>
      <w:bookmarkEnd w:id="101"/>
      <w:r w:rsidR="00965B51">
        <w:t> :</w:t>
      </w:r>
    </w:p>
    <w:p w14:paraId="6EE266A0" w14:textId="77777777" w:rsidR="00C66532" w:rsidRPr="007D7320" w:rsidRDefault="00C66532" w:rsidP="00C66532">
      <w:pPr>
        <w:pStyle w:val="SGACP-textecourant"/>
        <w:rPr>
          <w:szCs w:val="22"/>
        </w:rPr>
      </w:pPr>
    </w:p>
    <w:p w14:paraId="7E88063A" w14:textId="77777777" w:rsidR="00463A1C" w:rsidRPr="007F2900" w:rsidRDefault="00463A1C" w:rsidP="00C66532">
      <w:pPr>
        <w:pStyle w:val="SGACP-textecourant"/>
      </w:pPr>
      <w:r w:rsidRPr="007F2900">
        <w:t xml:space="preserve">Joindre une annexe comprenant : </w:t>
      </w:r>
    </w:p>
    <w:p w14:paraId="4363D3E2" w14:textId="77777777"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14:paraId="67C465D5" w14:textId="77777777"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14:paraId="74838952" w14:textId="77777777"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14:paraId="75381309" w14:textId="77777777"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14:paraId="033F310A" w14:textId="77777777"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14:paraId="2A490E59" w14:textId="77777777" w:rsidR="007461CE" w:rsidRPr="007D7320" w:rsidRDefault="007461CE" w:rsidP="00463A1C">
      <w:pPr>
        <w:rPr>
          <w:sz w:val="22"/>
          <w:szCs w:val="22"/>
        </w:rPr>
      </w:pPr>
      <w:bookmarkStart w:id="102" w:name="_Toc244576456"/>
      <w:bookmarkStart w:id="103" w:name="_Toc266799813"/>
    </w:p>
    <w:p w14:paraId="4FB82B46" w14:textId="77777777" w:rsidR="004A229A" w:rsidRDefault="008F3AF1" w:rsidP="004A229A">
      <w:pPr>
        <w:pStyle w:val="SGACP-sous-titrederubriquenivaeu2"/>
        <w:keepNext/>
      </w:pPr>
      <w:r>
        <w:t>8</w:t>
      </w:r>
      <w:r w:rsidR="00C66532">
        <w:t>.9.</w:t>
      </w:r>
      <w:r w:rsidR="00C66532">
        <w:tab/>
      </w:r>
      <w:r w:rsidR="00463A1C" w:rsidRPr="007F2900">
        <w:t>Simulations de crise relatives au risque de crédit</w:t>
      </w:r>
      <w:bookmarkEnd w:id="102"/>
      <w:bookmarkEnd w:id="103"/>
      <w:r w:rsidR="00965B51">
        <w:t xml:space="preserve"> :</w:t>
      </w:r>
    </w:p>
    <w:p w14:paraId="6760FD16" w14:textId="77777777" w:rsidR="004A229A" w:rsidRDefault="004A229A" w:rsidP="00F13733"/>
    <w:p w14:paraId="0EDA1AF9" w14:textId="77777777" w:rsidR="004A229A" w:rsidRPr="00DF0A81" w:rsidRDefault="00463A1C" w:rsidP="00F13733">
      <w:pPr>
        <w:rPr>
          <w:szCs w:val="22"/>
        </w:rPr>
      </w:pPr>
      <w:r w:rsidRPr="00F13733">
        <w:rPr>
          <w:sz w:val="22"/>
          <w:szCs w:val="22"/>
        </w:rPr>
        <w:t>Joindre une annexe comprenant la description des hypothèses et principes méthodologiques retenus (notamment modalités de prise en compte des effets de contagion à d</w:t>
      </w:r>
      <w:r w:rsidR="001224E7" w:rsidRPr="00F13733">
        <w:rPr>
          <w:sz w:val="22"/>
          <w:szCs w:val="22"/>
        </w:rPr>
        <w:t>’</w:t>
      </w:r>
      <w:r w:rsidRPr="00F13733">
        <w:rPr>
          <w:sz w:val="22"/>
          <w:szCs w:val="22"/>
        </w:rPr>
        <w:t>autres marchés) ainsi que des résultats obtenus.</w:t>
      </w:r>
    </w:p>
    <w:p w14:paraId="60497E19" w14:textId="77777777" w:rsidR="004A229A" w:rsidRDefault="004A229A" w:rsidP="004A229A">
      <w:pPr>
        <w:pStyle w:val="SGACP-textecourant"/>
        <w:keepNext/>
      </w:pPr>
    </w:p>
    <w:p w14:paraId="7E777565" w14:textId="77777777" w:rsidR="003274DB" w:rsidRDefault="008F3AF1" w:rsidP="003274DB">
      <w:pPr>
        <w:pStyle w:val="SGACP-sous-titrederubriquenivaeu2"/>
        <w:keepNext/>
      </w:pPr>
      <w:bookmarkStart w:id="104" w:name="_Toc244576457"/>
      <w:bookmarkStart w:id="105" w:name="_Toc266799814"/>
      <w:r>
        <w:t>8</w:t>
      </w:r>
      <w:r w:rsidR="00C66532">
        <w:t>.10.</w:t>
      </w:r>
      <w:r w:rsidR="00C66532">
        <w:tab/>
      </w:r>
      <w:r w:rsidR="00463A1C" w:rsidRPr="007F2900">
        <w:t>Conclusion synthétique sur l</w:t>
      </w:r>
      <w:r w:rsidR="001224E7">
        <w:t>’</w:t>
      </w:r>
      <w:r w:rsidR="00463A1C" w:rsidRPr="007F2900">
        <w:t>exposition au risque de crédit</w:t>
      </w:r>
      <w:bookmarkEnd w:id="104"/>
      <w:bookmarkEnd w:id="105"/>
    </w:p>
    <w:p w14:paraId="47DFAE9C" w14:textId="77777777" w:rsidR="004A229A" w:rsidRDefault="004A229A" w:rsidP="00460E3D"/>
    <w:p w14:paraId="6B3A6784" w14:textId="77777777" w:rsidR="00EC7B19" w:rsidRDefault="00EC7B19" w:rsidP="00460E3D"/>
    <w:p w14:paraId="3AA232C8" w14:textId="77777777" w:rsidR="008A778A" w:rsidRPr="00BD1DB7" w:rsidRDefault="008A778A" w:rsidP="00BD1DB7">
      <w:pPr>
        <w:pStyle w:val="StyleSGACP-titrederubriqueniveau1CouleurpersonnaliseRVB"/>
        <w:keepNext/>
        <w:keepLines/>
        <w:ind w:left="426" w:hanging="426"/>
      </w:pPr>
      <w:bookmarkStart w:id="106" w:name="_Toc106958069"/>
      <w:r w:rsidRPr="00BD1DB7">
        <w:t>Risques associés aux contrats dérivés de gré à gré</w:t>
      </w:r>
      <w:bookmarkEnd w:id="106"/>
    </w:p>
    <w:p w14:paraId="7B82F7FF" w14:textId="77777777" w:rsidR="008A778A" w:rsidRDefault="008A778A" w:rsidP="008A778A">
      <w:pPr>
        <w:pStyle w:val="SGACP-sous-titrederubriquenivaeu2"/>
        <w:spacing w:after="240"/>
        <w:ind w:left="0" w:firstLine="0"/>
        <w:jc w:val="both"/>
      </w:pPr>
    </w:p>
    <w:p w14:paraId="6A70ED91" w14:textId="77777777" w:rsidR="008A778A" w:rsidRPr="007F2900" w:rsidRDefault="008F3AF1" w:rsidP="00BD1DB7">
      <w:pPr>
        <w:pStyle w:val="SGACP-sous-titrederubriquenivaeu2"/>
        <w:keepNext/>
      </w:pPr>
      <w:r>
        <w:t>9</w:t>
      </w:r>
      <w:r w:rsidR="008A778A" w:rsidRPr="00107C50">
        <w:t>.1. Techniques d'atténuation des risques pour les contrats dérivés de gré à gré non compensés</w:t>
      </w:r>
      <w:r w:rsidR="008A778A" w:rsidRPr="00027E6E">
        <w:t xml:space="preserve"> par une contrepartie centrale</w:t>
      </w:r>
      <w:r w:rsidR="008A778A">
        <w:t xml:space="preserve"> :</w:t>
      </w:r>
    </w:p>
    <w:p w14:paraId="0956BE4D" w14:textId="77777777" w:rsidR="008A778A" w:rsidRDefault="008A778A" w:rsidP="008A778A">
      <w:pPr>
        <w:pStyle w:val="SGACP-enumerationniveau1"/>
        <w:ind w:left="284" w:hanging="284"/>
      </w:pPr>
      <w:r>
        <w:t>description des procédures et des dispositifs permettant d’assurer la confirmation rapide des termes des contrats dérivés de gré à gré</w:t>
      </w:r>
      <w:r w:rsidRPr="002E420F">
        <w:t xml:space="preserve"> non compensés par une contrepartie centrale</w:t>
      </w:r>
      <w:r>
        <w:t xml:space="preserve">, </w:t>
      </w:r>
      <w:r w:rsidRPr="00E44F24">
        <w:t>de rapprocher les portefeuilles, de gérer le risque associé, de déceler rapidement les éventuels différends entre parties et de les régler, et de surveiller la valeur des contrats en cours</w:t>
      </w:r>
      <w:r>
        <w:t xml:space="preserve"> (cf. paragraphe 1 de l</w:t>
      </w:r>
      <w:r w:rsidRPr="00142EE5">
        <w:t xml:space="preserve">'article </w:t>
      </w:r>
      <w:r>
        <w:t xml:space="preserve">11 </w:t>
      </w:r>
      <w:r w:rsidRPr="00142EE5">
        <w:t>du règlement (UE) n° 648/2012 du Parlement européen et du Conseil du 4 juillet 2012 sur les produits dérivés de gré à gré, les contreparties central</w:t>
      </w:r>
      <w:r>
        <w:t>es et les référentiels centraux) ;</w:t>
      </w:r>
    </w:p>
    <w:p w14:paraId="5FCF55A8" w14:textId="77777777" w:rsidR="008A778A" w:rsidRDefault="008A778A" w:rsidP="008A778A">
      <w:pPr>
        <w:pStyle w:val="SGACP-enumerationniveau1"/>
        <w:ind w:left="284" w:hanging="284"/>
      </w:pPr>
      <w:r>
        <w:t xml:space="preserve">description des procédures de </w:t>
      </w:r>
      <w:r w:rsidRPr="00E44F24">
        <w:t>valoris</w:t>
      </w:r>
      <w:r>
        <w:t>ation</w:t>
      </w:r>
      <w:r w:rsidRPr="00E44F24">
        <w:t xml:space="preserve"> des </w:t>
      </w:r>
      <w:r>
        <w:t>contrats dérivés de gré à gré</w:t>
      </w:r>
      <w:r w:rsidRPr="00E44F24">
        <w:t xml:space="preserve"> </w:t>
      </w:r>
      <w:r w:rsidRPr="002E420F">
        <w:t>non compensés par une contrepartie centrale</w:t>
      </w:r>
      <w:r>
        <w:t xml:space="preserve"> (cf. paragraphe 2 de l</w:t>
      </w:r>
      <w:r w:rsidRPr="00142EE5">
        <w:t xml:space="preserve">'article </w:t>
      </w:r>
      <w:r>
        <w:t xml:space="preserve">11 </w:t>
      </w:r>
      <w:r w:rsidRPr="00142EE5">
        <w:t>du règlement (UE) n° 648/2012</w:t>
      </w:r>
      <w:r>
        <w:t>) ;</w:t>
      </w:r>
    </w:p>
    <w:p w14:paraId="3015E506" w14:textId="77777777" w:rsidR="008A778A" w:rsidRDefault="008A778A" w:rsidP="008A778A">
      <w:pPr>
        <w:pStyle w:val="SGACP-enumerationniveau1"/>
        <w:ind w:left="284" w:hanging="284"/>
      </w:pPr>
      <w:r>
        <w:t xml:space="preserve">description des </w:t>
      </w:r>
      <w:r w:rsidRPr="00D53BF0">
        <w:t xml:space="preserve">procédures de gestion des risques </w:t>
      </w:r>
      <w:r>
        <w:t>de contrepartie et d’</w:t>
      </w:r>
      <w:r w:rsidRPr="00D53BF0">
        <w:t xml:space="preserve">échange de </w:t>
      </w:r>
      <w:r>
        <w:t>garanties (</w:t>
      </w:r>
      <w:r w:rsidRPr="00167DF9">
        <w:t>collatéral</w:t>
      </w:r>
      <w:r>
        <w:t xml:space="preserve">) sur les contrats dérivés de gré à gré </w:t>
      </w:r>
      <w:r w:rsidRPr="002E420F">
        <w:t>non compensés par une contrepartie centrale</w:t>
      </w:r>
      <w:r>
        <w:t xml:space="preserve"> (cf. paragraphe 3 de l</w:t>
      </w:r>
      <w:r w:rsidRPr="00142EE5">
        <w:t xml:space="preserve">'article </w:t>
      </w:r>
      <w:r>
        <w:t xml:space="preserve">11 </w:t>
      </w:r>
      <w:r w:rsidRPr="00142EE5">
        <w:t>du règlement (UE) n° 648/2012</w:t>
      </w:r>
      <w:r>
        <w:t>) ;</w:t>
      </w:r>
    </w:p>
    <w:p w14:paraId="52FFEC99" w14:textId="77777777" w:rsidR="008A778A" w:rsidRDefault="008A778A" w:rsidP="008A778A">
      <w:pPr>
        <w:pStyle w:val="SGACP-enumerationniveau1"/>
        <w:ind w:left="284" w:hanging="284"/>
      </w:pPr>
      <w:r>
        <w:t>description des procédures de calcul et de collecte des marges de variation ;</w:t>
      </w:r>
    </w:p>
    <w:p w14:paraId="3F24861E" w14:textId="77777777" w:rsidR="008A778A" w:rsidRDefault="008A778A" w:rsidP="008A778A">
      <w:pPr>
        <w:pStyle w:val="SGACP-enumerationniveau1"/>
        <w:ind w:left="284" w:hanging="284"/>
      </w:pPr>
      <w:r>
        <w:t>description des procédures de calcul et de collecte des marges initiales ;</w:t>
      </w:r>
    </w:p>
    <w:p w14:paraId="773A133F" w14:textId="77777777" w:rsidR="008A778A" w:rsidRDefault="008A778A" w:rsidP="008A778A">
      <w:pPr>
        <w:pStyle w:val="SGACP-enumerationniveau1"/>
        <w:ind w:left="284" w:hanging="284"/>
      </w:pPr>
      <w:r w:rsidRPr="00437FE8">
        <w:t>description des modèles utilisés pour le calcul des</w:t>
      </w:r>
      <w:r>
        <w:t xml:space="preserve"> marges initiales</w:t>
      </w:r>
      <w:r w:rsidR="00A2451B">
        <w:t xml:space="preserve"> </w:t>
      </w:r>
      <w:r>
        <w:t>;</w:t>
      </w:r>
    </w:p>
    <w:p w14:paraId="0A015CBD" w14:textId="77777777" w:rsidR="008A778A" w:rsidRDefault="008A778A" w:rsidP="008A778A">
      <w:pPr>
        <w:pStyle w:val="SGACP-enumerationniveau1"/>
        <w:ind w:left="284" w:hanging="284"/>
      </w:pPr>
      <w:r>
        <w:t>description des critères utilisés pour la sélection du collatéral échangé ;</w:t>
      </w:r>
    </w:p>
    <w:p w14:paraId="714F7415" w14:textId="77777777" w:rsidR="008A778A" w:rsidRDefault="008A778A" w:rsidP="008A778A">
      <w:pPr>
        <w:pStyle w:val="SGACP-enumerationniveau1"/>
        <w:ind w:left="284" w:hanging="284"/>
      </w:pPr>
      <w:r>
        <w:t>description des méthodes d’évaluation du collatéral ;</w:t>
      </w:r>
    </w:p>
    <w:p w14:paraId="10253707" w14:textId="77777777" w:rsidR="008A778A" w:rsidRDefault="008A778A" w:rsidP="008A778A">
      <w:pPr>
        <w:pStyle w:val="SGACP-enumerationniveau1"/>
        <w:ind w:left="284" w:hanging="284"/>
      </w:pPr>
      <w:r>
        <w:t>description des procédures opérationnelles et de la documentation contractuelle utilisées pour les échanges de collatéral ;</w:t>
      </w:r>
    </w:p>
    <w:p w14:paraId="7EBCC282" w14:textId="77777777" w:rsidR="008A778A" w:rsidRDefault="008A778A" w:rsidP="008A778A">
      <w:pPr>
        <w:pStyle w:val="SGACP-enumerationniveau1"/>
        <w:ind w:left="284" w:hanging="284"/>
      </w:pPr>
      <w:r>
        <w:t>description du nombre, du volume, et de l’évolution des litiges observés (« collateral dispute ») avec les contreparties avec lesquelles des garanties sont échangées, ainsi que des procédures de résolution de ces litiges ;</w:t>
      </w:r>
    </w:p>
    <w:p w14:paraId="2A7EF38F" w14:textId="77777777" w:rsidR="008A778A" w:rsidRDefault="008A778A" w:rsidP="008A778A">
      <w:pPr>
        <w:pStyle w:val="SGACP-enumerationniveau1"/>
        <w:ind w:left="284" w:hanging="284"/>
      </w:pPr>
      <w:r>
        <w:t xml:space="preserve">description des modalités et fréquences de calcul du </w:t>
      </w:r>
      <w:r w:rsidRPr="00496D26">
        <w:t xml:space="preserve">capital </w:t>
      </w:r>
      <w:r>
        <w:t>alloué à la gestion du</w:t>
      </w:r>
      <w:r w:rsidRPr="00496D26">
        <w:t xml:space="preserve"> risque non couvert par un échange approprié de garanties (collatéral</w:t>
      </w:r>
      <w:r>
        <w:t>) (cf. paragraphe 4 de l</w:t>
      </w:r>
      <w:r w:rsidRPr="00142EE5">
        <w:t xml:space="preserve">'article </w:t>
      </w:r>
      <w:r>
        <w:t xml:space="preserve">11 </w:t>
      </w:r>
      <w:r w:rsidRPr="00142EE5">
        <w:t>du règlement (UE) n° 648/2012</w:t>
      </w:r>
      <w:r>
        <w:t>)</w:t>
      </w:r>
      <w:r w:rsidR="00D82F7B">
        <w:t>.</w:t>
      </w:r>
    </w:p>
    <w:p w14:paraId="63527204" w14:textId="77777777" w:rsidR="008A778A" w:rsidRPr="00167DF9" w:rsidRDefault="008A778A" w:rsidP="002C0F9D">
      <w:pPr>
        <w:pStyle w:val="SGACP-enumerationniveau1"/>
        <w:numPr>
          <w:ilvl w:val="0"/>
          <w:numId w:val="0"/>
        </w:numPr>
        <w:tabs>
          <w:tab w:val="center" w:pos="4678"/>
        </w:tabs>
        <w:ind w:left="644"/>
      </w:pPr>
      <w:r>
        <w:tab/>
      </w:r>
      <w:r>
        <w:tab/>
      </w:r>
    </w:p>
    <w:p w14:paraId="6CECDEB7" w14:textId="77777777" w:rsidR="008A778A" w:rsidRPr="00027E6E" w:rsidRDefault="008F3AF1" w:rsidP="00BD1DB7">
      <w:pPr>
        <w:pStyle w:val="SGACP-sous-titrederubriquenivaeu2"/>
        <w:keepNext/>
      </w:pPr>
      <w:r>
        <w:t>9</w:t>
      </w:r>
      <w:r w:rsidR="008A778A">
        <w:t>.2. P</w:t>
      </w:r>
      <w:r w:rsidR="008A778A" w:rsidRPr="00F576B5">
        <w:t xml:space="preserve">rocédures de gestion </w:t>
      </w:r>
      <w:r w:rsidR="008A778A">
        <w:t xml:space="preserve">et de contrôle </w:t>
      </w:r>
      <w:r w:rsidR="008A778A" w:rsidRPr="00F576B5">
        <w:t>des risques</w:t>
      </w:r>
      <w:r w:rsidR="008A778A">
        <w:t xml:space="preserve"> des</w:t>
      </w:r>
      <w:r w:rsidR="008A778A" w:rsidRPr="00F576B5">
        <w:t xml:space="preserve"> </w:t>
      </w:r>
      <w:r w:rsidR="008A778A">
        <w:t>t</w:t>
      </w:r>
      <w:r w:rsidR="008A778A" w:rsidRPr="00027E6E">
        <w:t>ransactions intragroupe</w:t>
      </w:r>
      <w:r w:rsidR="008A778A">
        <w:t> :</w:t>
      </w:r>
    </w:p>
    <w:p w14:paraId="5628F576" w14:textId="77777777" w:rsidR="008A778A" w:rsidRDefault="008A778A" w:rsidP="008A778A">
      <w:pPr>
        <w:pStyle w:val="SGACP-enumerationniveau1"/>
        <w:ind w:left="284" w:hanging="284"/>
      </w:pPr>
      <w:r>
        <w:t>description des procédures</w:t>
      </w:r>
      <w:r w:rsidRPr="00142EE5">
        <w:t xml:space="preserve"> centralisées d'évaluation, de mesure et de contrôle des risques</w:t>
      </w:r>
      <w:r>
        <w:t xml:space="preserve"> associés aux transactions intragroupe mentionnées aux paragraphes 2. a) et d) de l’article 3 </w:t>
      </w:r>
      <w:r w:rsidRPr="00142EE5">
        <w:t>du règlement (UE) n° 648/2012 du Parlement européen et du Conseil du 4 juillet 2012 sur les produits dérivés de gré à gré, les contreparties central</w:t>
      </w:r>
      <w:r>
        <w:t>es et les référentiels centraux ;</w:t>
      </w:r>
    </w:p>
    <w:p w14:paraId="7C5D87C1" w14:textId="77777777" w:rsidR="008A778A" w:rsidRDefault="008A778A" w:rsidP="008A778A">
      <w:pPr>
        <w:pStyle w:val="SGACP-enumerationniveau1"/>
        <w:ind w:left="284" w:hanging="284"/>
      </w:pPr>
      <w:r>
        <w:t xml:space="preserve">description des </w:t>
      </w:r>
      <w:r w:rsidRPr="00142EE5">
        <w:t xml:space="preserve">procédures de gestion des risques </w:t>
      </w:r>
      <w:r>
        <w:t xml:space="preserve">associés aux transactions intragroupe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w:t>
      </w:r>
      <w:r>
        <w:t>es et les référentiels centraux ;</w:t>
      </w:r>
    </w:p>
    <w:p w14:paraId="2B2DF9CA" w14:textId="77777777" w:rsidR="008A778A" w:rsidRPr="002B5222" w:rsidRDefault="008A778A" w:rsidP="008A778A">
      <w:pPr>
        <w:pStyle w:val="SGACP-enumerationniveau1"/>
        <w:ind w:left="284" w:hanging="284"/>
      </w:pPr>
      <w:r w:rsidRPr="00EE2204">
        <w:t>description des changements significatifs</w:t>
      </w:r>
      <w:r>
        <w:t xml:space="preserve"> pouvant affecter la fluidité des </w:t>
      </w:r>
      <w:r w:rsidRPr="00516415">
        <w:t>transfert</w:t>
      </w:r>
      <w:r>
        <w:t>s</w:t>
      </w:r>
      <w:r w:rsidRPr="00516415">
        <w:t xml:space="preserve"> de fonds propres ou </w:t>
      </w:r>
      <w:r>
        <w:t>de</w:t>
      </w:r>
      <w:r w:rsidRPr="00516415">
        <w:t xml:space="preserve"> remboursement</w:t>
      </w:r>
      <w:r>
        <w:t>s</w:t>
      </w:r>
      <w:r w:rsidRPr="00516415">
        <w:t xml:space="preserve"> rapide</w:t>
      </w:r>
      <w:r>
        <w:t>s</w:t>
      </w:r>
      <w:r w:rsidRPr="00516415">
        <w:t xml:space="preserve"> de passifs entre les contreparties</w:t>
      </w:r>
      <w:r>
        <w:t xml:space="preserve"> qui </w:t>
      </w:r>
      <w:r w:rsidRPr="00142EE5">
        <w:t>bénéfici</w:t>
      </w:r>
      <w:r>
        <w:t>e</w:t>
      </w:r>
      <w:r w:rsidRPr="00142EE5">
        <w:t>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 xml:space="preserve">du règlement (UE) n°648/2012 du Parlement européen et du Conseil du 4 juillet 2012 sur les produits dérivés de gré à gré, les contreparties centrales et les référentiels </w:t>
      </w:r>
      <w:r w:rsidRPr="002B5222">
        <w:t xml:space="preserve">centraux. Inclure le détail des observations ou anticipations </w:t>
      </w:r>
      <w:r w:rsidR="002D4196">
        <w:t>relatives aux pays dont la situation a significativement évolué à cet égard</w:t>
      </w:r>
      <w:r w:rsidRPr="002B5222">
        <w:t> ;</w:t>
      </w:r>
    </w:p>
    <w:p w14:paraId="1DD48BD5" w14:textId="77777777" w:rsidR="008A778A" w:rsidRDefault="008A778A" w:rsidP="008A778A">
      <w:pPr>
        <w:pStyle w:val="SGACP-enumerationniveau1"/>
        <w:autoSpaceDE w:val="0"/>
        <w:autoSpaceDN w:val="0"/>
        <w:adjustRightInd w:val="0"/>
        <w:ind w:left="284" w:hanging="284"/>
      </w:pPr>
      <w:r>
        <w:t>i</w:t>
      </w:r>
      <w:r w:rsidRPr="007F2900">
        <w:t>nformations relatives aux transactions intragroupe réalisées au cours de l</w:t>
      </w:r>
      <w:r>
        <w:t>’</w:t>
      </w:r>
      <w:r w:rsidRPr="007F2900">
        <w:t xml:space="preserve">année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centrales et les référentiels centraux</w:t>
      </w:r>
      <w:r>
        <w:t xml:space="preserve"> (cf. article 20 du règlement délégué n°</w:t>
      </w:r>
      <w:r w:rsidRPr="00391E56">
        <w:t xml:space="preserve"> 149/2013 </w:t>
      </w:r>
      <w:r>
        <w:t xml:space="preserve">de la </w:t>
      </w:r>
      <w:r w:rsidRPr="00391E56">
        <w:t>C</w:t>
      </w:r>
      <w:r>
        <w:t xml:space="preserve">ommission </w:t>
      </w:r>
      <w:r w:rsidRPr="00391E56">
        <w:t>du 19 décembre 2012</w:t>
      </w:r>
      <w:r>
        <w:t xml:space="preserve"> </w:t>
      </w:r>
      <w:r w:rsidRPr="00391E56">
        <w:t>complétant le règlement (UE) n</w:t>
      </w:r>
      <w:r>
        <w:t>°</w:t>
      </w:r>
      <w:r w:rsidRPr="00391E56">
        <w:t xml:space="preserve"> 648/2012</w:t>
      </w:r>
      <w:r>
        <w:t>).</w:t>
      </w:r>
    </w:p>
    <w:p w14:paraId="7E052EDC" w14:textId="77777777" w:rsidR="008A778A" w:rsidRDefault="008A778A" w:rsidP="00460E3D"/>
    <w:p w14:paraId="27E3AEE0" w14:textId="77777777" w:rsidR="00107C50" w:rsidRDefault="00107C50" w:rsidP="00460E3D"/>
    <w:p w14:paraId="64B89214" w14:textId="77777777" w:rsidR="00331B88" w:rsidRDefault="00463A1C">
      <w:pPr>
        <w:pStyle w:val="StyleSGACP-titrederubriqueniveau1CouleurpersonnaliseRVB"/>
        <w:keepNext/>
        <w:keepLines/>
        <w:ind w:left="426" w:hanging="426"/>
      </w:pPr>
      <w:bookmarkStart w:id="107" w:name="_Toc340481681"/>
      <w:bookmarkStart w:id="108" w:name="_Toc340481791"/>
      <w:bookmarkStart w:id="109" w:name="_Toc340482186"/>
      <w:bookmarkStart w:id="110" w:name="_Toc340481682"/>
      <w:bookmarkStart w:id="111" w:name="_Toc340481792"/>
      <w:bookmarkStart w:id="112" w:name="_Toc340482187"/>
      <w:bookmarkStart w:id="113" w:name="_Toc244576458"/>
      <w:bookmarkStart w:id="114" w:name="_Toc244598004"/>
      <w:bookmarkStart w:id="115" w:name="_Toc244601058"/>
      <w:bookmarkStart w:id="116" w:name="_Toc244692475"/>
      <w:bookmarkStart w:id="117" w:name="_Toc244692544"/>
      <w:bookmarkStart w:id="118" w:name="_Toc244938464"/>
      <w:bookmarkStart w:id="119" w:name="_Toc244938697"/>
      <w:bookmarkStart w:id="120" w:name="_Toc266799815"/>
      <w:bookmarkStart w:id="121" w:name="_Toc266799862"/>
      <w:bookmarkStart w:id="122" w:name="_Toc106958070"/>
      <w:bookmarkEnd w:id="107"/>
      <w:bookmarkEnd w:id="108"/>
      <w:bookmarkEnd w:id="109"/>
      <w:bookmarkEnd w:id="110"/>
      <w:bookmarkEnd w:id="111"/>
      <w:bookmarkEnd w:id="112"/>
      <w:r w:rsidRPr="007D7872">
        <w:t>Risques de marché</w:t>
      </w:r>
      <w:bookmarkEnd w:id="113"/>
      <w:bookmarkEnd w:id="114"/>
      <w:bookmarkEnd w:id="115"/>
      <w:bookmarkEnd w:id="116"/>
      <w:bookmarkEnd w:id="117"/>
      <w:bookmarkEnd w:id="118"/>
      <w:bookmarkEnd w:id="119"/>
      <w:bookmarkEnd w:id="120"/>
      <w:bookmarkEnd w:id="121"/>
      <w:bookmarkEnd w:id="122"/>
    </w:p>
    <w:p w14:paraId="17C8E6C7" w14:textId="77777777" w:rsidR="00331B88" w:rsidRDefault="00331B88" w:rsidP="00460E3D"/>
    <w:p w14:paraId="114A2E26" w14:textId="77777777" w:rsidR="00924F3B" w:rsidRPr="002A7A2A" w:rsidRDefault="00463A1C" w:rsidP="002A7A2A">
      <w:pPr>
        <w:pStyle w:val="SGACP-textecourant"/>
        <w:keepNext/>
        <w:keepLines/>
        <w:rPr>
          <w:lang w:val="fr-BE"/>
        </w:rPr>
      </w:pPr>
      <w:r w:rsidRPr="002A7A2A">
        <w:rPr>
          <w:szCs w:val="22"/>
        </w:rPr>
        <w:t>Description de la politique conduite par l</w:t>
      </w:r>
      <w:r w:rsidR="001224E7" w:rsidRPr="002A7A2A">
        <w:rPr>
          <w:szCs w:val="22"/>
        </w:rPr>
        <w:t>’</w:t>
      </w:r>
      <w:r w:rsidRPr="002A7A2A">
        <w:rPr>
          <w:szCs w:val="22"/>
        </w:rPr>
        <w:t>établissement en matière d</w:t>
      </w:r>
      <w:r w:rsidR="001224E7" w:rsidRPr="002A7A2A">
        <w:rPr>
          <w:szCs w:val="22"/>
        </w:rPr>
        <w:t>’</w:t>
      </w:r>
      <w:r w:rsidRPr="002A7A2A">
        <w:rPr>
          <w:szCs w:val="22"/>
        </w:rPr>
        <w:t>activités de marché réalisées pour compte propre</w:t>
      </w:r>
      <w:r w:rsidRPr="00ED207A">
        <w:rPr>
          <w:szCs w:val="22"/>
        </w:rPr>
        <w:t>.</w:t>
      </w:r>
    </w:p>
    <w:p w14:paraId="65D910B7" w14:textId="77777777" w:rsidR="00C66532" w:rsidRDefault="00C66532" w:rsidP="00463A1C">
      <w:bookmarkStart w:id="123" w:name="_Toc244576459"/>
      <w:bookmarkStart w:id="124" w:name="_Toc266799816"/>
    </w:p>
    <w:p w14:paraId="53631D10" w14:textId="77777777" w:rsidR="00463A1C" w:rsidRPr="007F2900" w:rsidRDefault="008F3AF1" w:rsidP="00C66532">
      <w:pPr>
        <w:pStyle w:val="SGACP-sous-titrederubriquenivaeu2"/>
      </w:pPr>
      <w:r>
        <w:t>10</w:t>
      </w:r>
      <w:r w:rsidR="00C66532">
        <w:t>.1.</w:t>
      </w:r>
      <w:r w:rsidR="00C66532">
        <w:tab/>
      </w:r>
      <w:r w:rsidR="00463A1C" w:rsidRPr="007F2900">
        <w:t>Dispositif de mesure des risques de marché</w:t>
      </w:r>
      <w:bookmarkEnd w:id="123"/>
      <w:bookmarkEnd w:id="124"/>
      <w:r w:rsidR="00F26BD5">
        <w:t> :</w:t>
      </w:r>
    </w:p>
    <w:p w14:paraId="1C5ECDD3" w14:textId="77777777" w:rsidR="00331B88" w:rsidRDefault="00F26BD5" w:rsidP="006D1AEB">
      <w:pPr>
        <w:pStyle w:val="SGACP-enumerationniveau1"/>
        <w:ind w:left="284" w:hanging="284"/>
      </w:pPr>
      <w:r>
        <w:t>e</w:t>
      </w:r>
      <w:r w:rsidR="00463A1C" w:rsidRPr="007F2900">
        <w:t>nregistrement des opérations de marché ; calcul des positions et des résultats</w:t>
      </w:r>
      <w:r w:rsidR="00463A1C" w:rsidRPr="00C66532">
        <w:rPr>
          <w:i/>
          <w:iCs/>
        </w:rPr>
        <w:t xml:space="preserve"> (préciser la périodicité)</w:t>
      </w:r>
      <w:r>
        <w:rPr>
          <w:i/>
          <w:iCs/>
        </w:rPr>
        <w:t> ;</w:t>
      </w:r>
    </w:p>
    <w:p w14:paraId="7C0AD76A" w14:textId="77777777" w:rsidR="00331B88" w:rsidRPr="00BD1DB7" w:rsidRDefault="00F26BD5" w:rsidP="006D1AEB">
      <w:pPr>
        <w:pStyle w:val="SGACP-enumerationniveau1"/>
        <w:ind w:left="284" w:hanging="284"/>
      </w:pPr>
      <w:r>
        <w:t>r</w:t>
      </w:r>
      <w:r w:rsidR="00463A1C" w:rsidRPr="007F2900">
        <w:t xml:space="preserve">approchements entre les résultats de gestion et les résultats comptables </w:t>
      </w:r>
      <w:r w:rsidR="00463A1C" w:rsidRPr="00C66532">
        <w:rPr>
          <w:i/>
          <w:iCs/>
        </w:rPr>
        <w:t>(préciser la périodicité)</w:t>
      </w:r>
      <w:r>
        <w:rPr>
          <w:i/>
          <w:iCs/>
        </w:rPr>
        <w:t> ;</w:t>
      </w:r>
    </w:p>
    <w:p w14:paraId="46F6ED73" w14:textId="77777777" w:rsidR="002C2870" w:rsidRDefault="002C2870" w:rsidP="002C2870">
      <w:pPr>
        <w:pStyle w:val="SGACP-enumerationniveau1"/>
        <w:ind w:left="284" w:hanging="284"/>
      </w:pPr>
      <w:r w:rsidRPr="005B1D5E">
        <w:rPr>
          <w:iCs/>
        </w:rPr>
        <w:t>rapprochements</w:t>
      </w:r>
      <w:r>
        <w:rPr>
          <w:iCs/>
        </w:rPr>
        <w:t xml:space="preserve"> entre la valorisation prudente, telle que définie dans le </w:t>
      </w:r>
      <w:r w:rsidR="00107C50">
        <w:rPr>
          <w:iCs/>
        </w:rPr>
        <w:t>r</w:t>
      </w:r>
      <w:r>
        <w:rPr>
          <w:iCs/>
        </w:rPr>
        <w:t xml:space="preserve">èglement </w:t>
      </w:r>
      <w:r w:rsidR="00107C50">
        <w:rPr>
          <w:iCs/>
        </w:rPr>
        <w:t>d</w:t>
      </w:r>
      <w:r>
        <w:rPr>
          <w:iCs/>
        </w:rPr>
        <w:t>élégué 2016/101 du 26 Octobre 2015, et la valorisation comptable, du portefeuille enregistré comptablement en juste valeur par résultat</w:t>
      </w:r>
      <w:r w:rsidR="00D82F7B">
        <w:rPr>
          <w:iCs/>
        </w:rPr>
        <w:t> ;</w:t>
      </w:r>
    </w:p>
    <w:p w14:paraId="0A003D02" w14:textId="77777777" w:rsidR="00331B88" w:rsidRDefault="00F26BD5" w:rsidP="006D1AEB">
      <w:pPr>
        <w:pStyle w:val="SGACP-enumerationniveau1"/>
        <w:ind w:left="284" w:hanging="284"/>
      </w:pPr>
      <w:r>
        <w:t>é</w:t>
      </w:r>
      <w:r w:rsidR="00463A1C" w:rsidRPr="007F2900">
        <w:t xml:space="preserve">valuation des risques résultant des positions du portefeuille de négociation </w:t>
      </w:r>
      <w:r w:rsidR="00463A1C" w:rsidRPr="00C66532">
        <w:rPr>
          <w:i/>
          <w:iCs/>
        </w:rPr>
        <w:t>(préciser la périodicité)</w:t>
      </w:r>
      <w:r>
        <w:rPr>
          <w:i/>
          <w:iCs/>
        </w:rPr>
        <w:t> ;</w:t>
      </w:r>
    </w:p>
    <w:p w14:paraId="46311C3D" w14:textId="77777777" w:rsidR="00331B88" w:rsidRDefault="00F26BD5" w:rsidP="006D1AEB">
      <w:pPr>
        <w:pStyle w:val="SGACP-enumerationniveau1"/>
        <w:ind w:left="284" w:hanging="284"/>
      </w:pPr>
      <w:r>
        <w:t>m</w:t>
      </w:r>
      <w:r w:rsidR="00463A1C" w:rsidRPr="007F2900">
        <w:t xml:space="preserve">odalités selon lesquelles les différentes composantes du risque </w:t>
      </w:r>
      <w:r w:rsidR="006247AB" w:rsidRPr="00210431">
        <w:t>(</w:t>
      </w:r>
      <w:r w:rsidR="00DF566F" w:rsidRPr="00210431">
        <w:t>y compris</w:t>
      </w:r>
      <w:r w:rsidR="006247AB" w:rsidRPr="00210431">
        <w:t xml:space="preserve"> le risque de base</w:t>
      </w:r>
      <w:r w:rsidR="0092562C" w:rsidRPr="00210431">
        <w:t xml:space="preserve"> </w:t>
      </w:r>
      <w:r w:rsidR="006247AB" w:rsidRPr="00210431">
        <w:t>et le risque de titrisation)</w:t>
      </w:r>
      <w:r w:rsidR="006247AB">
        <w:t xml:space="preserve"> </w:t>
      </w:r>
      <w:r w:rsidR="00463A1C" w:rsidRPr="007F2900">
        <w:t>sont prises en compte</w:t>
      </w:r>
      <w:r w:rsidR="00463A1C" w:rsidRPr="00C66532">
        <w:t xml:space="preserve"> (notamment pour les établissements disposant de volumes significatifs effectuant une mesure globale du risque)</w:t>
      </w:r>
      <w:r>
        <w:t> ;</w:t>
      </w:r>
    </w:p>
    <w:p w14:paraId="651537EF" w14:textId="77777777" w:rsidR="00B27463" w:rsidRDefault="00F26BD5" w:rsidP="00686792">
      <w:pPr>
        <w:pStyle w:val="SGACP-enumerationniveau1"/>
        <w:ind w:left="284" w:hanging="284"/>
      </w:pPr>
      <w:r>
        <w:t>c</w:t>
      </w:r>
      <w:r w:rsidR="00463A1C" w:rsidRPr="007F2900">
        <w:t xml:space="preserve">hamp de la couverture des risques </w:t>
      </w:r>
      <w:r w:rsidR="00463A1C" w:rsidRPr="00C66532">
        <w:t>(différentes activités et portefeuilles, au sein des différentes implantations géographiques)</w:t>
      </w:r>
      <w:r>
        <w:t>.</w:t>
      </w:r>
    </w:p>
    <w:p w14:paraId="7A0FBB9D" w14:textId="77777777" w:rsidR="00C66532" w:rsidRDefault="00C66532" w:rsidP="00463A1C">
      <w:bookmarkStart w:id="125" w:name="_Toc244576460"/>
      <w:bookmarkStart w:id="126" w:name="_Toc266799817"/>
    </w:p>
    <w:p w14:paraId="489D7689" w14:textId="77777777" w:rsidR="00463A1C" w:rsidRDefault="008F3AF1" w:rsidP="00F26BD5">
      <w:pPr>
        <w:pStyle w:val="SGACP-sous-titrederubriquenivaeu2"/>
        <w:keepNext/>
        <w:keepLines/>
      </w:pPr>
      <w:r>
        <w:t>10</w:t>
      </w:r>
      <w:r w:rsidR="00C66532">
        <w:t>.2.</w:t>
      </w:r>
      <w:r w:rsidR="00C66532">
        <w:tab/>
      </w:r>
      <w:r w:rsidR="00463A1C" w:rsidRPr="007F2900">
        <w:t>Dispositif de surveillance des risques de marché</w:t>
      </w:r>
      <w:bookmarkEnd w:id="125"/>
      <w:bookmarkEnd w:id="126"/>
      <w:r w:rsidR="00F26BD5">
        <w:t> :</w:t>
      </w:r>
    </w:p>
    <w:p w14:paraId="5BD95363" w14:textId="07388DA4" w:rsidR="00E84ACD" w:rsidRPr="007F2900" w:rsidRDefault="00E84ACD" w:rsidP="003D1AFF">
      <w:pPr>
        <w:pStyle w:val="SGACP-enumerationniveau1"/>
        <w:ind w:left="284" w:hanging="284"/>
      </w:pPr>
      <w:r>
        <w:t>rôle</w:t>
      </w:r>
      <w:r w:rsidR="00E914A0">
        <w:t>s des dirigeants effectifs, de l’organe de surveillance et le cas échéant</w:t>
      </w:r>
      <w:r>
        <w:t xml:space="preserve"> du comité des risques dans la définition de</w:t>
      </w:r>
      <w:r w:rsidR="00E914A0">
        <w:t xml:space="preserve"> la stratégie globale en matière de risques</w:t>
      </w:r>
      <w:r w:rsidR="00D64B72">
        <w:t xml:space="preserve"> </w:t>
      </w:r>
      <w:r w:rsidR="003D1AFF">
        <w:t xml:space="preserve">de marché </w:t>
      </w:r>
      <w:r w:rsidR="00D64B72">
        <w:t xml:space="preserve">et </w:t>
      </w:r>
      <w:r w:rsidR="00E914A0">
        <w:t>de l’appétence</w:t>
      </w:r>
      <w:r>
        <w:t xml:space="preserve"> pour le</w:t>
      </w:r>
      <w:r w:rsidR="00D64B72">
        <w:t>s</w:t>
      </w:r>
      <w:r>
        <w:t xml:space="preserve"> risque</w:t>
      </w:r>
      <w:r w:rsidR="00D64B72">
        <w:t>s</w:t>
      </w:r>
      <w:r w:rsidR="003D1AFF">
        <w:t xml:space="preserve"> de marché</w:t>
      </w:r>
      <w:r>
        <w:t xml:space="preserve"> actuel</w:t>
      </w:r>
      <w:r w:rsidR="00D64B72">
        <w:t>s</w:t>
      </w:r>
      <w:r>
        <w:t xml:space="preserve"> et futur</w:t>
      </w:r>
      <w:r w:rsidR="00D64B72">
        <w:t>s</w:t>
      </w:r>
      <w:r>
        <w:t xml:space="preserve"> de l’établissement</w:t>
      </w:r>
      <w:r w:rsidR="00A95449">
        <w:t xml:space="preserve"> (</w:t>
      </w:r>
      <w:r w:rsidR="00156279">
        <w:t xml:space="preserve">cf. </w:t>
      </w:r>
      <w:r w:rsidR="00A95449">
        <w:t>articles L.511-92</w:t>
      </w:r>
      <w:r w:rsidR="00C6015F">
        <w:t> </w:t>
      </w:r>
      <w:r w:rsidR="00A95449">
        <w:t xml:space="preserve">et L.511-93 </w:t>
      </w:r>
      <w:r w:rsidR="00D605A5">
        <w:t>ou L. 533-31-1 et L. </w:t>
      </w:r>
      <w:r w:rsidR="007C679C">
        <w:t xml:space="preserve">533-31-2 </w:t>
      </w:r>
      <w:r w:rsidR="00A95449">
        <w:t>du Code monétaire et financier)</w:t>
      </w:r>
      <w:r w:rsidR="00D64B72">
        <w:t>,</w:t>
      </w:r>
      <w:r w:rsidR="00A95449">
        <w:t xml:space="preserve"> </w:t>
      </w:r>
      <w:r w:rsidR="00D64B72">
        <w:t>et dans la fixation des limites (cf. article 2</w:t>
      </w:r>
      <w:r w:rsidR="003D1AFF">
        <w:t>24</w:t>
      </w:r>
      <w:r w:rsidR="00D64B72">
        <w:t xml:space="preserve"> de l’arrêté du 3 novembre 2014</w:t>
      </w:r>
      <w:r w:rsidR="00852089">
        <w:t xml:space="preserve"> modifié</w:t>
      </w:r>
      <w:r w:rsidR="00D64B72">
        <w:t>)</w:t>
      </w:r>
      <w:r w:rsidR="00852089">
        <w:t> ;</w:t>
      </w:r>
    </w:p>
    <w:p w14:paraId="3B60F334" w14:textId="77777777" w:rsidR="00331B88" w:rsidRDefault="00F26BD5" w:rsidP="006D1AEB">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marché</w:t>
      </w:r>
      <w:r>
        <w:t> ;</w:t>
      </w:r>
    </w:p>
    <w:p w14:paraId="115EDD7F" w14:textId="77777777" w:rsidR="00331B88" w:rsidRDefault="00F26BD5" w:rsidP="006D1AEB">
      <w:pPr>
        <w:pStyle w:val="SGACP-enumerationniveau1"/>
        <w:ind w:left="284" w:hanging="284"/>
      </w:pPr>
      <w:r>
        <w:t>c</w:t>
      </w:r>
      <w:r w:rsidR="00463A1C" w:rsidRPr="007F2900">
        <w:t>ontrôles réalisés par cette unité,</w:t>
      </w:r>
      <w:r w:rsidR="00463A1C" w:rsidRPr="0039794C">
        <w:t xml:space="preserve"> et en particulier contrôle régulier de la validité des outils de mesure globale des risques (back-testing)</w:t>
      </w:r>
      <w:r w:rsidRPr="0039794C">
        <w:t> ;</w:t>
      </w:r>
    </w:p>
    <w:p w14:paraId="7F640F2C" w14:textId="77777777" w:rsidR="00331B88" w:rsidRDefault="00F26BD5" w:rsidP="006D1AEB">
      <w:pPr>
        <w:pStyle w:val="SGACP-enumerationniveau1"/>
        <w:ind w:left="284" w:hanging="284"/>
      </w:pPr>
      <w:r>
        <w:t>d</w:t>
      </w:r>
      <w:r w:rsidR="00463A1C" w:rsidRPr="007F2900">
        <w:t>escription synthétique des limites fixées en matière de risques de marché </w:t>
      </w:r>
      <w:r w:rsidR="00463A1C" w:rsidRPr="00210431">
        <w:rPr>
          <w:i/>
        </w:rPr>
        <w:t>(préciser le niveau des limites, par type de risques encourus, par rapport aux fonds propres et par rapport aux résultats)</w:t>
      </w:r>
      <w:r>
        <w:t> ;</w:t>
      </w:r>
    </w:p>
    <w:p w14:paraId="3CA71A79" w14:textId="77777777" w:rsidR="00331B88" w:rsidRDefault="00F26BD5" w:rsidP="006D1AEB">
      <w:pPr>
        <w:pStyle w:val="SGACP-enumerationniveau1"/>
        <w:ind w:left="284" w:hanging="284"/>
      </w:pPr>
      <w:r>
        <w:t>p</w:t>
      </w:r>
      <w:r w:rsidR="00463A1C" w:rsidRPr="007F2900">
        <w:t xml:space="preserve">ériodicité de la révision des limites fixées en matière de risques de marché </w:t>
      </w:r>
      <w:r w:rsidR="00463A1C" w:rsidRPr="00C66532">
        <w:rPr>
          <w:i/>
          <w:iCs/>
        </w:rPr>
        <w:t>(indiquer la date à laquelle est intervenue cette révision au cours du dernier exercice)</w:t>
      </w:r>
      <w:r w:rsidR="00463A1C" w:rsidRPr="007F2900">
        <w:t> ; organe en charge de décider le niveau des limites</w:t>
      </w:r>
      <w:r>
        <w:t> ;</w:t>
      </w:r>
    </w:p>
    <w:p w14:paraId="71AF67CD" w14:textId="77777777" w:rsidR="00331B88" w:rsidRDefault="00F26BD5" w:rsidP="006D1AEB">
      <w:pPr>
        <w:pStyle w:val="SGACP-enumerationniveau1"/>
        <w:ind w:left="284" w:hanging="284"/>
      </w:pPr>
      <w:r>
        <w:t>d</w:t>
      </w:r>
      <w:r w:rsidR="00463A1C" w:rsidRPr="007F2900">
        <w:t>ispositif de surveillance des procédures et des limites</w:t>
      </w:r>
      <w:r>
        <w:t> ;</w:t>
      </w:r>
    </w:p>
    <w:p w14:paraId="712E0720" w14:textId="77777777" w:rsidR="00331B88" w:rsidRDefault="00F26BD5" w:rsidP="006D1AEB">
      <w:pPr>
        <w:pStyle w:val="SGACP-enumerationniveau1"/>
        <w:ind w:left="284" w:hanging="284"/>
      </w:pPr>
      <w:r>
        <w:t>d</w:t>
      </w:r>
      <w:r w:rsidR="00463A1C" w:rsidRPr="007F2900">
        <w:t xml:space="preserve">épassements éventuels de limites observés au cours du dernier exercice </w:t>
      </w:r>
      <w:r w:rsidR="00463A1C" w:rsidRPr="00C66532">
        <w:rPr>
          <w:i/>
          <w:iCs/>
        </w:rPr>
        <w:t>(préciser les causes des dépassements, leur nombre et leur montant)</w:t>
      </w:r>
      <w:r>
        <w:rPr>
          <w:i/>
          <w:iCs/>
        </w:rPr>
        <w:t> ;</w:t>
      </w:r>
    </w:p>
    <w:p w14:paraId="0DD446F2" w14:textId="77777777" w:rsidR="00331B88" w:rsidRDefault="00F26BD5"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23B2702E" w14:textId="77777777" w:rsidR="00331B88" w:rsidRDefault="00F26BD5" w:rsidP="006D1AEB">
      <w:pPr>
        <w:pStyle w:val="SGACP-enumerationniveau1"/>
        <w:ind w:left="284" w:hanging="284"/>
      </w:pPr>
      <w:r>
        <w:t>p</w:t>
      </w:r>
      <w:r w:rsidR="00463A1C" w:rsidRPr="007F2900">
        <w:t>rocédures d</w:t>
      </w:r>
      <w:r w:rsidR="001224E7">
        <w:t>’</w:t>
      </w:r>
      <w:r w:rsidR="00463A1C" w:rsidRPr="007F2900">
        <w:t xml:space="preserve">information sur le respect des limites </w:t>
      </w:r>
      <w:r w:rsidR="00463A1C" w:rsidRPr="00C66532">
        <w:rPr>
          <w:i/>
          <w:iCs/>
        </w:rPr>
        <w:t>(périodicité, destinataires)</w:t>
      </w:r>
      <w:r>
        <w:rPr>
          <w:i/>
          <w:iCs/>
        </w:rPr>
        <w:t> ;</w:t>
      </w:r>
    </w:p>
    <w:p w14:paraId="0F866C61" w14:textId="09E34199" w:rsidR="00331B88" w:rsidRDefault="00F26BD5" w:rsidP="006D1AEB">
      <w:pPr>
        <w:pStyle w:val="SGACP-enumerationniveau1"/>
        <w:ind w:left="284" w:hanging="284"/>
      </w:pPr>
      <w:r>
        <w:t>m</w:t>
      </w:r>
      <w:r w:rsidR="00463A1C" w:rsidRPr="007F2900">
        <w:t>odalités, périodicité et conclusions de l</w:t>
      </w:r>
      <w:r w:rsidR="001224E7">
        <w:t>’</w:t>
      </w:r>
      <w:r w:rsidR="00463A1C" w:rsidRPr="007F2900">
        <w:t xml:space="preserve">analyse transmise </w:t>
      </w:r>
      <w:r w:rsidR="0003780F">
        <w:t>aux dirigeants effectifs</w:t>
      </w:r>
      <w:r w:rsidR="003D1AFF">
        <w:t xml:space="preserve"> et</w:t>
      </w:r>
      <w:r w:rsidR="00463A1C" w:rsidRPr="007F2900">
        <w:t xml:space="preserve"> </w:t>
      </w:r>
      <w:r w:rsidR="003D1AFF" w:rsidRPr="007F2900">
        <w:t>à l</w:t>
      </w:r>
      <w:r w:rsidR="003D1AFF">
        <w:t>’</w:t>
      </w:r>
      <w:r w:rsidR="003D1AFF" w:rsidRPr="007F2900">
        <w:t xml:space="preserve">organe </w:t>
      </w:r>
      <w:r w:rsidR="003D1AFF">
        <w:t>de surveillance</w:t>
      </w:r>
      <w:r w:rsidR="003D1AFF" w:rsidRPr="007F2900">
        <w:t xml:space="preserve"> </w:t>
      </w:r>
      <w:r w:rsidR="00463A1C" w:rsidRPr="007F2900">
        <w:t xml:space="preserve">des résultats des opérations de marché </w:t>
      </w:r>
      <w:r w:rsidR="00463A1C" w:rsidRPr="006239A2">
        <w:rPr>
          <w:i/>
        </w:rPr>
        <w:t>(indiquer la date de la dernière analyse)</w:t>
      </w:r>
      <w:r w:rsidR="00463A1C" w:rsidRPr="007F2900">
        <w:t xml:space="preserve"> ainsi que du niveau des risques portés, notamment au regard du montant des fonds propres alloués</w:t>
      </w:r>
      <w:r w:rsidR="00A61041">
        <w:t> </w:t>
      </w:r>
      <w:r w:rsidR="006652B4">
        <w:t>et du niveau de capital interne permettant de couvrir les risques de marché significatifs non soumis à des exigences de fonds propres (cf. articles 130 à 133 de l’arrêté du 3 novembre 2014</w:t>
      </w:r>
      <w:r w:rsidR="00852089">
        <w:t xml:space="preserve"> modifié </w:t>
      </w:r>
      <w:r w:rsidR="00A61041">
        <w:t>:</w:t>
      </w:r>
    </w:p>
    <w:p w14:paraId="32F88CA5" w14:textId="748984AD" w:rsidR="001511E1" w:rsidRDefault="004F2CE1" w:rsidP="00460E3D">
      <w:pPr>
        <w:pStyle w:val="SGACP-enumerationniveau2"/>
        <w:numPr>
          <w:ilvl w:val="0"/>
          <w:numId w:val="29"/>
        </w:numPr>
        <w:ind w:left="567" w:hanging="283"/>
      </w:pPr>
      <w:r>
        <w:t>j</w:t>
      </w:r>
      <w:r w:rsidR="00463A1C" w:rsidRPr="007F2900">
        <w:t xml:space="preserve">oindre un exemple des documents transmis </w:t>
      </w:r>
      <w:r w:rsidR="0003780F">
        <w:t>aux dirigeants effectifs</w:t>
      </w:r>
      <w:r w:rsidR="00463A1C" w:rsidRPr="007F2900">
        <w:t xml:space="preserve"> lui permettant d</w:t>
      </w:r>
      <w:r w:rsidR="001224E7">
        <w:t>’</w:t>
      </w:r>
      <w:r w:rsidR="00463A1C" w:rsidRPr="007F2900">
        <w:t>apprécier les risques de l</w:t>
      </w:r>
      <w:r w:rsidR="001224E7">
        <w:t>’</w:t>
      </w:r>
      <w:r w:rsidR="00463A1C" w:rsidRPr="007F2900">
        <w:t>entreprise, notamment par rapport à ses fonds pro</w:t>
      </w:r>
      <w:r>
        <w:t>pres et ses résultats</w:t>
      </w:r>
      <w:r w:rsidR="00D605A5">
        <w:t> ;</w:t>
      </w:r>
    </w:p>
    <w:p w14:paraId="03C7A63F" w14:textId="43479B7D" w:rsidR="00D605A5" w:rsidRDefault="00D605A5" w:rsidP="00D605A5">
      <w:pPr>
        <w:pStyle w:val="SGACP-enumerationniveau1"/>
        <w:ind w:left="284" w:hanging="284"/>
      </w:pPr>
      <w:r w:rsidRPr="00C96B52">
        <w:t>description des mesures mises en œuvre par l’établissement pou</w:t>
      </w:r>
      <w:r>
        <w:t>r se mettre en conformité avec les O</w:t>
      </w:r>
      <w:r w:rsidRPr="00C96B52">
        <w:t xml:space="preserve">rientations de l’ABE sur </w:t>
      </w:r>
      <w:r>
        <w:t>le traitement des positions structurelles de change (EBA/GL/2020/09).</w:t>
      </w:r>
    </w:p>
    <w:p w14:paraId="043873C1" w14:textId="77777777" w:rsidR="002A53BE" w:rsidRDefault="002A53BE" w:rsidP="00935917">
      <w:pPr>
        <w:pStyle w:val="SGACP-enumerationniveau2"/>
        <w:numPr>
          <w:ilvl w:val="0"/>
          <w:numId w:val="0"/>
        </w:numPr>
        <w:ind w:left="567"/>
      </w:pPr>
    </w:p>
    <w:p w14:paraId="04BD767A" w14:textId="3CB6812D" w:rsidR="002A53BE" w:rsidRDefault="008F3AF1">
      <w:pPr>
        <w:pStyle w:val="SGACP-sous-titrederubriquenivaeu2"/>
        <w:keepNext/>
      </w:pPr>
      <w:r>
        <w:t>10</w:t>
      </w:r>
      <w:r w:rsidR="00C66532">
        <w:t>.3.</w:t>
      </w:r>
      <w:r w:rsidR="00C66532">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sur les risques de marché</w:t>
      </w:r>
      <w:r w:rsidR="004F2CE1">
        <w:t> :</w:t>
      </w:r>
    </w:p>
    <w:p w14:paraId="7376E51B" w14:textId="77777777" w:rsidR="002A53BE" w:rsidRDefault="004F2CE1">
      <w:pPr>
        <w:pStyle w:val="SGACP-enumerationniveau1"/>
        <w:keepNext/>
        <w:ind w:left="284" w:hanging="284"/>
      </w:pPr>
      <w:r>
        <w:t>p</w:t>
      </w:r>
      <w:r w:rsidR="00463A1C" w:rsidRPr="007F2900">
        <w:t>rincipales insuffisances relevées</w:t>
      </w:r>
      <w:r>
        <w:t> ;</w:t>
      </w:r>
    </w:p>
    <w:p w14:paraId="33404541" w14:textId="77777777" w:rsidR="00331B88" w:rsidRDefault="004F2CE1" w:rsidP="006D1AEB">
      <w:pPr>
        <w:pStyle w:val="SGACP-enumerationniveau1"/>
        <w:ind w:left="284" w:hanging="284"/>
      </w:pPr>
      <w:r>
        <w:t>m</w:t>
      </w:r>
      <w:r w:rsidR="00463A1C" w:rsidRPr="007F2900">
        <w:t xml:space="preserve">esures correctives engagées pour remédier aux insuffisances relevées, </w:t>
      </w:r>
      <w:r w:rsidR="00463A1C" w:rsidRPr="0039794C">
        <w:t>date de réalisation prévisionnelle de ces mesures et état d</w:t>
      </w:r>
      <w:r w:rsidR="001224E7">
        <w:t>’</w:t>
      </w:r>
      <w:r w:rsidR="00463A1C" w:rsidRPr="0039794C">
        <w:t>avancement de leur mise en œuvre à la date de rédaction du présent rapport</w:t>
      </w:r>
      <w:r w:rsidRPr="0039794C">
        <w:t> ;</w:t>
      </w:r>
    </w:p>
    <w:p w14:paraId="43AD9F9C" w14:textId="77777777" w:rsidR="00331B88"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C66532">
        <w:rPr>
          <w:i/>
          <w:iCs/>
        </w:rPr>
        <w:t>(outils, personnes en charge)</w:t>
      </w:r>
      <w:r>
        <w:rPr>
          <w:i/>
          <w:iCs/>
        </w:rPr>
        <w:t> ;</w:t>
      </w:r>
    </w:p>
    <w:p w14:paraId="76D10B12" w14:textId="7085F4C8" w:rsidR="00331B88" w:rsidRPr="004B0BE5" w:rsidRDefault="004F2CE1" w:rsidP="006D1AEB">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 l’</w:t>
      </w:r>
      <w:r w:rsidR="00813951">
        <w:t>arrêté du 3 novembre 2014</w:t>
      </w:r>
      <w:r w:rsidR="00852089">
        <w:t xml:space="preserve"> modifié</w:t>
      </w:r>
      <w:r w:rsidR="00463A1C" w:rsidRPr="00935917">
        <w:rPr>
          <w:iCs/>
        </w:rPr>
        <w:t>)</w:t>
      </w:r>
      <w:r w:rsidRPr="00935917">
        <w:rPr>
          <w:iCs/>
        </w:rPr>
        <w:t>.</w:t>
      </w:r>
    </w:p>
    <w:p w14:paraId="4CA2A4DA" w14:textId="77777777" w:rsidR="00C66532" w:rsidRDefault="00C66532" w:rsidP="00463A1C">
      <w:bookmarkStart w:id="127" w:name="_Toc266799818"/>
    </w:p>
    <w:p w14:paraId="169B2E04" w14:textId="77777777" w:rsidR="00463A1C" w:rsidRPr="007F2900" w:rsidRDefault="008F3AF1" w:rsidP="00C66532">
      <w:pPr>
        <w:pStyle w:val="SGACP-sous-titrederubriquenivaeu2"/>
      </w:pPr>
      <w:r>
        <w:t>10</w:t>
      </w:r>
      <w:r w:rsidR="00C66532">
        <w:t>.4.</w:t>
      </w:r>
      <w:r w:rsidR="00C66532">
        <w:tab/>
      </w:r>
      <w:r w:rsidR="00463A1C" w:rsidRPr="007F2900">
        <w:t>Simulations de crise relatives aux risques de marché</w:t>
      </w:r>
      <w:bookmarkEnd w:id="127"/>
      <w:r w:rsidR="00965B51">
        <w:t> :</w:t>
      </w:r>
    </w:p>
    <w:p w14:paraId="5A411BBB" w14:textId="77777777" w:rsidR="00C66532" w:rsidRDefault="00C66532" w:rsidP="00C66532">
      <w:pPr>
        <w:pStyle w:val="SGACP-textecourant"/>
      </w:pPr>
    </w:p>
    <w:p w14:paraId="0ED1AB54" w14:textId="77777777" w:rsidR="00686792" w:rsidRPr="00686792" w:rsidRDefault="00463A1C" w:rsidP="008F76DA">
      <w:pPr>
        <w:pStyle w:val="SGACP-textecourant"/>
        <w:rPr>
          <w:rFonts w:ascii="Arial" w:hAnsi="Arial" w:cs="Arial"/>
        </w:rPr>
      </w:pPr>
      <w:r w:rsidRPr="007F2900">
        <w:t>Pour les établissements utilisant leurs modèles internes pour le calcul des exigences en fonds propres, joindre</w:t>
      </w:r>
      <w:r w:rsidR="006352F2">
        <w:t xml:space="preserve"> </w:t>
      </w:r>
      <w:r w:rsidRPr="007F2900">
        <w:t>une annexe comprenant la description des hypothèses et principes méthodologiques retenus ainsi que des résultats obtenus</w:t>
      </w:r>
      <w:r w:rsidR="002C2870">
        <w:t xml:space="preserve"> ; cette annexe devra rappeler de manière exhaustive les changements de modèle effectués durant l’année écoulée, en distinguant ceux reconnus comme matériels, de ceux reconnus comme non matériels, selon les définitions du </w:t>
      </w:r>
      <w:r w:rsidR="00107C50">
        <w:t>r</w:t>
      </w:r>
      <w:r w:rsidR="002C2870">
        <w:t xml:space="preserve">èglement </w:t>
      </w:r>
      <w:r w:rsidR="00107C50">
        <w:t>d</w:t>
      </w:r>
      <w:r w:rsidR="002C2870">
        <w:t>élégué 2015/942 du 4 mars 2015, et expliquer en quoi le contrôle interne a ou n’a pas été à l’origine de tels changements</w:t>
      </w:r>
      <w:r w:rsidR="002C2870" w:rsidRPr="007F2900">
        <w:t>.</w:t>
      </w:r>
    </w:p>
    <w:p w14:paraId="1CA6798E" w14:textId="77777777" w:rsidR="00C66532" w:rsidRDefault="00C66532" w:rsidP="00C66532">
      <w:pPr>
        <w:pStyle w:val="SGACP-textecourant"/>
      </w:pPr>
      <w:bookmarkStart w:id="128" w:name="_Toc244576461"/>
      <w:bookmarkStart w:id="129" w:name="_Toc266799819"/>
    </w:p>
    <w:p w14:paraId="3991ED5D" w14:textId="77777777" w:rsidR="003274DB" w:rsidRDefault="008F3AF1" w:rsidP="003274DB">
      <w:pPr>
        <w:pStyle w:val="SGACP-sous-titrederubriquenivaeu2"/>
      </w:pPr>
      <w:r>
        <w:t>10</w:t>
      </w:r>
      <w:r w:rsidR="00C66532">
        <w:t>.5.</w:t>
      </w:r>
      <w:r w:rsidR="00C66532">
        <w:tab/>
      </w:r>
      <w:r w:rsidR="00463A1C" w:rsidRPr="007F2900">
        <w:t>Conclusion synthétique sur l</w:t>
      </w:r>
      <w:r w:rsidR="001224E7">
        <w:t>’</w:t>
      </w:r>
      <w:r w:rsidR="00463A1C" w:rsidRPr="007F2900">
        <w:t>exposition aux risques de marché</w:t>
      </w:r>
      <w:bookmarkEnd w:id="128"/>
      <w:bookmarkEnd w:id="129"/>
    </w:p>
    <w:p w14:paraId="2E4BEC24" w14:textId="77777777" w:rsidR="00761F73" w:rsidRPr="00924F3B" w:rsidRDefault="00761F73" w:rsidP="00460E3D">
      <w:bookmarkStart w:id="130" w:name="_Toc244576462"/>
      <w:bookmarkStart w:id="131" w:name="_Toc244598005"/>
      <w:bookmarkStart w:id="132" w:name="_Toc244601059"/>
      <w:bookmarkStart w:id="133" w:name="_Toc244692476"/>
      <w:bookmarkStart w:id="134" w:name="_Toc244692545"/>
      <w:bookmarkStart w:id="135" w:name="_Toc244938465"/>
      <w:bookmarkStart w:id="136" w:name="_Toc244938698"/>
      <w:bookmarkStart w:id="137" w:name="_Toc266799820"/>
      <w:bookmarkStart w:id="138" w:name="_Toc266799863"/>
    </w:p>
    <w:p w14:paraId="31AEF560" w14:textId="080E7645" w:rsidR="005E4C08" w:rsidRDefault="005E4C08" w:rsidP="007877BE"/>
    <w:p w14:paraId="2008249E" w14:textId="2C1EE2D9" w:rsidR="00331B88" w:rsidRDefault="00463A1C">
      <w:pPr>
        <w:pStyle w:val="StyleSGACP-titrederubriqueniveau1CouleurpersonnaliseRVB"/>
        <w:keepNext/>
        <w:keepLines/>
        <w:ind w:left="426" w:hanging="426"/>
      </w:pPr>
      <w:bookmarkStart w:id="139" w:name="_Toc106958071"/>
      <w:r w:rsidRPr="007D7872">
        <w:t>Risque opérationnel</w:t>
      </w:r>
      <w:bookmarkEnd w:id="130"/>
      <w:bookmarkEnd w:id="131"/>
      <w:bookmarkEnd w:id="132"/>
      <w:bookmarkEnd w:id="133"/>
      <w:bookmarkEnd w:id="134"/>
      <w:bookmarkEnd w:id="135"/>
      <w:bookmarkEnd w:id="136"/>
      <w:bookmarkEnd w:id="137"/>
      <w:bookmarkEnd w:id="138"/>
      <w:bookmarkEnd w:id="139"/>
    </w:p>
    <w:p w14:paraId="73717279" w14:textId="77777777" w:rsidR="00CD42E0" w:rsidRDefault="00CD42E0" w:rsidP="00460E3D"/>
    <w:p w14:paraId="62418B2F" w14:textId="77777777" w:rsidR="00CD42E0" w:rsidRDefault="00CD42E0" w:rsidP="00460E3D">
      <w:pPr>
        <w:pStyle w:val="SGACP-sous-titrederubriquenivaeu2"/>
        <w:keepNext/>
        <w:keepLines/>
        <w:numPr>
          <w:ilvl w:val="1"/>
          <w:numId w:val="2"/>
        </w:numPr>
        <w:ind w:left="567" w:hanging="567"/>
      </w:pPr>
      <w:r>
        <w:t xml:space="preserve">Gouvernance et organisation du risque opérationnel </w:t>
      </w:r>
    </w:p>
    <w:p w14:paraId="07857467" w14:textId="77777777" w:rsidR="00CD42E0" w:rsidRDefault="00CD42E0" w:rsidP="00460E3D"/>
    <w:p w14:paraId="25CF3D3B" w14:textId="77777777" w:rsidR="00463A1C" w:rsidRPr="007877BE" w:rsidRDefault="002F066C" w:rsidP="00460E3D">
      <w:pPr>
        <w:pStyle w:val="Paragraphedeliste"/>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14:paraId="1A6CC18D" w14:textId="77777777"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14:paraId="5949EBC7" w14:textId="77777777"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14:paraId="03E71BEB" w14:textId="77777777" w:rsidR="00B07E9C"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p>
    <w:p w14:paraId="5426CC0E" w14:textId="77777777" w:rsidR="00DC0250" w:rsidRDefault="00DC0250" w:rsidP="00460E3D">
      <w:bookmarkStart w:id="140" w:name="_Toc244576463"/>
      <w:bookmarkStart w:id="141" w:name="_Toc266799821"/>
    </w:p>
    <w:p w14:paraId="6F6F0C13" w14:textId="77777777" w:rsidR="00463A1C" w:rsidRPr="007F2900" w:rsidRDefault="008F3AF1" w:rsidP="004F2CE1">
      <w:pPr>
        <w:pStyle w:val="SGACP-sous-titrederubriquenivaeu2"/>
        <w:keepNext/>
        <w:keepLines/>
      </w:pPr>
      <w:r>
        <w:t>11</w:t>
      </w:r>
      <w:r w:rsidR="00DC0250">
        <w:t>.</w:t>
      </w:r>
      <w:r w:rsidR="00DE53B2">
        <w:t>2.</w:t>
      </w:r>
      <w:r w:rsidR="00107C50">
        <w:t xml:space="preserve"> </w:t>
      </w:r>
      <w:r w:rsidR="00463A1C" w:rsidRPr="007F2900">
        <w:t>Identification et évaluation du risque opérationnel</w:t>
      </w:r>
      <w:bookmarkEnd w:id="140"/>
      <w:bookmarkEnd w:id="141"/>
    </w:p>
    <w:p w14:paraId="122F30B0" w14:textId="77777777"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14:paraId="376B861D" w14:textId="77777777"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14:paraId="3304C686" w14:textId="77777777"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14:paraId="5940E12A" w14:textId="7E07BA0C" w:rsidR="00DE53B2" w:rsidRDefault="00DE53B2" w:rsidP="00DE53B2">
      <w:pPr>
        <w:pStyle w:val="SGACP-enumerationniveau1"/>
        <w:ind w:left="284" w:hanging="284"/>
      </w:pPr>
      <w:r>
        <w:t>présentation de la cartographie des risques  avec identification des métiers/risques non (encore) couverts par la cartographie déployée à la fin de l’exercice ;</w:t>
      </w:r>
    </w:p>
    <w:p w14:paraId="290AE3F9" w14:textId="77777777" w:rsidR="00331B88" w:rsidRDefault="004F2CE1" w:rsidP="006D1AEB">
      <w:pPr>
        <w:pStyle w:val="SGACP-enumerationniveau1"/>
        <w:ind w:left="284" w:hanging="284"/>
      </w:pPr>
      <w:r>
        <w:t>d</w:t>
      </w:r>
      <w:r w:rsidR="00463A1C" w:rsidRPr="007F2900">
        <w:t xml:space="preserve">escription synthétique des reportings utilisés pour la mesure et la gestion du risque opérationnel </w:t>
      </w:r>
      <w:r w:rsidR="00463A1C" w:rsidRPr="00210431">
        <w:rPr>
          <w:i/>
        </w:rPr>
        <w:t>(préciser notamment la périodicité et les destinataires des reportings,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14:paraId="21D88786" w14:textId="3283F537" w:rsidR="00331B88" w:rsidRDefault="004F2CE1" w:rsidP="006D1AEB">
      <w:pPr>
        <w:pStyle w:val="SGACP-enumerationniveau1"/>
        <w:ind w:left="284" w:hanging="284"/>
      </w:pPr>
      <w:r>
        <w:t>d</w:t>
      </w:r>
      <w:r w:rsidR="00463A1C" w:rsidRPr="007F2900">
        <w:t>escription des procédures spécifiques pour la maîtrise du risque de fraude interne et externe au sens de l</w:t>
      </w:r>
      <w:r w:rsidR="001224E7">
        <w:t>’</w:t>
      </w:r>
      <w:r w:rsidR="00463A1C" w:rsidRPr="007F2900">
        <w:t>a</w:t>
      </w:r>
      <w:r w:rsidR="006352F2">
        <w:t xml:space="preserve">rticle 324 du règlement </w:t>
      </w:r>
      <w:r w:rsidR="00156279">
        <w:t>(UE)</w:t>
      </w:r>
      <w:r w:rsidR="006352F2">
        <w:t xml:space="preserve"> n°575/2013</w:t>
      </w:r>
      <w:r w:rsidR="003D1AFF" w:rsidRPr="003D1AFF">
        <w:t xml:space="preserve"> </w:t>
      </w:r>
      <w:r w:rsidR="003D1AFF" w:rsidRPr="005813F0">
        <w:t>du Parlement européen et du Conseil du 26 juin 2013</w:t>
      </w:r>
      <w:r>
        <w:t>;</w:t>
      </w:r>
    </w:p>
    <w:p w14:paraId="0AD3DEC6" w14:textId="77777777" w:rsidR="00F92CF4" w:rsidRDefault="00F92CF4" w:rsidP="006D1AEB">
      <w:pPr>
        <w:pStyle w:val="SGACP-enumerationniveau1"/>
        <w:ind w:left="284" w:hanging="284"/>
      </w:pPr>
      <w:r>
        <w:t xml:space="preserve">pour les établissements utilisant l’approche standard, procédures et critères retenus pour la mise en correspondance </w:t>
      </w:r>
      <w:r w:rsidR="00CC5EB8">
        <w:t>de</w:t>
      </w:r>
      <w:r>
        <w:t xml:space="preserve"> l’indicateur pertinent pour les lignes d’activité, procédures de révision en cas de lancement d’une nouvelle activité ou de modification d’une activité existante ;</w:t>
      </w:r>
    </w:p>
    <w:p w14:paraId="7D160327" w14:textId="77777777" w:rsidR="00331B88" w:rsidRDefault="004F2CE1" w:rsidP="006D1AEB">
      <w:pPr>
        <w:pStyle w:val="SGACP-enumerationniveau1"/>
        <w:ind w:left="284" w:hanging="284"/>
      </w:pPr>
      <w:r>
        <w:t>p</w:t>
      </w:r>
      <w:r w:rsidR="00463A1C" w:rsidRPr="007F2900">
        <w:t xml:space="preserve">our les établissements utilisant une approche de mesure avancée, description de la méthodologie retenue </w:t>
      </w:r>
      <w:r w:rsidR="00463A1C" w:rsidRPr="00C26DE4">
        <w:rPr>
          <w:i/>
          <w:iCs/>
        </w:rPr>
        <w:t>(y compris des facteurs relatifs au contrôle interne et à l</w:t>
      </w:r>
      <w:r w:rsidR="001224E7" w:rsidRPr="00C26DE4">
        <w:rPr>
          <w:i/>
          <w:iCs/>
        </w:rPr>
        <w:t>’</w:t>
      </w:r>
      <w:r w:rsidR="00463A1C" w:rsidRPr="00C26DE4">
        <w:rPr>
          <w:i/>
          <w:iCs/>
        </w:rPr>
        <w:t>environnement dans lequel ils opèrent)</w:t>
      </w:r>
      <w:r w:rsidR="00463A1C" w:rsidRPr="00DC0250">
        <w:rPr>
          <w:i/>
          <w:iCs/>
        </w:rPr>
        <w:t xml:space="preserve"> </w:t>
      </w:r>
      <w:r w:rsidR="00463A1C" w:rsidRPr="007F2900">
        <w:t>et des évolutions le cas échéant apportées au cours de l</w:t>
      </w:r>
      <w:r w:rsidR="001224E7">
        <w:t>’</w:t>
      </w:r>
      <w:r w:rsidR="00463A1C" w:rsidRPr="007F2900">
        <w:t>exercice</w:t>
      </w:r>
      <w:r w:rsidR="00BC6619">
        <w:t xml:space="preserve">, description des procédures de vérification de la qualité des données historiques </w:t>
      </w:r>
      <w:r>
        <w:t>;</w:t>
      </w:r>
    </w:p>
    <w:p w14:paraId="5083FC55" w14:textId="77777777"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rsidR="00D82F7B">
        <w:t> ;</w:t>
      </w:r>
    </w:p>
    <w:p w14:paraId="72742ACF" w14:textId="77777777" w:rsidR="00DE53B2" w:rsidRDefault="00DE53B2" w:rsidP="00DE53B2">
      <w:pPr>
        <w:pStyle w:val="SGACP-enumerationniveau1"/>
        <w:ind w:left="284" w:hanging="284"/>
      </w:pPr>
      <w:r>
        <w:t>état des lieux des réflexions en cours sur les évolutions que l’établissement doit anticiper concernant les modalités de calcul des exigences réglementaires au titre du risque opérationnel</w:t>
      </w:r>
      <w:r w:rsidR="00D82F7B">
        <w:t>.</w:t>
      </w:r>
    </w:p>
    <w:p w14:paraId="6D9B308C" w14:textId="77777777" w:rsidR="007B6E6E" w:rsidRDefault="007B6E6E" w:rsidP="00D63D99">
      <w:pPr>
        <w:pStyle w:val="SGACP-enumerationniveau1"/>
        <w:numPr>
          <w:ilvl w:val="0"/>
          <w:numId w:val="0"/>
        </w:numPr>
        <w:spacing w:before="0"/>
        <w:ind w:left="284"/>
      </w:pPr>
    </w:p>
    <w:p w14:paraId="75A253AE" w14:textId="77777777" w:rsidR="002A53BE" w:rsidRDefault="008F3AF1">
      <w:pPr>
        <w:pStyle w:val="SGACP-sous-titrederubriquenivaeu2"/>
      </w:pPr>
      <w:bookmarkStart w:id="142" w:name="_Toc266799822"/>
      <w:bookmarkStart w:id="143" w:name="_Toc244576464"/>
      <w:r>
        <w:t>11</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142"/>
      <w:r w:rsidR="004F2CE1">
        <w:t> </w:t>
      </w:r>
      <w:bookmarkEnd w:id="143"/>
      <w:r w:rsidR="004F2CE1">
        <w:t>:</w:t>
      </w:r>
    </w:p>
    <w:p w14:paraId="6F713EE8" w14:textId="4147A5F4" w:rsidR="00331B88"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 xml:space="preserve">incluant notamment les risques liés à des événements de faible occurrence mais à fort impact, les risques de fraudes interne et externe définis à l’article 324 du règlement (UE) n°575/2013 et les risques liés au </w:t>
      </w:r>
      <w:r w:rsidR="00287633">
        <w:t xml:space="preserve">risque de </w:t>
      </w:r>
      <w:r w:rsidR="001462A6">
        <w:t>modèle</w:t>
      </w:r>
      <w:r w:rsidR="00287633" w:rsidRPr="00287633">
        <w:t xml:space="preserve"> </w:t>
      </w:r>
      <w:r w:rsidR="00287633">
        <w:t>définis à l’article 4 du règlement délégué (UE) n°2018/959</w:t>
      </w:r>
      <w:r w:rsidR="001462A6">
        <w:t xml:space="preserve">, </w:t>
      </w:r>
      <w:r w:rsidR="00463A1C" w:rsidRPr="007F2900">
        <w:t>dans le di</w:t>
      </w:r>
      <w:r>
        <w:t>spositif de contrôle permanent ;</w:t>
      </w:r>
    </w:p>
    <w:p w14:paraId="66873E7E" w14:textId="77777777"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 (incidents de règlement, erreurs, fraudes</w:t>
      </w:r>
      <w:r w:rsidR="00810050">
        <w:t xml:space="preserve">, cybersécurité, </w:t>
      </w:r>
      <w:r w:rsidR="00463A1C" w:rsidRPr="007F2900">
        <w:t>…)</w:t>
      </w:r>
      <w:r w:rsidR="00450D36" w:rsidRPr="00450D36">
        <w:t xml:space="preserve"> </w:t>
      </w:r>
      <w:r w:rsidR="00450D36">
        <w:t>et des enseignements qui en ont été tirés.</w:t>
      </w:r>
    </w:p>
    <w:p w14:paraId="6D755D7C" w14:textId="77777777" w:rsidR="00DC0250" w:rsidRDefault="00DC0250" w:rsidP="00463A1C">
      <w:bookmarkStart w:id="144" w:name="_Toc244576465"/>
      <w:bookmarkStart w:id="145" w:name="_Toc266799823"/>
    </w:p>
    <w:p w14:paraId="4A904599" w14:textId="77777777" w:rsidR="00463A1C" w:rsidRPr="007F2900" w:rsidRDefault="008F3AF1" w:rsidP="00DC0250">
      <w:pPr>
        <w:pStyle w:val="SGACP-sous-titrederubriquenivaeu2"/>
      </w:pPr>
      <w:r>
        <w:t>11</w:t>
      </w:r>
      <w:r w:rsidR="00DC0250">
        <w:t>.</w:t>
      </w:r>
      <w:r w:rsidR="00CA2B80">
        <w:t>4</w:t>
      </w:r>
      <w:r w:rsidR="00DC0250">
        <w:t>.</w:t>
      </w:r>
      <w:r w:rsidR="00DC0250">
        <w:tab/>
      </w:r>
      <w:r w:rsidR="00463A1C" w:rsidRPr="007F2900">
        <w:t xml:space="preserve">Plan </w:t>
      </w:r>
      <w:r w:rsidR="00DF4260">
        <w:t xml:space="preserve">d’urgence et de poursuite d’activité </w:t>
      </w:r>
      <w:bookmarkEnd w:id="144"/>
      <w:bookmarkEnd w:id="145"/>
      <w:r w:rsidR="004F2CE1">
        <w:t>:</w:t>
      </w:r>
    </w:p>
    <w:p w14:paraId="1BCAD99F" w14:textId="77777777"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14:paraId="500B76D6" w14:textId="77777777"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14:paraId="62DAD3EB" w14:textId="77777777"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(logiciel, développement informatique), reporting à la direction (su</w:t>
      </w:r>
      <w:r>
        <w:t>r les tests, les modifications) ;</w:t>
      </w:r>
    </w:p>
    <w:p w14:paraId="0000D8F5" w14:textId="77777777"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14:paraId="3B8FE8C6" w14:textId="7AA0DA8B"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192789">
        <w:t>, Covid</w:t>
      </w:r>
      <w:r w:rsidR="00463A1C" w:rsidRPr="007F2900">
        <w:t>)</w:t>
      </w:r>
      <w:r w:rsidR="004F2CE1">
        <w:t>.</w:t>
      </w:r>
    </w:p>
    <w:p w14:paraId="1AE1CF7F" w14:textId="77777777" w:rsidR="00DC0250" w:rsidRDefault="00DC0250" w:rsidP="00463A1C">
      <w:bookmarkStart w:id="146" w:name="_Toc244576466"/>
      <w:bookmarkStart w:id="147" w:name="_Toc266799824"/>
    </w:p>
    <w:p w14:paraId="63E1FB0C" w14:textId="4FE74C2E" w:rsidR="00463A1C" w:rsidRDefault="008F3AF1" w:rsidP="00D63D99">
      <w:pPr>
        <w:pStyle w:val="SGACP-sous-titrederubriquenivaeu2"/>
      </w:pPr>
      <w:r>
        <w:t>11</w:t>
      </w:r>
      <w:r w:rsidR="00DC0250">
        <w:t>.</w:t>
      </w:r>
      <w:r w:rsidR="00CA2B80">
        <w:t>5</w:t>
      </w:r>
      <w:r w:rsidR="00DC0250">
        <w:t>.</w:t>
      </w:r>
      <w:r w:rsidR="00DC0250">
        <w:tab/>
      </w:r>
      <w:bookmarkEnd w:id="146"/>
      <w:bookmarkEnd w:id="147"/>
      <w:r w:rsidR="00F92ADD">
        <w:t>Risque informatique</w:t>
      </w:r>
      <w:r w:rsidR="004F2CE1">
        <w:t> :</w:t>
      </w:r>
    </w:p>
    <w:p w14:paraId="13BDFBD8" w14:textId="4D473CCD" w:rsidR="00DD1663" w:rsidRDefault="00DD1663" w:rsidP="00D63D99">
      <w:pPr>
        <w:pStyle w:val="SGACP-sous-titrederubriquenivaeu2"/>
      </w:pPr>
    </w:p>
    <w:p w14:paraId="7A733EFE" w14:textId="765C8056" w:rsidR="00DD1663" w:rsidRPr="009F04CF" w:rsidRDefault="009F04CF" w:rsidP="00A85C3C">
      <w:pPr>
        <w:pStyle w:val="SGACP-sous-titrederubriqueniveau3"/>
        <w:keepNext/>
        <w:keepLines/>
      </w:pPr>
      <w:r>
        <w:t xml:space="preserve">11.5.1. </w:t>
      </w:r>
      <w:r w:rsidR="0041661B">
        <w:t>Stratégie informatique et adéquation des ressources informatiques</w:t>
      </w:r>
      <w:r w:rsidR="00DD1663" w:rsidRPr="009F04CF">
        <w:t> :</w:t>
      </w:r>
    </w:p>
    <w:p w14:paraId="6F68F93D" w14:textId="3A6D86A8" w:rsidR="007C7F16" w:rsidRDefault="007C7F16" w:rsidP="006D1AEB">
      <w:pPr>
        <w:pStyle w:val="SGACP-enumerationniveau1"/>
        <w:ind w:left="284" w:hanging="284"/>
      </w:pPr>
      <w:r>
        <w:t xml:space="preserve">présentation de la stratégie </w:t>
      </w:r>
      <w:r w:rsidR="00CE20E3">
        <w:t xml:space="preserve">informatique </w:t>
      </w:r>
      <w:r>
        <w:t xml:space="preserve">de l’établissement </w:t>
      </w:r>
      <w:r w:rsidR="00B03696" w:rsidRPr="00890013">
        <w:t>définie en application de l’article 270-1</w:t>
      </w:r>
      <w:r w:rsidR="00B03696">
        <w:t xml:space="preserve"> </w:t>
      </w:r>
      <w:r w:rsidR="00B03696" w:rsidRPr="00890013">
        <w:t xml:space="preserve">de l’arrêté du 3 novembre 2014 modifié </w:t>
      </w:r>
      <w:r w:rsidRPr="00890013">
        <w:t>(</w:t>
      </w:r>
      <w:r w:rsidR="00A90212" w:rsidRPr="00890013">
        <w:t xml:space="preserve">organisation, </w:t>
      </w:r>
      <w:r w:rsidR="00DD1663" w:rsidRPr="00890013">
        <w:t xml:space="preserve">articulation avec la stratégie globale, </w:t>
      </w:r>
      <w:r w:rsidR="00A90212" w:rsidRPr="00890013">
        <w:t>objectifs</w:t>
      </w:r>
      <w:r w:rsidR="00A90212">
        <w:t xml:space="preserve"> prioritaires </w:t>
      </w:r>
      <w:r w:rsidR="00CE20E3">
        <w:t xml:space="preserve">et plans d’action </w:t>
      </w:r>
      <w:r w:rsidR="00A90212">
        <w:t xml:space="preserve">fixés, </w:t>
      </w:r>
      <w:r>
        <w:t xml:space="preserve">cadre d’appétence pour les risques </w:t>
      </w:r>
      <w:r w:rsidR="009B6AD1">
        <w:t>…)</w:t>
      </w:r>
      <w:r w:rsidR="00DD1663">
        <w:t xml:space="preserve"> et des moyens alloués pour la mettre en œuvre (procédures mises en place pour veiller à son respect, budget alloué et sa procédure de pilotage, nombre et nature des effectifs consacrés</w:t>
      </w:r>
      <w:r w:rsidR="00616E1C" w:rsidRPr="00616E1C">
        <w:t xml:space="preserve"> </w:t>
      </w:r>
      <w:r w:rsidR="00616E1C">
        <w:t>à la gestion des opérations informatiques, à la sécurité du système d’information ainsi qu’à la continuité d’activité</w:t>
      </w:r>
      <w:r w:rsidR="00DD1663">
        <w:t>)</w:t>
      </w:r>
      <w:r>
        <w:t> ;</w:t>
      </w:r>
    </w:p>
    <w:p w14:paraId="292E78FF" w14:textId="4CC001C0" w:rsidR="007C7F16" w:rsidRDefault="00DD1663" w:rsidP="007C7F16">
      <w:pPr>
        <w:pStyle w:val="SGACP-enumerationniveau1"/>
        <w:ind w:left="284" w:hanging="284"/>
      </w:pPr>
      <w:r>
        <w:t>présentation du processus de gouvernance (</w:t>
      </w:r>
      <w:r w:rsidR="007C7F16">
        <w:t xml:space="preserve">rôles des dirigeants effectifs, de l’organe de surveillance et le cas échéant du comité des risques dans la définition, le contrôle et la révision de la stratégie </w:t>
      </w:r>
      <w:r w:rsidR="00CE20E3">
        <w:t>informatique</w:t>
      </w:r>
      <w:r w:rsidR="009F04CF">
        <w:t>)</w:t>
      </w:r>
      <w:r w:rsidR="00CE20E3">
        <w:t>.</w:t>
      </w:r>
      <w:r w:rsidR="009430F9">
        <w:t xml:space="preserve"> </w:t>
      </w:r>
    </w:p>
    <w:p w14:paraId="5831CD60" w14:textId="310F13F8" w:rsidR="005D29C1" w:rsidRDefault="005D29C1" w:rsidP="00A85C3C">
      <w:pPr>
        <w:rPr>
          <w:szCs w:val="22"/>
        </w:rPr>
      </w:pPr>
    </w:p>
    <w:p w14:paraId="0F06FDA5" w14:textId="6E02E63A" w:rsidR="009F04CF" w:rsidRDefault="009F04CF" w:rsidP="00A342F6">
      <w:pPr>
        <w:pStyle w:val="SGACP-sous-titrederubriqueniveau3"/>
        <w:keepNext/>
        <w:keepLines/>
      </w:pPr>
      <w:r w:rsidRPr="00890013">
        <w:t>11.5.2. Gestion du risque</w:t>
      </w:r>
      <w:r w:rsidR="00E47067" w:rsidRPr="00890013">
        <w:t xml:space="preserve"> informatique</w:t>
      </w:r>
      <w:r w:rsidR="00B03696" w:rsidRPr="00890013">
        <w:t xml:space="preserve"> (cf. article 270-2 de l’arrêté du 3 novembre 2014 modifié)</w:t>
      </w:r>
      <w:r w:rsidR="00E47067" w:rsidRPr="00890013">
        <w:t> :</w:t>
      </w:r>
    </w:p>
    <w:p w14:paraId="1FC5AF2F" w14:textId="634DE488" w:rsidR="008068E3" w:rsidRDefault="008068E3" w:rsidP="007B770A">
      <w:pPr>
        <w:pStyle w:val="Paragraphedeliste"/>
        <w:rPr>
          <w:b/>
          <w:i/>
        </w:rPr>
      </w:pPr>
    </w:p>
    <w:p w14:paraId="08678FA3" w14:textId="4AF712D8" w:rsidR="008068E3" w:rsidRPr="004E7222" w:rsidRDefault="00493072" w:rsidP="008E03C1">
      <w:pPr>
        <w:pStyle w:val="SGACP-sous-titrederubriqueniveau3"/>
        <w:keepNext/>
        <w:keepLines/>
        <w:numPr>
          <w:ilvl w:val="0"/>
          <w:numId w:val="66"/>
        </w:numPr>
        <w:ind w:left="284" w:hanging="284"/>
        <w:rPr>
          <w:b w:val="0"/>
          <w:i w:val="0"/>
          <w:szCs w:val="22"/>
        </w:rPr>
      </w:pPr>
      <w:r w:rsidRPr="002B7ACF">
        <w:rPr>
          <w:b w:val="0"/>
          <w:i w:val="0"/>
          <w:szCs w:val="22"/>
        </w:rPr>
        <w:t xml:space="preserve">présentation </w:t>
      </w:r>
      <w:r w:rsidR="008068E3" w:rsidRPr="0047516D">
        <w:rPr>
          <w:b w:val="0"/>
          <w:i w:val="0"/>
          <w:szCs w:val="22"/>
        </w:rPr>
        <w:t>de</w:t>
      </w:r>
      <w:r w:rsidR="00783340" w:rsidRPr="0047516D">
        <w:rPr>
          <w:b w:val="0"/>
          <w:i w:val="0"/>
          <w:szCs w:val="22"/>
        </w:rPr>
        <w:t>s</w:t>
      </w:r>
      <w:r w:rsidR="008068E3" w:rsidRPr="0047516D">
        <w:rPr>
          <w:b w:val="0"/>
          <w:i w:val="0"/>
          <w:szCs w:val="22"/>
        </w:rPr>
        <w:t xml:space="preserve"> mesures de réduction d</w:t>
      </w:r>
      <w:r w:rsidR="006C13FF" w:rsidRPr="004E7222">
        <w:rPr>
          <w:b w:val="0"/>
          <w:i w:val="0"/>
          <w:szCs w:val="22"/>
        </w:rPr>
        <w:t>es</w:t>
      </w:r>
      <w:r w:rsidR="008068E3" w:rsidRPr="004E7222">
        <w:rPr>
          <w:b w:val="0"/>
          <w:i w:val="0"/>
          <w:szCs w:val="22"/>
        </w:rPr>
        <w:t xml:space="preserve"> risque</w:t>
      </w:r>
      <w:r w:rsidR="006C13FF" w:rsidRPr="004E7222">
        <w:rPr>
          <w:b w:val="0"/>
          <w:i w:val="0"/>
          <w:szCs w:val="22"/>
        </w:rPr>
        <w:t>s</w:t>
      </w:r>
      <w:r w:rsidR="008068E3" w:rsidRPr="004E7222">
        <w:rPr>
          <w:b w:val="0"/>
          <w:i w:val="0"/>
          <w:szCs w:val="22"/>
        </w:rPr>
        <w:t xml:space="preserve"> informatique</w:t>
      </w:r>
      <w:r w:rsidR="006C13FF" w:rsidRPr="00A342F6">
        <w:rPr>
          <w:b w:val="0"/>
          <w:i w:val="0"/>
          <w:szCs w:val="22"/>
        </w:rPr>
        <w:t>s</w:t>
      </w:r>
      <w:r w:rsidR="008068E3" w:rsidRPr="00A342F6">
        <w:rPr>
          <w:b w:val="0"/>
          <w:i w:val="0"/>
          <w:szCs w:val="22"/>
        </w:rPr>
        <w:t xml:space="preserve"> </w:t>
      </w:r>
      <w:r w:rsidR="006C13FF" w:rsidRPr="00A342F6">
        <w:rPr>
          <w:b w:val="0"/>
          <w:i w:val="0"/>
          <w:szCs w:val="22"/>
        </w:rPr>
        <w:t xml:space="preserve">majeurs </w:t>
      </w:r>
      <w:r w:rsidR="008068E3" w:rsidRPr="002B7ACF">
        <w:rPr>
          <w:b w:val="0"/>
          <w:i w:val="0"/>
          <w:szCs w:val="22"/>
        </w:rPr>
        <w:t>et de contrôle pour surveiller</w:t>
      </w:r>
      <w:r w:rsidR="008068E3" w:rsidRPr="0047516D">
        <w:rPr>
          <w:b w:val="0"/>
          <w:i w:val="0"/>
          <w:szCs w:val="22"/>
        </w:rPr>
        <w:t> l’efficacité de ces mesures </w:t>
      </w:r>
      <w:r w:rsidR="007B770A" w:rsidRPr="0047516D">
        <w:rPr>
          <w:b w:val="0"/>
          <w:i w:val="0"/>
          <w:szCs w:val="22"/>
        </w:rPr>
        <w:t xml:space="preserve">et </w:t>
      </w:r>
      <w:r w:rsidR="006C13FF" w:rsidRPr="004E7222">
        <w:rPr>
          <w:b w:val="0"/>
          <w:i w:val="0"/>
          <w:szCs w:val="22"/>
        </w:rPr>
        <w:t>description du processus d’information</w:t>
      </w:r>
      <w:r w:rsidR="006C13FF" w:rsidRPr="002B7ACF">
        <w:rPr>
          <w:b w:val="0"/>
          <w:i w:val="0"/>
          <w:szCs w:val="22"/>
        </w:rPr>
        <w:t xml:space="preserve"> des </w:t>
      </w:r>
      <w:r w:rsidR="007B770A" w:rsidRPr="0047516D">
        <w:rPr>
          <w:b w:val="0"/>
          <w:i w:val="0"/>
          <w:szCs w:val="22"/>
        </w:rPr>
        <w:t xml:space="preserve">dirigeants </w:t>
      </w:r>
      <w:r w:rsidR="007B770A" w:rsidRPr="004E7222">
        <w:rPr>
          <w:b w:val="0"/>
          <w:i w:val="0"/>
          <w:szCs w:val="22"/>
        </w:rPr>
        <w:t>effectifs et</w:t>
      </w:r>
      <w:r w:rsidR="006C13FF" w:rsidRPr="004E7222">
        <w:rPr>
          <w:b w:val="0"/>
          <w:i w:val="0"/>
          <w:szCs w:val="22"/>
        </w:rPr>
        <w:t xml:space="preserve"> de</w:t>
      </w:r>
      <w:r w:rsidR="007B770A" w:rsidRPr="004E7222">
        <w:rPr>
          <w:b w:val="0"/>
          <w:i w:val="0"/>
          <w:szCs w:val="22"/>
        </w:rPr>
        <w:t xml:space="preserve"> l’organe de surveillance </w:t>
      </w:r>
      <w:r w:rsidR="008068E3" w:rsidRPr="004E7222">
        <w:rPr>
          <w:b w:val="0"/>
          <w:i w:val="0"/>
          <w:szCs w:val="22"/>
        </w:rPr>
        <w:t>;</w:t>
      </w:r>
    </w:p>
    <w:p w14:paraId="118D1657" w14:textId="58D2C780" w:rsidR="009F04CF" w:rsidRDefault="009F04CF" w:rsidP="008E03C1">
      <w:pPr>
        <w:pStyle w:val="SGACP-enumerationniveau1"/>
        <w:numPr>
          <w:ilvl w:val="0"/>
          <w:numId w:val="120"/>
        </w:numPr>
        <w:ind w:left="284" w:hanging="284"/>
      </w:pPr>
      <w:r>
        <w:t>présentation de l’organisation de la gestion d</w:t>
      </w:r>
      <w:r w:rsidR="00804A8D">
        <w:t>u</w:t>
      </w:r>
      <w:r>
        <w:t xml:space="preserve"> risque</w:t>
      </w:r>
      <w:r w:rsidR="00804A8D">
        <w:t xml:space="preserve"> informatique</w:t>
      </w:r>
      <w:r>
        <w:t xml:space="preserve"> (définition des rôles et responsabilités des acteurs</w:t>
      </w:r>
      <w:r>
        <w:rPr>
          <w:rStyle w:val="Appelnotedebasdep"/>
        </w:rPr>
        <w:footnoteReference w:id="4"/>
      </w:r>
      <w:r>
        <w:t xml:space="preserve">, dispositif d’évaluation du profil de risque informatique et ses résultats, seuil de tolérance au risque, processus d’audit, modalités et périodicité d’information de la direction générale et de l’organe de surveillance sur l’exposition de l’établissement au risque </w:t>
      </w:r>
      <w:r w:rsidR="00804A8D">
        <w:t>informatique</w:t>
      </w:r>
      <w:r>
        <w:rPr>
          <w:rStyle w:val="Appelnotedebasdep"/>
        </w:rPr>
        <w:footnoteReference w:id="5"/>
      </w:r>
      <w:r>
        <w:t>…)</w:t>
      </w:r>
      <w:r w:rsidR="009430F9">
        <w:t> ;</w:t>
      </w:r>
    </w:p>
    <w:p w14:paraId="743FF7E2" w14:textId="7017A9BC" w:rsidR="009F04CF" w:rsidRDefault="009F04CF" w:rsidP="008E03C1">
      <w:pPr>
        <w:pStyle w:val="SGACP-enumerationniveau1"/>
        <w:ind w:left="284" w:hanging="284"/>
      </w:pPr>
      <w:r>
        <w:t>d</w:t>
      </w:r>
      <w:r w:rsidRPr="007F2900">
        <w:t>escription du</w:t>
      </w:r>
      <w:r>
        <w:t xml:space="preserve"> dispositif de</w:t>
      </w:r>
      <w:r w:rsidRPr="007F2900">
        <w:t xml:space="preserve"> contrôle permanent </w:t>
      </w:r>
      <w:r w:rsidRPr="007C480A">
        <w:t>et périodique</w:t>
      </w:r>
      <w:r>
        <w:t xml:space="preserve"> des </w:t>
      </w:r>
      <w:r w:rsidRPr="007F2900">
        <w:t>systèmes d</w:t>
      </w:r>
      <w:r>
        <w:t>’</w:t>
      </w:r>
      <w:r w:rsidRPr="007F2900">
        <w:t xml:space="preserve">information </w:t>
      </w:r>
      <w:r>
        <w:t xml:space="preserve">et </w:t>
      </w:r>
      <w:r w:rsidRPr="007C480A">
        <w:t>synthèse des constatations des contrôles effectués (voir 11.6)</w:t>
      </w:r>
      <w:r>
        <w:t> ;</w:t>
      </w:r>
    </w:p>
    <w:p w14:paraId="46F2FFAC" w14:textId="2DA68565" w:rsidR="00331B88" w:rsidRPr="007A52AA" w:rsidRDefault="001B7141" w:rsidP="008E03C1">
      <w:pPr>
        <w:pStyle w:val="Paragraphedeliste"/>
        <w:numPr>
          <w:ilvl w:val="0"/>
          <w:numId w:val="66"/>
        </w:numPr>
        <w:spacing w:before="120"/>
        <w:ind w:left="284" w:hanging="284"/>
        <w:contextualSpacing w:val="0"/>
        <w:rPr>
          <w:szCs w:val="24"/>
        </w:rPr>
      </w:pPr>
      <w:r>
        <w:t>présentation</w:t>
      </w:r>
      <w:r w:rsidR="00B14077">
        <w:t xml:space="preserve"> de la cartographie d</w:t>
      </w:r>
      <w:r w:rsidR="00804A8D">
        <w:t xml:space="preserve">u </w:t>
      </w:r>
      <w:r w:rsidR="00B14077">
        <w:t xml:space="preserve">risque </w:t>
      </w:r>
      <w:r w:rsidR="00804A8D">
        <w:t>informatique</w:t>
      </w:r>
      <w:r w:rsidR="009B6AD1">
        <w:t xml:space="preserve"> incluant notamment le risque </w:t>
      </w:r>
      <w:r w:rsidR="005E3077">
        <w:t>pour la disponibilité et la continuité, la sécurité, l’intégrité des données et le risque lié au changement de</w:t>
      </w:r>
      <w:r w:rsidR="00804A8D">
        <w:t>s systèmes informatiques</w:t>
      </w:r>
      <w:r w:rsidR="00B95718">
        <w:t xml:space="preserve"> </w:t>
      </w:r>
      <w:r w:rsidR="00B95718" w:rsidRPr="007C480A">
        <w:t>(identifiant en particulier quels systèmes et services sont essentiels au bon fonctionnement, à la disponibilité, à la continuité et à la sécurité des activités de l’établissement)</w:t>
      </w:r>
      <w:r w:rsidR="009430F9">
        <w:rPr>
          <w:rStyle w:val="Appelnotedebasdep"/>
        </w:rPr>
        <w:footnoteReference w:id="6"/>
      </w:r>
      <w:r w:rsidR="009430F9">
        <w:t>.</w:t>
      </w:r>
      <w:r w:rsidR="009430F9">
        <w:rPr>
          <w:szCs w:val="24"/>
        </w:rPr>
        <w:t xml:space="preserve"> </w:t>
      </w:r>
    </w:p>
    <w:p w14:paraId="41E15574" w14:textId="77777777" w:rsidR="009F04CF" w:rsidRDefault="009F04CF" w:rsidP="002F6550"/>
    <w:p w14:paraId="19209031" w14:textId="62D9C832" w:rsidR="009F04CF" w:rsidRDefault="009F04CF" w:rsidP="00A85C3C">
      <w:pPr>
        <w:pStyle w:val="SGACP-sous-titrederubriqueniveau3"/>
        <w:keepNext/>
        <w:keepLines/>
      </w:pPr>
      <w:r>
        <w:t xml:space="preserve">11.5.3 </w:t>
      </w:r>
      <w:r w:rsidRPr="007A52AA">
        <w:t>Sécuri</w:t>
      </w:r>
      <w:r w:rsidR="00917BC6">
        <w:t>té du système d’infor</w:t>
      </w:r>
      <w:r w:rsidR="001C64D2">
        <w:t>ma</w:t>
      </w:r>
      <w:r w:rsidR="00917BC6">
        <w:t>tion :</w:t>
      </w:r>
    </w:p>
    <w:p w14:paraId="6C7F671C" w14:textId="6A309766" w:rsidR="009F04CF" w:rsidRDefault="00783340" w:rsidP="008E03C1">
      <w:pPr>
        <w:pStyle w:val="SGACP-enumerationniveau1"/>
        <w:numPr>
          <w:ilvl w:val="0"/>
          <w:numId w:val="66"/>
        </w:numPr>
        <w:ind w:left="284" w:hanging="284"/>
      </w:pPr>
      <w:r>
        <w:t xml:space="preserve">présentation des </w:t>
      </w:r>
      <w:r w:rsidR="009F04CF">
        <w:t xml:space="preserve">objectifs de la politique de sécurité des systèmes d’information </w:t>
      </w:r>
      <w:r w:rsidR="001C64D2">
        <w:t>(protection de la confidentialité,</w:t>
      </w:r>
      <w:r>
        <w:t xml:space="preserve"> </w:t>
      </w:r>
      <w:r w:rsidR="001C64D2">
        <w:t xml:space="preserve">de l’intégrité et de la disponibilité des informations, des actifs, des services informatiques et des données des clients) </w:t>
      </w:r>
      <w:r w:rsidR="009F04CF">
        <w:t>et nom du responsable de la sécurité des systèmes d’information ;</w:t>
      </w:r>
    </w:p>
    <w:p w14:paraId="7197ACD5" w14:textId="556B2B36" w:rsidR="009F04CF" w:rsidRPr="007A52AA" w:rsidRDefault="00BE7815" w:rsidP="008E03C1">
      <w:pPr>
        <w:pStyle w:val="Paragraphedeliste"/>
        <w:numPr>
          <w:ilvl w:val="0"/>
          <w:numId w:val="66"/>
        </w:numPr>
        <w:spacing w:before="120"/>
        <w:ind w:left="284" w:hanging="284"/>
        <w:rPr>
          <w:szCs w:val="24"/>
        </w:rPr>
      </w:pPr>
      <w:r>
        <w:t xml:space="preserve">description des procédures mises en place </w:t>
      </w:r>
      <w:r w:rsidR="00287633">
        <w:t>pour prévenir et traiter</w:t>
      </w:r>
      <w:r w:rsidR="00287633" w:rsidRPr="009F04CF">
        <w:t xml:space="preserve"> </w:t>
      </w:r>
      <w:r w:rsidR="00287633">
        <w:t xml:space="preserve">les </w:t>
      </w:r>
      <w:r w:rsidR="009F04CF">
        <w:t xml:space="preserve">incidents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9F04CF">
        <w:t>,</w:t>
      </w:r>
      <w:r w:rsidR="009F04CF" w:rsidRPr="009F04CF">
        <w:t xml:space="preserve"> notamment pour les incidents majeurs</w:t>
      </w:r>
      <w:r w:rsidR="009F04CF" w:rsidRPr="009F04CF">
        <w:rPr>
          <w:position w:val="6"/>
          <w:sz w:val="12"/>
          <w:bdr w:val="none" w:sz="0" w:space="0" w:color="auto" w:frame="1"/>
        </w:rPr>
        <w:footnoteReference w:id="7"/>
      </w:r>
      <w:r w:rsidR="009F04CF">
        <w:rPr>
          <w:szCs w:val="24"/>
        </w:rPr>
        <w:t xml:space="preserve"> </w:t>
      </w:r>
      <w:r w:rsidR="009F04CF" w:rsidRPr="009F04CF">
        <w:t>(dispositifs de sécurité physique et logique, de préservation de l’intégrité et de la confidentialité des données, mesures spécifiques mises en place pour l’activité de banque en ligne, description des tests d’intrusion effectués au cours de l’exercice, plan de secours informatique</w:t>
      </w:r>
      <w:r w:rsidR="009F04CF">
        <w:t>…) ;</w:t>
      </w:r>
    </w:p>
    <w:p w14:paraId="6130CC78" w14:textId="708DC917" w:rsidR="009E2959" w:rsidRPr="009E2959" w:rsidRDefault="009430F9" w:rsidP="002F6550">
      <w:pPr>
        <w:pStyle w:val="SGACP-enumerationniveau1"/>
        <w:numPr>
          <w:ilvl w:val="0"/>
          <w:numId w:val="66"/>
        </w:numPr>
        <w:ind w:left="284" w:hanging="284"/>
        <w:rPr>
          <w:szCs w:val="24"/>
        </w:rPr>
      </w:pPr>
      <w:r>
        <w:t>présentation de la procédure d’information du superviseur en cas d’incidents majeurs</w:t>
      </w:r>
      <w:r w:rsidR="00A8282F">
        <w:t> ;</w:t>
      </w:r>
      <w:r>
        <w:t xml:space="preserve"> </w:t>
      </w:r>
    </w:p>
    <w:p w14:paraId="0D791526" w14:textId="48C90AD6" w:rsidR="00331B88" w:rsidRPr="0041661B" w:rsidRDefault="00783340" w:rsidP="008E03C1">
      <w:pPr>
        <w:pStyle w:val="SGACP-enumerationniveau1"/>
        <w:numPr>
          <w:ilvl w:val="0"/>
          <w:numId w:val="66"/>
        </w:numPr>
        <w:ind w:left="284" w:hanging="284"/>
        <w:rPr>
          <w:szCs w:val="24"/>
        </w:rPr>
      </w:pPr>
      <w:r>
        <w:t xml:space="preserve">présentation du </w:t>
      </w:r>
      <w:r w:rsidR="00123989">
        <w:t xml:space="preserve">programme de sensibilisation à la sécurité du système d’information (sensibilisation des collaborateurs et prestataires) </w:t>
      </w:r>
      <w:r w:rsidR="00123989" w:rsidRPr="00890013">
        <w:t xml:space="preserve">et </w:t>
      </w:r>
      <w:r w:rsidRPr="00890013">
        <w:t xml:space="preserve">des </w:t>
      </w:r>
      <w:r w:rsidR="00123989" w:rsidRPr="00890013">
        <w:t>formations régulières</w:t>
      </w:r>
      <w:r w:rsidR="00B03696" w:rsidRPr="00890013">
        <w:t xml:space="preserve"> (cf. dernier alinéa de l’article 270-3 de l’arrêté du 3 novembre 2014 modifié)</w:t>
      </w:r>
      <w:r w:rsidR="006C3CF2" w:rsidRPr="00890013">
        <w:t>.</w:t>
      </w:r>
    </w:p>
    <w:p w14:paraId="33CDE50E" w14:textId="77777777" w:rsidR="0041661B" w:rsidRPr="00916D7E" w:rsidRDefault="0041661B" w:rsidP="006C3CF2">
      <w:pPr>
        <w:pStyle w:val="SGACP-enumerationniveau1"/>
        <w:numPr>
          <w:ilvl w:val="0"/>
          <w:numId w:val="0"/>
        </w:numPr>
        <w:ind w:left="-76"/>
        <w:rPr>
          <w:szCs w:val="24"/>
        </w:rPr>
      </w:pPr>
    </w:p>
    <w:p w14:paraId="6310EE54" w14:textId="77CD5EBF" w:rsidR="00916D7E" w:rsidRDefault="00916D7E" w:rsidP="002F6550">
      <w:pPr>
        <w:pStyle w:val="SGACP-sous-titrederubriqueniveau3"/>
        <w:keepNext/>
        <w:keepLines/>
      </w:pPr>
      <w:r>
        <w:t>11.5.4 Gestion des opérations informatiques</w:t>
      </w:r>
      <w:r w:rsidR="00917BC6">
        <w:t> :</w:t>
      </w:r>
    </w:p>
    <w:p w14:paraId="1AC9B75E" w14:textId="76332D19" w:rsidR="002375A3" w:rsidRPr="00890013" w:rsidRDefault="00CE43D6" w:rsidP="002F6550">
      <w:pPr>
        <w:pStyle w:val="SGACP-enumerationniveau1"/>
        <w:numPr>
          <w:ilvl w:val="0"/>
          <w:numId w:val="66"/>
        </w:numPr>
        <w:ind w:left="284" w:hanging="284"/>
      </w:pPr>
      <w:r w:rsidRPr="002B7ACF">
        <w:t>d</w:t>
      </w:r>
      <w:r w:rsidR="00F63C4B" w:rsidRPr="0047516D">
        <w:t xml:space="preserve">escription </w:t>
      </w:r>
      <w:r w:rsidR="00963E0D" w:rsidRPr="0047516D">
        <w:t>des processus de gestion</w:t>
      </w:r>
      <w:r w:rsidR="002375A3" w:rsidRPr="0047516D">
        <w:t xml:space="preserve"> des opérations informatiques</w:t>
      </w:r>
      <w:r w:rsidR="00F63C4B" w:rsidRPr="0047516D">
        <w:t xml:space="preserve"> : </w:t>
      </w:r>
      <w:r w:rsidRPr="004E7222">
        <w:t xml:space="preserve">présentation </w:t>
      </w:r>
      <w:r w:rsidR="00F63C4B" w:rsidRPr="004E7222">
        <w:t xml:space="preserve">des procédures couvrant l’exploitation, la surveillance et le </w:t>
      </w:r>
      <w:r w:rsidR="00F63C4B" w:rsidRPr="00890013">
        <w:t>contrôle des systèmes et services informatiques ;</w:t>
      </w:r>
      <w:r w:rsidR="002375A3" w:rsidRPr="00890013">
        <w:t xml:space="preserve">  </w:t>
      </w:r>
    </w:p>
    <w:p w14:paraId="00097BA2" w14:textId="28B45DE4" w:rsidR="00963E0D" w:rsidRPr="00890013" w:rsidRDefault="00CE43D6" w:rsidP="002F6550">
      <w:pPr>
        <w:pStyle w:val="SGACP-enumerationniveau1"/>
        <w:numPr>
          <w:ilvl w:val="0"/>
          <w:numId w:val="66"/>
        </w:numPr>
        <w:ind w:left="284" w:hanging="284"/>
      </w:pPr>
      <w:r w:rsidRPr="00890013">
        <w:t>d</w:t>
      </w:r>
      <w:r w:rsidR="0041661B" w:rsidRPr="00890013">
        <w:t>escription du processus de détection et de gestion des incidents opérationnels ou de sécurité</w:t>
      </w:r>
      <w:r w:rsidR="00B03696" w:rsidRPr="00890013">
        <w:t xml:space="preserve"> (cf. article 270-4 de l’arrêté du 3 novembre 2014 modifié)</w:t>
      </w:r>
      <w:r w:rsidR="00257766" w:rsidRPr="00890013">
        <w:t>.</w:t>
      </w:r>
      <w:r w:rsidR="002375A3" w:rsidRPr="00890013">
        <w:t xml:space="preserve">  </w:t>
      </w:r>
    </w:p>
    <w:p w14:paraId="64C5DC49" w14:textId="77777777" w:rsidR="00E47067" w:rsidRDefault="00E47067" w:rsidP="002F6550"/>
    <w:p w14:paraId="030D0AF5" w14:textId="0637ECEF" w:rsidR="00E47067" w:rsidRDefault="00E47067" w:rsidP="002F6550">
      <w:pPr>
        <w:pStyle w:val="SGACP-sous-titrederubriqueniveau3"/>
        <w:keepNext/>
        <w:keepLines/>
      </w:pPr>
      <w:bookmarkStart w:id="148" w:name="_Toc266799825"/>
      <w:r>
        <w:t>11.5.5 Gestion du changement et de</w:t>
      </w:r>
      <w:r w:rsidR="00321F49">
        <w:t>s</w:t>
      </w:r>
      <w:r>
        <w:t xml:space="preserve"> projets : </w:t>
      </w:r>
    </w:p>
    <w:p w14:paraId="3700BE8C" w14:textId="78D36488" w:rsidR="00E47067" w:rsidRPr="00E85F9D" w:rsidRDefault="00CE43D6" w:rsidP="002F6550">
      <w:pPr>
        <w:pStyle w:val="SGACP-enumerationniveau1"/>
        <w:numPr>
          <w:ilvl w:val="0"/>
          <w:numId w:val="66"/>
        </w:numPr>
        <w:ind w:left="284" w:hanging="284"/>
      </w:pPr>
      <w:r w:rsidRPr="002B7ACF">
        <w:t>d</w:t>
      </w:r>
      <w:r w:rsidR="00C26799" w:rsidRPr="0047516D">
        <w:t>escription du cadre de conduite des projets et programmes informatiques</w:t>
      </w:r>
      <w:r w:rsidR="00932DC4" w:rsidRPr="0047516D">
        <w:t> ;</w:t>
      </w:r>
    </w:p>
    <w:p w14:paraId="5F6754F0" w14:textId="31283DEE" w:rsidR="00321F49" w:rsidRDefault="00CE43D6" w:rsidP="002F6550">
      <w:pPr>
        <w:pStyle w:val="SGACP-enumerationniveau1"/>
        <w:numPr>
          <w:ilvl w:val="0"/>
          <w:numId w:val="66"/>
        </w:numPr>
        <w:ind w:left="284" w:hanging="284"/>
      </w:pPr>
      <w:r w:rsidRPr="002B7ACF">
        <w:t>d</w:t>
      </w:r>
      <w:r w:rsidR="00321F49" w:rsidRPr="0047516D">
        <w:t xml:space="preserve">escription d’un processus de gestion de l’acquisition, du développement et de l’entretien des systèmes d’information et d’un processus </w:t>
      </w:r>
      <w:r w:rsidR="00E85F9D" w:rsidRPr="0047516D">
        <w:t>de changements des programmes informatiques</w:t>
      </w:r>
      <w:r w:rsidR="00B03696">
        <w:t xml:space="preserve"> : </w:t>
      </w:r>
      <w:r w:rsidR="00E85F9D" w:rsidRPr="00890013">
        <w:rPr>
          <w:i/>
        </w:rPr>
        <w:t>mo</w:t>
      </w:r>
      <w:r w:rsidR="00544124" w:rsidRPr="00890013">
        <w:rPr>
          <w:i/>
        </w:rPr>
        <w:t>dalités d’</w:t>
      </w:r>
      <w:r w:rsidR="00E85F9D" w:rsidRPr="00890013">
        <w:rPr>
          <w:i/>
        </w:rPr>
        <w:t>enregistr</w:t>
      </w:r>
      <w:r w:rsidR="00544124" w:rsidRPr="00890013">
        <w:rPr>
          <w:i/>
        </w:rPr>
        <w:t>ement, de test, d’évaluation et d’approbation et d’implémentation des modifications apportées au système d’information</w:t>
      </w:r>
      <w:r w:rsidR="00B03696">
        <w:t xml:space="preserve"> </w:t>
      </w:r>
      <w:r w:rsidR="00B03696" w:rsidRPr="00890013">
        <w:t>(cf. article 270-5 de l’arrêté du 3 novembre 2014 modifié</w:t>
      </w:r>
      <w:r w:rsidR="00E85F9D" w:rsidRPr="00A342F6">
        <w:t>).</w:t>
      </w:r>
      <w:r w:rsidR="00E85F9D" w:rsidRPr="002F6550">
        <w:t xml:space="preserve"> </w:t>
      </w:r>
      <w:r w:rsidR="00321F49" w:rsidRPr="002F6550">
        <w:t xml:space="preserve"> </w:t>
      </w:r>
    </w:p>
    <w:p w14:paraId="792D1A0F" w14:textId="77777777" w:rsidR="00DC0250" w:rsidRDefault="00DC0250" w:rsidP="00463A1C"/>
    <w:p w14:paraId="524DA7AF" w14:textId="109DC43D" w:rsidR="00463A1C" w:rsidRPr="007F2900" w:rsidRDefault="008F3AF1">
      <w:pPr>
        <w:pStyle w:val="SGACP-sous-titrederubriquenivaeu2"/>
      </w:pPr>
      <w:r>
        <w:t>11</w:t>
      </w:r>
      <w:r w:rsidR="00DC0250">
        <w:t>.</w:t>
      </w:r>
      <w:r w:rsidR="00CA2B80">
        <w:t>6</w:t>
      </w:r>
      <w:r w:rsidR="00DC0250">
        <w:t>.</w:t>
      </w:r>
      <w:r w:rsidR="00DC0250">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en matière de risque opérationnel</w:t>
      </w:r>
      <w:bookmarkEnd w:id="148"/>
      <w:r w:rsidR="004F2CE1">
        <w:t> </w:t>
      </w:r>
      <w:r w:rsidR="005E3077">
        <w:t xml:space="preserve">y compris </w:t>
      </w:r>
      <w:r w:rsidR="00C068ED">
        <w:t>du risque informatique</w:t>
      </w:r>
      <w:r w:rsidR="005E3077">
        <w:t xml:space="preserve"> </w:t>
      </w:r>
      <w:r w:rsidR="004F2CE1">
        <w:t>:</w:t>
      </w:r>
    </w:p>
    <w:p w14:paraId="0826D6B2" w14:textId="77777777" w:rsidR="00331B88" w:rsidRDefault="004F2CE1" w:rsidP="006D1AEB">
      <w:pPr>
        <w:pStyle w:val="SGACP-enumerationniveau1"/>
        <w:ind w:left="284" w:hanging="284"/>
      </w:pPr>
      <w:r>
        <w:t>p</w:t>
      </w:r>
      <w:r w:rsidR="00463A1C" w:rsidRPr="007F2900">
        <w:t>rincipales insuffisances relevées</w:t>
      </w:r>
      <w:r>
        <w:t> ;</w:t>
      </w:r>
    </w:p>
    <w:p w14:paraId="55071047"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14:paraId="0B0854AE"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59A5455E" w14:textId="5DDBA4EC"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192F7C">
        <w:t xml:space="preserve"> modifié</w:t>
      </w:r>
      <w:r w:rsidR="00463A1C" w:rsidRPr="00935917">
        <w:rPr>
          <w:iCs/>
        </w:rPr>
        <w:t>)</w:t>
      </w:r>
      <w:r w:rsidRPr="00935917">
        <w:rPr>
          <w:iCs/>
        </w:rPr>
        <w:t>.</w:t>
      </w:r>
    </w:p>
    <w:p w14:paraId="3462FCCB" w14:textId="77777777" w:rsidR="00DC0250" w:rsidRDefault="00DC0250" w:rsidP="00463A1C">
      <w:bookmarkStart w:id="149" w:name="_Toc244576467"/>
      <w:bookmarkStart w:id="150" w:name="_Toc266799826"/>
    </w:p>
    <w:p w14:paraId="5488C2D3" w14:textId="77777777" w:rsidR="00463A1C" w:rsidRPr="007F2900" w:rsidRDefault="008F3AF1" w:rsidP="00DC0250">
      <w:pPr>
        <w:pStyle w:val="SGACP-sous-titrederubriquenivaeu2"/>
      </w:pPr>
      <w:r>
        <w:t>11</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149"/>
      <w:bookmarkEnd w:id="150"/>
    </w:p>
    <w:p w14:paraId="1DA6F2A5" w14:textId="77777777" w:rsidR="004C66F5" w:rsidRDefault="004C66F5" w:rsidP="00463A1C">
      <w:bookmarkStart w:id="151" w:name="_Toc266799827"/>
      <w:bookmarkStart w:id="152" w:name="_Toc266799864"/>
    </w:p>
    <w:p w14:paraId="28B75D30" w14:textId="61FB1B9A" w:rsidR="005E4C08" w:rsidRDefault="005E4C08" w:rsidP="00463A1C"/>
    <w:p w14:paraId="1D7ECB96" w14:textId="77777777" w:rsidR="00331B88" w:rsidRDefault="00463A1C">
      <w:pPr>
        <w:pStyle w:val="StyleSGACP-titrederubriqueniveau1CouleurpersonnaliseRVB"/>
        <w:keepNext/>
        <w:keepLines/>
        <w:ind w:left="426" w:hanging="426"/>
      </w:pPr>
      <w:bookmarkStart w:id="153" w:name="_Toc106958072"/>
      <w:r w:rsidRPr="007D7872">
        <w:t>Risque comptable</w:t>
      </w:r>
      <w:bookmarkEnd w:id="151"/>
      <w:bookmarkEnd w:id="152"/>
      <w:bookmarkEnd w:id="153"/>
    </w:p>
    <w:p w14:paraId="24550878" w14:textId="77777777" w:rsidR="00DC0250" w:rsidRDefault="00DC0250" w:rsidP="00463A1C">
      <w:bookmarkStart w:id="154" w:name="_Toc266799828"/>
    </w:p>
    <w:p w14:paraId="6D32A84D" w14:textId="77777777" w:rsidR="00463A1C" w:rsidRPr="007F2900" w:rsidRDefault="008F3AF1" w:rsidP="00DC0250">
      <w:pPr>
        <w:pStyle w:val="SGACP-sous-titrederubriquenivaeu2"/>
      </w:pPr>
      <w:r>
        <w:t>12</w:t>
      </w:r>
      <w:r w:rsidR="00DC0250">
        <w:t>.1.</w:t>
      </w:r>
      <w:r w:rsidR="00DC0250">
        <w:tab/>
      </w:r>
      <w:r w:rsidR="00463A1C" w:rsidRPr="007F2900">
        <w:t>Modifications significatives apportées à l</w:t>
      </w:r>
      <w:r w:rsidR="001224E7">
        <w:t>’</w:t>
      </w:r>
      <w:r w:rsidR="00463A1C" w:rsidRPr="007F2900">
        <w:t>organisation du dispositif comptable</w:t>
      </w:r>
      <w:bookmarkEnd w:id="154"/>
    </w:p>
    <w:p w14:paraId="4B6F8177" w14:textId="77777777" w:rsidR="00DC0250" w:rsidRPr="00DC0250" w:rsidRDefault="00DC0250" w:rsidP="00DC0250">
      <w:pPr>
        <w:pStyle w:val="SGACP-textecourant"/>
        <w:ind w:left="284"/>
        <w:rPr>
          <w:i/>
          <w:iCs/>
        </w:rPr>
      </w:pPr>
    </w:p>
    <w:p w14:paraId="0FC696DD" w14:textId="77777777"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14:paraId="50964D96" w14:textId="77777777" w:rsidR="002F066C" w:rsidRDefault="002F066C" w:rsidP="002C0F9D">
      <w:pPr>
        <w:pStyle w:val="SGACP-textecourant"/>
        <w:rPr>
          <w:i/>
          <w:iCs/>
        </w:rPr>
      </w:pPr>
    </w:p>
    <w:p w14:paraId="312B6143" w14:textId="77777777"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D82F7B">
        <w:rPr>
          <w:iCs/>
        </w:rPr>
        <w:t>.</w:t>
      </w:r>
    </w:p>
    <w:p w14:paraId="683F2526" w14:textId="77777777" w:rsidR="00FF5D04" w:rsidRDefault="00FF5D04">
      <w:pPr>
        <w:pStyle w:val="SGACP-textecourant"/>
        <w:rPr>
          <w:i/>
          <w:iCs/>
        </w:rPr>
      </w:pPr>
    </w:p>
    <w:p w14:paraId="59810C87" w14:textId="184E0E08" w:rsidR="00463A1C" w:rsidRDefault="008F3AF1" w:rsidP="00DC0250">
      <w:pPr>
        <w:pStyle w:val="SGACP-sous-titrederubriquenivaeu2"/>
      </w:pPr>
      <w:bookmarkStart w:id="155" w:name="_Toc266799829"/>
      <w:r>
        <w:t>12</w:t>
      </w:r>
      <w:r w:rsidR="00DC0250">
        <w:t>.2.</w:t>
      </w:r>
      <w:r w:rsidR="00DC0250">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en matière de risque comptable</w:t>
      </w:r>
      <w:bookmarkEnd w:id="155"/>
      <w:r w:rsidR="004F2CE1">
        <w:t> :</w:t>
      </w:r>
    </w:p>
    <w:p w14:paraId="46CA7C32" w14:textId="77777777" w:rsidR="00331B88" w:rsidRDefault="004F2CE1" w:rsidP="006D1AEB">
      <w:pPr>
        <w:pStyle w:val="SGACP-enumerationniveau1"/>
        <w:ind w:left="284" w:hanging="284"/>
      </w:pPr>
      <w:r>
        <w:t>p</w:t>
      </w:r>
      <w:r w:rsidR="00463A1C" w:rsidRPr="007F2900">
        <w:t>rincipales insuffisances relevées</w:t>
      </w:r>
      <w:r>
        <w:t> ;</w:t>
      </w:r>
    </w:p>
    <w:p w14:paraId="610B6C3E"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14:paraId="0E447DD0"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749B4EA1" w14:textId="63A2B7B4"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852089">
        <w:t xml:space="preserve"> modifié</w:t>
      </w:r>
      <w:r w:rsidR="00463A1C" w:rsidRPr="00935917">
        <w:rPr>
          <w:iCs/>
        </w:rPr>
        <w:t>)</w:t>
      </w:r>
      <w:r w:rsidR="00FF5D04">
        <w:rPr>
          <w:iCs/>
        </w:rPr>
        <w:t> </w:t>
      </w:r>
      <w:r w:rsidR="00FF5D04">
        <w:t>;</w:t>
      </w:r>
    </w:p>
    <w:p w14:paraId="05246DEE" w14:textId="77777777"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14:paraId="6199E540" w14:textId="77777777" w:rsidR="003274DB" w:rsidRDefault="003274DB" w:rsidP="00460E3D">
      <w:pPr>
        <w:pStyle w:val="SGACP-enumerationniveau1"/>
        <w:numPr>
          <w:ilvl w:val="0"/>
          <w:numId w:val="0"/>
        </w:numPr>
        <w:spacing w:before="0"/>
        <w:ind w:left="284"/>
      </w:pPr>
    </w:p>
    <w:p w14:paraId="67FCC561" w14:textId="77777777" w:rsidR="001511E1" w:rsidRPr="004B0BE5" w:rsidRDefault="001511E1" w:rsidP="00460E3D">
      <w:pPr>
        <w:pStyle w:val="SGACP-enumerationniveau1"/>
        <w:numPr>
          <w:ilvl w:val="0"/>
          <w:numId w:val="0"/>
        </w:numPr>
        <w:spacing w:before="0"/>
        <w:ind w:left="284"/>
      </w:pPr>
    </w:p>
    <w:p w14:paraId="672D011D" w14:textId="77777777" w:rsidR="000E1688" w:rsidRDefault="00463A1C" w:rsidP="000E1688">
      <w:pPr>
        <w:pStyle w:val="StyleSGACP-titrederubriqueniveau1CouleurpersonnaliseRVB"/>
        <w:keepNext/>
        <w:keepLines/>
        <w:ind w:left="426" w:hanging="426"/>
      </w:pPr>
      <w:bookmarkStart w:id="156" w:name="_Toc263679157"/>
      <w:bookmarkStart w:id="157" w:name="_Toc244576468"/>
      <w:bookmarkStart w:id="158" w:name="_Toc244598006"/>
      <w:bookmarkStart w:id="159" w:name="_Toc244601060"/>
      <w:bookmarkStart w:id="160" w:name="_Toc244692477"/>
      <w:bookmarkStart w:id="161" w:name="_Toc244692546"/>
      <w:bookmarkStart w:id="162" w:name="_Toc244938466"/>
      <w:bookmarkStart w:id="163" w:name="_Toc244938699"/>
      <w:bookmarkStart w:id="164" w:name="_Toc266799830"/>
      <w:bookmarkStart w:id="165" w:name="_Toc266799865"/>
      <w:bookmarkStart w:id="166" w:name="_Toc106958073"/>
      <w:bookmarkEnd w:id="156"/>
      <w:r w:rsidRPr="007D7872">
        <w:t>Risque de taux d</w:t>
      </w:r>
      <w:r w:rsidR="001224E7">
        <w:t>’</w:t>
      </w:r>
      <w:r w:rsidRPr="007D7872">
        <w:t xml:space="preserve">intérêt </w:t>
      </w:r>
      <w:bookmarkEnd w:id="157"/>
      <w:bookmarkEnd w:id="158"/>
      <w:bookmarkEnd w:id="159"/>
      <w:bookmarkEnd w:id="160"/>
      <w:bookmarkEnd w:id="161"/>
      <w:bookmarkEnd w:id="162"/>
      <w:bookmarkEnd w:id="163"/>
      <w:bookmarkEnd w:id="164"/>
      <w:bookmarkEnd w:id="165"/>
      <w:r w:rsidR="005E330A">
        <w:t>global</w:t>
      </w:r>
      <w:bookmarkEnd w:id="166"/>
      <w:r w:rsidR="004F2CE1" w:rsidRPr="007D7872">
        <w:t> </w:t>
      </w:r>
    </w:p>
    <w:p w14:paraId="44909E6F" w14:textId="77777777" w:rsidR="00BF4186" w:rsidRDefault="00BF4186" w:rsidP="003D1AFF">
      <w:pPr>
        <w:pStyle w:val="SGACP-titrederubriqueniveau1"/>
        <w:numPr>
          <w:ilvl w:val="0"/>
          <w:numId w:val="0"/>
        </w:numPr>
        <w:ind w:left="426"/>
        <w:rPr>
          <w:rFonts w:ascii="Times New Roman" w:hAnsi="Times New Roman"/>
          <w:b w:val="0"/>
          <w:sz w:val="22"/>
        </w:rPr>
      </w:pPr>
    </w:p>
    <w:p w14:paraId="600E0161" w14:textId="6503FBBF" w:rsidR="00331B88" w:rsidRDefault="004F2CE1" w:rsidP="006D1AEB">
      <w:pPr>
        <w:pStyle w:val="SGACP-enumerationniveau1"/>
        <w:ind w:left="284" w:hanging="284"/>
      </w:pPr>
      <w:r>
        <w:t>d</w:t>
      </w:r>
      <w:r w:rsidR="00463A1C" w:rsidRPr="007F2900">
        <w:t xml:space="preserve">escription synthétique du cadre général </w:t>
      </w:r>
      <w:r w:rsidR="00624447" w:rsidRPr="003D1AFF">
        <w:t xml:space="preserve">de la détection, de l’évaluation et </w:t>
      </w:r>
      <w:r w:rsidR="00463A1C" w:rsidRPr="007F2900">
        <w:t>de la gestion du risque de taux</w:t>
      </w:r>
      <w:r w:rsidR="005E330A" w:rsidRPr="005E330A">
        <w:t xml:space="preserve"> </w:t>
      </w:r>
      <w:r w:rsidR="005E330A">
        <w:t>d’intérêt global</w:t>
      </w:r>
      <w:r w:rsidR="00463A1C" w:rsidRPr="007F2900">
        <w:t xml:space="preserve"> </w:t>
      </w:r>
      <w:r w:rsidR="00463A1C" w:rsidRPr="00210431">
        <w:rPr>
          <w:i/>
        </w:rPr>
        <w:t>(préciser le périmètre des entités et opérations prises en compte</w:t>
      </w:r>
      <w:r w:rsidR="00DA2593" w:rsidRPr="00210431">
        <w:rPr>
          <w:i/>
        </w:rPr>
        <w:t xml:space="preserve"> en justifiant </w:t>
      </w:r>
      <w:r w:rsidR="00463A1C" w:rsidRPr="00210431">
        <w:rPr>
          <w:i/>
        </w:rPr>
        <w:t xml:space="preserve">le rôle des </w:t>
      </w:r>
      <w:r w:rsidR="0003780F" w:rsidRPr="00210431">
        <w:rPr>
          <w:i/>
        </w:rPr>
        <w:t>dirigeants effectifs</w:t>
      </w:r>
      <w:r w:rsidR="00463A1C" w:rsidRPr="00210431">
        <w:rPr>
          <w:i/>
        </w:rPr>
        <w:t xml:space="preserve"> et </w:t>
      </w:r>
      <w:r w:rsidR="0003780F" w:rsidRPr="00210431">
        <w:rPr>
          <w:i/>
        </w:rPr>
        <w:t xml:space="preserve">des organes </w:t>
      </w:r>
      <w:r w:rsidR="0094273B" w:rsidRPr="00210431">
        <w:rPr>
          <w:i/>
        </w:rPr>
        <w:t xml:space="preserve">de surveillance </w:t>
      </w:r>
      <w:r w:rsidR="00463A1C" w:rsidRPr="00210431">
        <w:rPr>
          <w:i/>
        </w:rPr>
        <w:t>et la répartition des compétences en matière de pilotage du risque de taux</w:t>
      </w:r>
      <w:r w:rsidR="005E330A" w:rsidRPr="00210431">
        <w:rPr>
          <w:i/>
        </w:rPr>
        <w:t xml:space="preserve"> d’intérêt global</w:t>
      </w:r>
      <w:r w:rsidR="00463A1C" w:rsidRPr="00210431">
        <w:rPr>
          <w:i/>
        </w:rPr>
        <w:t>)</w:t>
      </w:r>
      <w:r w:rsidR="008C04C9">
        <w:rPr>
          <w:i/>
        </w:rPr>
        <w:t> </w:t>
      </w:r>
      <w:r w:rsidR="008C04C9">
        <w:t>;</w:t>
      </w:r>
    </w:p>
    <w:p w14:paraId="1457D4FC" w14:textId="6BDA2DBF" w:rsidR="00EB2BEE" w:rsidRDefault="00A35EB4" w:rsidP="006D1AEB">
      <w:pPr>
        <w:pStyle w:val="SGACP-enumerationniveau1"/>
        <w:ind w:left="284" w:hanging="284"/>
      </w:pPr>
      <w:r>
        <w:t xml:space="preserve">description et justification du recours </w:t>
      </w:r>
      <w:r w:rsidR="00716F19">
        <w:t xml:space="preserve">éventuel </w:t>
      </w:r>
      <w:r>
        <w:t xml:space="preserve">au principe de proportionnalité au vu </w:t>
      </w:r>
      <w:r w:rsidR="00DD7449">
        <w:t>du volume, de la complexité</w:t>
      </w:r>
      <w:r w:rsidR="00311083">
        <w:t>, de l’appétit au risque</w:t>
      </w:r>
      <w:r w:rsidR="00DD7449">
        <w:t xml:space="preserve"> et du niveau de risque de leurs positions sensibles au risque de taux, ainsi que de la taille</w:t>
      </w:r>
      <w:r w:rsidR="008A317D">
        <w:t>, de la stratégie</w:t>
      </w:r>
      <w:r w:rsidR="00DD7449">
        <w:t xml:space="preserve"> et du modèle d’entreprise de l’établissement</w:t>
      </w:r>
      <w:r w:rsidR="00EB2BEE">
        <w:t>, applicable aux exigences suivantes des orientations :</w:t>
      </w:r>
    </w:p>
    <w:p w14:paraId="605F0AF1" w14:textId="041A478E" w:rsidR="00BA4F45" w:rsidRDefault="00BA4F45" w:rsidP="00A85C3C">
      <w:pPr>
        <w:pStyle w:val="SGACP-enumerationniveau1"/>
        <w:numPr>
          <w:ilvl w:val="1"/>
          <w:numId w:val="3"/>
        </w:numPr>
      </w:pPr>
      <w:r>
        <w:t>calcul et allocation du capital au titre du risque de taux (tenant compte à la fois de l’impact sur la valeur économique et sur les revenus</w:t>
      </w:r>
      <w:r w:rsidR="00234078">
        <w:rPr>
          <w:rStyle w:val="Appelnotedebasdep"/>
        </w:rPr>
        <w:footnoteReference w:id="8"/>
      </w:r>
      <w:r>
        <w:t>) ;</w:t>
      </w:r>
    </w:p>
    <w:p w14:paraId="08928CDC" w14:textId="7AA3073D" w:rsidR="00A35EB4" w:rsidRDefault="00EB2BEE" w:rsidP="00A85C3C">
      <w:pPr>
        <w:pStyle w:val="SGACP-enumerationniveau1"/>
        <w:numPr>
          <w:ilvl w:val="1"/>
          <w:numId w:val="3"/>
        </w:numPr>
      </w:pPr>
      <w:r>
        <w:t>mesure et suivi du risque de taux (notamment</w:t>
      </w:r>
      <w:r w:rsidR="00181012">
        <w:t xml:space="preserve"> avec des scenarios internes de chocs adaptés comme mentionnés au</w:t>
      </w:r>
      <w:r w:rsidR="00BD7E87">
        <w:t>x</w:t>
      </w:r>
      <w:r w:rsidR="00181012">
        <w:t xml:space="preserve"> paragraphe</w:t>
      </w:r>
      <w:r w:rsidR="00BD7E87">
        <w:t>s</w:t>
      </w:r>
      <w:r w:rsidR="00181012">
        <w:t xml:space="preserve"> 9</w:t>
      </w:r>
      <w:r w:rsidR="0060243F">
        <w:t>0</w:t>
      </w:r>
      <w:r w:rsidR="00EF0BF6">
        <w:t xml:space="preserve"> à</w:t>
      </w:r>
      <w:r w:rsidR="0060243F">
        <w:t> 102 des Orientations de l’ABE</w:t>
      </w:r>
      <w:r w:rsidR="00294FD8">
        <w:t>,</w:t>
      </w:r>
      <w:r w:rsidR="0060243F">
        <w:t xml:space="preserve"> </w:t>
      </w:r>
      <w:r w:rsidR="00181012">
        <w:t>et</w:t>
      </w:r>
      <w:r>
        <w:t xml:space="preserve"> l’utilisation des mesures de proportionnalité prévues dans la « matrice de sophistication » à l’</w:t>
      </w:r>
      <w:r w:rsidR="007111DC">
        <w:t>a</w:t>
      </w:r>
      <w:r>
        <w:t xml:space="preserve">nnexe II des </w:t>
      </w:r>
      <w:r w:rsidR="000001E8">
        <w:t>O</w:t>
      </w:r>
      <w:r>
        <w:t>rienta</w:t>
      </w:r>
      <w:r w:rsidR="007111DC">
        <w:t>t</w:t>
      </w:r>
      <w:r>
        <w:t xml:space="preserve">ions </w:t>
      </w:r>
      <w:r w:rsidR="007111DC">
        <w:t>de l’</w:t>
      </w:r>
      <w:r>
        <w:t>ABE)</w:t>
      </w:r>
      <w:r w:rsidR="00BD7E87">
        <w:t xml:space="preserve"> incluant la prise en compte des interactions et effets croisés entre différents types de risques</w:t>
      </w:r>
      <w:r w:rsidR="00A21F8C">
        <w:t xml:space="preserve"> : </w:t>
      </w:r>
      <w:r w:rsidR="00A21F8C" w:rsidRPr="00A85C3C">
        <w:t>taux, crédit, liquidité,</w:t>
      </w:r>
      <w:r w:rsidR="00A21F8C">
        <w:rPr>
          <w:i/>
        </w:rPr>
        <w:t xml:space="preserve"> </w:t>
      </w:r>
      <w:r w:rsidR="00A21F8C" w:rsidRPr="00A85C3C">
        <w:t>marché</w:t>
      </w:r>
      <w:r w:rsidR="00BD7E87">
        <w:t xml:space="preserve"> </w:t>
      </w:r>
      <w:r w:rsidR="00BA4F45">
        <w:t>;</w:t>
      </w:r>
    </w:p>
    <w:p w14:paraId="79328812" w14:textId="28DEA13E" w:rsidR="00EB2BEE" w:rsidRDefault="00EB2BEE" w:rsidP="00A85C3C">
      <w:pPr>
        <w:pStyle w:val="SGACP-enumerationniveau1"/>
        <w:numPr>
          <w:ilvl w:val="1"/>
          <w:numId w:val="3"/>
        </w:numPr>
      </w:pPr>
      <w:r>
        <w:t>dispositifs de surveillance (notamment l’application de</w:t>
      </w:r>
      <w:r w:rsidR="00532E8F">
        <w:t xml:space="preserve"> limites et de</w:t>
      </w:r>
      <w:r>
        <w:t xml:space="preserve"> sous-limites uniquement pour les composantes significatives du risque de taux mentionnées </w:t>
      </w:r>
      <w:r w:rsidR="00532E8F">
        <w:t>aux paragraphes 44(c) et 44(d)</w:t>
      </w:r>
      <w:r>
        <w:t xml:space="preserve"> des </w:t>
      </w:r>
      <w:r w:rsidR="000001E8">
        <w:t>O</w:t>
      </w:r>
      <w:r>
        <w:t>rientations</w:t>
      </w:r>
      <w:r w:rsidR="00294FD8">
        <w:t xml:space="preserve"> de l’ABE</w:t>
      </w:r>
      <w:r>
        <w:t>)</w:t>
      </w:r>
      <w:r w:rsidR="00BA4F45">
        <w:t> ;</w:t>
      </w:r>
    </w:p>
    <w:p w14:paraId="229B0491" w14:textId="3F1181E7" w:rsidR="00EB2BEE" w:rsidRDefault="00EB2BEE" w:rsidP="00A85C3C">
      <w:pPr>
        <w:pStyle w:val="SGACP-enumerationniveau1"/>
        <w:numPr>
          <w:ilvl w:val="1"/>
          <w:numId w:val="3"/>
        </w:numPr>
      </w:pPr>
      <w:r>
        <w:t xml:space="preserve">dispositifs de gouvernance (adaptation des rapports adressés à l’organe de direction en fonction des activités de l’établissement, mentionnée </w:t>
      </w:r>
      <w:r w:rsidR="00A71021">
        <w:t>au paragraphe</w:t>
      </w:r>
      <w:r>
        <w:t xml:space="preserve"> 68 des </w:t>
      </w:r>
      <w:r w:rsidR="000001E8">
        <w:t>O</w:t>
      </w:r>
      <w:r>
        <w:t>rientations</w:t>
      </w:r>
      <w:r w:rsidR="00294FD8">
        <w:t xml:space="preserve"> de l’ABE</w:t>
      </w:r>
      <w:r>
        <w:t>).</w:t>
      </w:r>
    </w:p>
    <w:p w14:paraId="300AE30D" w14:textId="77777777" w:rsidR="00DC0250" w:rsidRPr="00440703" w:rsidRDefault="00DC0250" w:rsidP="003D1AFF">
      <w:pPr>
        <w:pStyle w:val="SGACP-enumerationniveau1"/>
        <w:numPr>
          <w:ilvl w:val="0"/>
          <w:numId w:val="0"/>
        </w:numPr>
      </w:pPr>
      <w:bookmarkStart w:id="167" w:name="_Toc244576469"/>
      <w:bookmarkStart w:id="168" w:name="_Toc266799831"/>
    </w:p>
    <w:p w14:paraId="40BCDF2F" w14:textId="21FDA39C" w:rsidR="0016696D" w:rsidRDefault="008F3AF1" w:rsidP="00A85C3C">
      <w:pPr>
        <w:pStyle w:val="SGACP-sous-titrederubriquenivaeu2"/>
      </w:pPr>
      <w:r>
        <w:t>13</w:t>
      </w:r>
      <w:r w:rsidR="00DC0250">
        <w:t>.1.</w:t>
      </w:r>
      <w:r w:rsidR="00DC0250">
        <w:tab/>
      </w:r>
      <w:r w:rsidR="00463A1C" w:rsidRPr="007F2900">
        <w:t>Dispositif de mesure et de suivi (et méthodologie) du risque de taux</w:t>
      </w:r>
      <w:bookmarkEnd w:id="167"/>
      <w:bookmarkEnd w:id="168"/>
      <w:r w:rsidR="004F2CE1">
        <w:t> </w:t>
      </w:r>
      <w:r w:rsidR="005E330A">
        <w:t>d’intérêt global</w:t>
      </w:r>
      <w:r w:rsidR="00965B51">
        <w:t xml:space="preserve"> </w:t>
      </w:r>
      <w:r w:rsidR="004F2CE1">
        <w:t>:</w:t>
      </w:r>
    </w:p>
    <w:p w14:paraId="28CAE0CC" w14:textId="4DC53160" w:rsidR="00331B88" w:rsidRDefault="004F2CE1" w:rsidP="006D1AEB">
      <w:pPr>
        <w:pStyle w:val="SGACP-enumerationniveau1"/>
        <w:ind w:left="284" w:hanging="284"/>
      </w:pPr>
      <w:r>
        <w:t>d</w:t>
      </w:r>
      <w:r w:rsidR="00463A1C" w:rsidRPr="007F2900">
        <w:t xml:space="preserve">escription des outils et de la méthodologie utilisée en matière de gestion du risque de taux </w:t>
      </w:r>
      <w:r w:rsidR="005E330A">
        <w:t>d’intérêt global</w:t>
      </w:r>
      <w:r w:rsidR="005E330A" w:rsidRPr="007F2900">
        <w:t xml:space="preserve"> </w:t>
      </w:r>
      <w:r w:rsidR="00463A1C" w:rsidRPr="00210431">
        <w:rPr>
          <w:i/>
        </w:rPr>
        <w:t>(préciser les indicateurs utilisés par l</w:t>
      </w:r>
      <w:r w:rsidR="001224E7" w:rsidRPr="00210431">
        <w:rPr>
          <w:i/>
        </w:rPr>
        <w:t>’</w:t>
      </w:r>
      <w:r w:rsidR="00463A1C" w:rsidRPr="00210431">
        <w:rPr>
          <w:i/>
        </w:rPr>
        <w:t xml:space="preserve">établissement notamment gaps statiques ou dynamiques, calcul de sensibilité des </w:t>
      </w:r>
      <w:r w:rsidR="00E32AD6" w:rsidRPr="00210431">
        <w:rPr>
          <w:i/>
        </w:rPr>
        <w:t>r</w:t>
      </w:r>
      <w:r w:rsidR="00E32AD6">
        <w:rPr>
          <w:i/>
        </w:rPr>
        <w:t>evenus</w:t>
      </w:r>
      <w:r w:rsidR="00463A1C" w:rsidRPr="00210431">
        <w:rPr>
          <w:i/>
        </w:rPr>
        <w:t xml:space="preserve">, calcul de valeur actualisée nette, hypothèses et résultats des </w:t>
      </w:r>
      <w:r w:rsidR="007D0344" w:rsidRPr="00D7076D">
        <w:rPr>
          <w:i/>
        </w:rPr>
        <w:t>stress scenarii</w:t>
      </w:r>
      <w:r w:rsidR="00C57A44">
        <w:rPr>
          <w:i/>
        </w:rPr>
        <w:t xml:space="preserve"> incluant le cas échéant les interactions et effets croisés entre types de risques (taux, crédit, liquidité, </w:t>
      </w:r>
      <w:r w:rsidR="00C57A44" w:rsidRPr="00E32AD6">
        <w:rPr>
          <w:i/>
        </w:rPr>
        <w:t>marché</w:t>
      </w:r>
      <w:r w:rsidR="00A21F8C" w:rsidRPr="00E32AD6">
        <w:rPr>
          <w:i/>
        </w:rPr>
        <w:t xml:space="preserve"> - </w:t>
      </w:r>
      <w:r w:rsidR="00A21F8C" w:rsidRPr="00A85C3C">
        <w:rPr>
          <w:i/>
        </w:rPr>
        <w:t xml:space="preserve">paragraphe 99 des </w:t>
      </w:r>
      <w:r w:rsidR="000001E8">
        <w:rPr>
          <w:i/>
        </w:rPr>
        <w:t>O</w:t>
      </w:r>
      <w:r w:rsidR="00A21F8C" w:rsidRPr="00A85C3C">
        <w:rPr>
          <w:i/>
        </w:rPr>
        <w:t>rientations</w:t>
      </w:r>
      <w:r w:rsidR="00294FD8">
        <w:rPr>
          <w:i/>
        </w:rPr>
        <w:t xml:space="preserve"> de l’ABE</w:t>
      </w:r>
      <w:r w:rsidR="00C57A44">
        <w:rPr>
          <w:i/>
        </w:rPr>
        <w:t>)</w:t>
      </w:r>
      <w:r w:rsidR="00463A1C" w:rsidRPr="00210431">
        <w:rPr>
          <w:i/>
        </w:rPr>
        <w:t xml:space="preserve">, impact des variations du risque de taux </w:t>
      </w:r>
      <w:r w:rsidR="005E330A" w:rsidRPr="00210431">
        <w:rPr>
          <w:i/>
        </w:rPr>
        <w:t xml:space="preserve">d’intérêt global </w:t>
      </w:r>
      <w:r w:rsidR="00463A1C" w:rsidRPr="00210431">
        <w:rPr>
          <w:i/>
        </w:rPr>
        <w:t>sur l</w:t>
      </w:r>
      <w:r w:rsidR="001224E7" w:rsidRPr="00210431">
        <w:rPr>
          <w:i/>
        </w:rPr>
        <w:t>’</w:t>
      </w:r>
      <w:r w:rsidR="00463A1C" w:rsidRPr="00210431">
        <w:rPr>
          <w:i/>
        </w:rPr>
        <w:t>activité de l</w:t>
      </w:r>
      <w:r w:rsidR="001224E7" w:rsidRPr="00210431">
        <w:rPr>
          <w:i/>
        </w:rPr>
        <w:t>’</w:t>
      </w:r>
      <w:r w:rsidR="00463A1C" w:rsidRPr="00210431">
        <w:rPr>
          <w:i/>
        </w:rPr>
        <w:t>établissement pour l</w:t>
      </w:r>
      <w:r w:rsidR="001224E7" w:rsidRPr="00210431">
        <w:rPr>
          <w:i/>
        </w:rPr>
        <w:t>’</w:t>
      </w:r>
      <w:r w:rsidR="00463A1C" w:rsidRPr="00210431">
        <w:rPr>
          <w:i/>
        </w:rPr>
        <w:t>année écoulée</w:t>
      </w:r>
      <w:r w:rsidR="000E1688" w:rsidRPr="00210431">
        <w:rPr>
          <w:i/>
        </w:rPr>
        <w:t>, en cas d’exposition dans différentes devises, méthodologie utilisée pour l’agrégation des expositions</w:t>
      </w:r>
      <w:r w:rsidR="00A97143">
        <w:rPr>
          <w:i/>
        </w:rPr>
        <w:t>, impacts des instruments en juste valeur</w:t>
      </w:r>
      <w:r w:rsidR="00463A1C" w:rsidRPr="00210431">
        <w:rPr>
          <w:i/>
        </w:rPr>
        <w:t>)</w:t>
      </w:r>
      <w:r>
        <w:t> ;</w:t>
      </w:r>
    </w:p>
    <w:p w14:paraId="0A1EB9F8" w14:textId="1CA1BA1C" w:rsidR="00092995" w:rsidRDefault="004F2CE1" w:rsidP="00BE0108">
      <w:pPr>
        <w:pStyle w:val="SGACP-enumerationniveau1"/>
        <w:ind w:left="284" w:hanging="284"/>
      </w:pPr>
      <w:r>
        <w:t>p</w:t>
      </w:r>
      <w:r w:rsidR="00463A1C" w:rsidRPr="007F2900">
        <w:t>résentation des conventions d</w:t>
      </w:r>
      <w:r w:rsidR="001224E7">
        <w:t>’</w:t>
      </w:r>
      <w:r w:rsidR="00463A1C" w:rsidRPr="007F2900">
        <w:t>écoulement utilisées par l</w:t>
      </w:r>
      <w:r w:rsidR="001224E7">
        <w:t>’</w:t>
      </w:r>
      <w:r w:rsidR="00463A1C" w:rsidRPr="007F2900">
        <w:t xml:space="preserve">établissement </w:t>
      </w:r>
      <w:r w:rsidR="00210431" w:rsidRPr="00210431">
        <w:rPr>
          <w:i/>
        </w:rPr>
        <w:t>[</w:t>
      </w:r>
      <w:r w:rsidR="00463A1C" w:rsidRPr="00210431">
        <w:rPr>
          <w:i/>
        </w:rPr>
        <w:t>préciser le périmètre couvert, les principales hypothèses retenues,</w:t>
      </w:r>
      <w:r w:rsidR="008A3679" w:rsidRPr="00210431">
        <w:rPr>
          <w:i/>
        </w:rPr>
        <w:t xml:space="preserve"> le traitement de la production nouvelle, </w:t>
      </w:r>
      <w:r w:rsidR="000E1688" w:rsidRPr="00210431">
        <w:rPr>
          <w:i/>
        </w:rPr>
        <w:t>des produits ne portant pas intérêts (tels que les fonds propres),</w:t>
      </w:r>
      <w:r w:rsidR="00463A1C" w:rsidRPr="00210431">
        <w:rPr>
          <w:i/>
        </w:rPr>
        <w:t xml:space="preserve"> des options </w:t>
      </w:r>
      <w:r w:rsidR="00E32AD6">
        <w:rPr>
          <w:i/>
        </w:rPr>
        <w:t>automatiques (</w:t>
      </w:r>
      <w:r w:rsidR="00DA2593" w:rsidRPr="00210431">
        <w:rPr>
          <w:i/>
        </w:rPr>
        <w:t>explicites</w:t>
      </w:r>
      <w:r w:rsidR="00E32AD6">
        <w:rPr>
          <w:i/>
        </w:rPr>
        <w:t xml:space="preserve"> et</w:t>
      </w:r>
      <w:r w:rsidR="00DA2593" w:rsidRPr="00210431">
        <w:rPr>
          <w:i/>
        </w:rPr>
        <w:t xml:space="preserve"> implicites</w:t>
      </w:r>
      <w:r w:rsidR="00E32AD6">
        <w:rPr>
          <w:i/>
        </w:rPr>
        <w:t>)</w:t>
      </w:r>
      <w:r w:rsidR="00DA2593" w:rsidRPr="00210431">
        <w:rPr>
          <w:i/>
        </w:rPr>
        <w:t xml:space="preserve"> et </w:t>
      </w:r>
      <w:r w:rsidR="00463A1C" w:rsidRPr="00210431">
        <w:rPr>
          <w:i/>
        </w:rPr>
        <w:t>comportementales</w:t>
      </w:r>
      <w:r w:rsidR="008A3679" w:rsidRPr="00210431">
        <w:rPr>
          <w:i/>
        </w:rPr>
        <w:t xml:space="preserve">, notamment le traitement des dépôts non-échéancés (présentation de la méthodologie utilisée pour la segmentation des dépôts par catégories, </w:t>
      </w:r>
      <w:r w:rsidR="00E32AD6">
        <w:rPr>
          <w:i/>
        </w:rPr>
        <w:t xml:space="preserve">de </w:t>
      </w:r>
      <w:r w:rsidR="008A3679" w:rsidRPr="00210431">
        <w:rPr>
          <w:i/>
        </w:rPr>
        <w:t>l’identification des dépôts stables)</w:t>
      </w:r>
      <w:r w:rsidR="00A71021">
        <w:rPr>
          <w:i/>
        </w:rPr>
        <w:t>, des retraits anticipés</w:t>
      </w:r>
      <w:r w:rsidR="008A3679" w:rsidRPr="00210431">
        <w:rPr>
          <w:i/>
        </w:rPr>
        <w:t xml:space="preserve"> et des produits d’épargne réglementée</w:t>
      </w:r>
      <w:r w:rsidR="00210431" w:rsidRPr="00210431">
        <w:rPr>
          <w:i/>
        </w:rPr>
        <w:t>]</w:t>
      </w:r>
      <w:r w:rsidRPr="00210431">
        <w:rPr>
          <w:i/>
        </w:rPr>
        <w:t> </w:t>
      </w:r>
      <w:r>
        <w:t>;</w:t>
      </w:r>
      <w:r w:rsidR="00A3726A">
        <w:t xml:space="preserve"> </w:t>
      </w:r>
    </w:p>
    <w:p w14:paraId="0BDECFE9" w14:textId="77777777" w:rsidR="00810050" w:rsidRDefault="00810050" w:rsidP="00810050">
      <w:pPr>
        <w:pStyle w:val="SGACP-enumerationniveau1"/>
        <w:ind w:left="284" w:hanging="284"/>
      </w:pPr>
      <w:r>
        <w:t xml:space="preserve">présentation des activités de couverture: </w:t>
      </w:r>
      <w:r w:rsidRPr="001D505C">
        <w:rPr>
          <w:i/>
        </w:rPr>
        <w:t>préciser le</w:t>
      </w:r>
      <w:r>
        <w:rPr>
          <w:i/>
        </w:rPr>
        <w:t>s différents instruments mis en œuvre et les contrôles menés sur ces activités ;</w:t>
      </w:r>
    </w:p>
    <w:p w14:paraId="7660EAE3" w14:textId="2616791E" w:rsidR="00E32AD6" w:rsidRDefault="00A448B9" w:rsidP="00A85C3C">
      <w:pPr>
        <w:pStyle w:val="SGACP-enumerationniveau1"/>
        <w:ind w:left="284" w:hanging="284"/>
        <w:rPr>
          <w:iCs/>
        </w:rPr>
      </w:pPr>
      <w:r w:rsidRPr="00DC6FB0">
        <w:rPr>
          <w:iCs/>
        </w:rPr>
        <w:t xml:space="preserve">présentation des </w:t>
      </w:r>
      <w:r w:rsidR="004F2CE1" w:rsidRPr="00DC6FB0">
        <w:rPr>
          <w:iCs/>
        </w:rPr>
        <w:t>r</w:t>
      </w:r>
      <w:r w:rsidR="00463A1C" w:rsidRPr="00DC6FB0">
        <w:rPr>
          <w:iCs/>
        </w:rPr>
        <w:t xml:space="preserve">ésultats </w:t>
      </w:r>
      <w:r w:rsidR="00DC6FB0">
        <w:rPr>
          <w:iCs/>
        </w:rPr>
        <w:t>d</w:t>
      </w:r>
      <w:r w:rsidR="00B10047">
        <w:rPr>
          <w:iCs/>
        </w:rPr>
        <w:t>u</w:t>
      </w:r>
      <w:r w:rsidR="00DC6FB0" w:rsidRPr="00DC6FB0">
        <w:rPr>
          <w:iCs/>
        </w:rPr>
        <w:t xml:space="preserve"> « </w:t>
      </w:r>
      <w:r w:rsidR="00DC6FB0" w:rsidRPr="00D1728C">
        <w:rPr>
          <w:i/>
          <w:iCs/>
        </w:rPr>
        <w:t>Supervisory outlier test</w:t>
      </w:r>
      <w:r w:rsidR="00294FD8">
        <w:rPr>
          <w:i/>
          <w:iCs/>
        </w:rPr>
        <w:t xml:space="preserve"> </w:t>
      </w:r>
      <w:r w:rsidR="00DC6FB0" w:rsidRPr="00DC6FB0">
        <w:rPr>
          <w:iCs/>
        </w:rPr>
        <w:t xml:space="preserve">» </w:t>
      </w:r>
      <w:r w:rsidR="00242E9D" w:rsidRPr="00DC6FB0">
        <w:rPr>
          <w:iCs/>
        </w:rPr>
        <w:t xml:space="preserve">sur la valeur économique </w:t>
      </w:r>
      <w:r w:rsidR="00FE146F" w:rsidRPr="00DC6FB0">
        <w:rPr>
          <w:iCs/>
        </w:rPr>
        <w:t xml:space="preserve">des fonds propres </w:t>
      </w:r>
      <w:r w:rsidR="00463A1C" w:rsidRPr="00DC6FB0">
        <w:rPr>
          <w:iCs/>
        </w:rPr>
        <w:t>d</w:t>
      </w:r>
      <w:r w:rsidR="001224E7" w:rsidRPr="00DC6FB0">
        <w:rPr>
          <w:iCs/>
        </w:rPr>
        <w:t>’</w:t>
      </w:r>
      <w:r w:rsidR="00463A1C" w:rsidRPr="00DC6FB0">
        <w:rPr>
          <w:iCs/>
        </w:rPr>
        <w:t>un choc uniforme</w:t>
      </w:r>
      <w:r w:rsidR="00B40CBC" w:rsidRPr="00DC6FB0">
        <w:rPr>
          <w:iCs/>
        </w:rPr>
        <w:t xml:space="preserve"> </w:t>
      </w:r>
      <w:r w:rsidR="00924B59" w:rsidRPr="00DC6FB0">
        <w:rPr>
          <w:iCs/>
        </w:rPr>
        <w:t>de</w:t>
      </w:r>
      <w:r w:rsidR="00463A1C" w:rsidRPr="00DC6FB0">
        <w:rPr>
          <w:iCs/>
        </w:rPr>
        <w:t xml:space="preserve"> </w:t>
      </w:r>
      <w:r w:rsidR="00994382" w:rsidRPr="00DC6FB0">
        <w:rPr>
          <w:iCs/>
        </w:rPr>
        <w:t xml:space="preserve">+/- </w:t>
      </w:r>
      <w:r w:rsidR="00463A1C" w:rsidRPr="00DC6FB0">
        <w:rPr>
          <w:iCs/>
        </w:rPr>
        <w:t>200</w:t>
      </w:r>
      <w:r w:rsidR="00E61E94" w:rsidRPr="00DC6FB0">
        <w:rPr>
          <w:iCs/>
        </w:rPr>
        <w:t> </w:t>
      </w:r>
      <w:r w:rsidR="00463A1C" w:rsidRPr="00DC6FB0">
        <w:rPr>
          <w:iCs/>
        </w:rPr>
        <w:t>bp</w:t>
      </w:r>
      <w:r w:rsidR="00A90C30">
        <w:rPr>
          <w:iCs/>
        </w:rPr>
        <w:t>s</w:t>
      </w:r>
      <w:r w:rsidR="00DC6FB0" w:rsidRPr="00F22CC1">
        <w:rPr>
          <w:iCs/>
        </w:rPr>
        <w:t xml:space="preserve"> ainsi que des six chocs spécifiques à chaque devise tels que décrit dans l’annexe III des </w:t>
      </w:r>
      <w:r w:rsidR="000001E8">
        <w:rPr>
          <w:iCs/>
        </w:rPr>
        <w:t>O</w:t>
      </w:r>
      <w:r w:rsidR="00DC6FB0" w:rsidRPr="00F22CC1">
        <w:rPr>
          <w:iCs/>
        </w:rPr>
        <w:t>rientatio</w:t>
      </w:r>
      <w:r w:rsidR="00DC6FB0" w:rsidRPr="003D6753">
        <w:rPr>
          <w:iCs/>
        </w:rPr>
        <w:t>ns de l’ABE</w:t>
      </w:r>
      <w:r w:rsidR="00E32AD6">
        <w:rPr>
          <w:iCs/>
        </w:rPr>
        <w:t xml:space="preserve">  - </w:t>
      </w:r>
      <w:r w:rsidR="00E32AD6" w:rsidRPr="00A85C3C">
        <w:rPr>
          <w:i/>
          <w:iCs/>
        </w:rPr>
        <w:t>hypothèses principales :</w:t>
      </w:r>
    </w:p>
    <w:p w14:paraId="2200DA5D" w14:textId="23F8EDD3" w:rsidR="00E32AD6" w:rsidRPr="00A90C30" w:rsidRDefault="00E32AD6">
      <w:pPr>
        <w:pStyle w:val="SGACP-enumerationniveau1"/>
        <w:numPr>
          <w:ilvl w:val="1"/>
          <w:numId w:val="3"/>
        </w:numPr>
      </w:pPr>
      <w:r w:rsidRPr="00A90C30">
        <w:t xml:space="preserve">Chocs appliqués </w:t>
      </w:r>
      <w:r w:rsidR="00FE146F" w:rsidRPr="00AE5689">
        <w:t xml:space="preserve">avec </w:t>
      </w:r>
      <w:r w:rsidR="00AE5689">
        <w:t>intégration d’un</w:t>
      </w:r>
      <w:r w:rsidR="00FE146F" w:rsidRPr="00234078">
        <w:t xml:space="preserve"> plancher post-choc commençant avec -100</w:t>
      </w:r>
      <w:r w:rsidR="00676303" w:rsidRPr="00234078">
        <w:t xml:space="preserve"> b</w:t>
      </w:r>
      <w:r w:rsidR="00FE146F" w:rsidRPr="00234078">
        <w:t>p</w:t>
      </w:r>
      <w:r w:rsidRPr="00A90C30">
        <w:t>s</w:t>
      </w:r>
      <w:r w:rsidR="00FE146F" w:rsidRPr="00234078">
        <w:t xml:space="preserve"> (conformément au paragraphe 115(k) des </w:t>
      </w:r>
      <w:r w:rsidR="000001E8">
        <w:t>O</w:t>
      </w:r>
      <w:r w:rsidR="00FE146F" w:rsidRPr="00234078">
        <w:t>rientations de l’ABE)</w:t>
      </w:r>
      <w:r w:rsidR="00AE5689">
        <w:rPr>
          <w:rStyle w:val="Appelnotedebasdep"/>
        </w:rPr>
        <w:footnoteReference w:id="9"/>
      </w:r>
      <w:r w:rsidR="00DA2593" w:rsidRPr="00AE5689">
        <w:t xml:space="preserve">, </w:t>
      </w:r>
    </w:p>
    <w:p w14:paraId="273ACE8D" w14:textId="4D3CCA9F" w:rsidR="00E32AD6" w:rsidRPr="00A90C30" w:rsidRDefault="00E32AD6">
      <w:pPr>
        <w:pStyle w:val="SGACP-enumerationniveau1"/>
        <w:numPr>
          <w:ilvl w:val="1"/>
          <w:numId w:val="3"/>
        </w:numPr>
      </w:pPr>
      <w:r w:rsidRPr="00A90C30">
        <w:t xml:space="preserve">Calcul </w:t>
      </w:r>
      <w:r w:rsidR="00463A1C" w:rsidRPr="00AE5689">
        <w:t xml:space="preserve">sur </w:t>
      </w:r>
      <w:r w:rsidR="00DA2593" w:rsidRPr="00AE5689">
        <w:t xml:space="preserve">la valeur économique </w:t>
      </w:r>
      <w:r w:rsidR="00FE146F" w:rsidRPr="00AE5689">
        <w:t xml:space="preserve">des fonds propres </w:t>
      </w:r>
      <w:r w:rsidR="00DA2593" w:rsidRPr="00AE5689">
        <w:t xml:space="preserve">de l’établissement, </w:t>
      </w:r>
      <w:r w:rsidR="00463A1C" w:rsidRPr="00AE5689">
        <w:t>en tenant compte uniquement des activités autres que de négociation</w:t>
      </w:r>
      <w:r w:rsidR="00DC6FB0" w:rsidRPr="00AE5689">
        <w:t xml:space="preserve"> (sauf cas particulier de petites activités de portefeuille), y compris les actifs des obligations de pension et fonds de pension (sauf en cas de traitement du risque de taux global dans un cadre spécifique)</w:t>
      </w:r>
      <w:r w:rsidR="00A90C30">
        <w:t>,</w:t>
      </w:r>
      <w:r w:rsidR="00463A1C" w:rsidRPr="00234078">
        <w:t xml:space="preserve"> </w:t>
      </w:r>
    </w:p>
    <w:p w14:paraId="0B18A91C" w14:textId="6407DA58" w:rsidR="00E32AD6" w:rsidRPr="00A90C30" w:rsidRDefault="00E32AD6">
      <w:pPr>
        <w:pStyle w:val="SGACP-enumerationniveau1"/>
        <w:numPr>
          <w:ilvl w:val="1"/>
          <w:numId w:val="3"/>
        </w:numPr>
      </w:pPr>
      <w:r w:rsidRPr="00A90C30">
        <w:t>E</w:t>
      </w:r>
      <w:r w:rsidR="00994382" w:rsidRPr="00A90C30">
        <w:t>xclu</w:t>
      </w:r>
      <w:r w:rsidRPr="00A90C30">
        <w:t>sion</w:t>
      </w:r>
      <w:r w:rsidR="00994382" w:rsidRPr="00A90C30">
        <w:t xml:space="preserve"> </w:t>
      </w:r>
      <w:r w:rsidRPr="00A90C30">
        <w:t>d</w:t>
      </w:r>
      <w:r w:rsidR="00581A96" w:rsidRPr="00A90C30">
        <w:t xml:space="preserve">es fonds propres des éléments du passif </w:t>
      </w:r>
      <w:r w:rsidR="00DC6FB0" w:rsidRPr="00A90C30">
        <w:t xml:space="preserve">(instruments CET1 et autres fonds propres permanents sans date d’appel) </w:t>
      </w:r>
      <w:r w:rsidR="00581A96" w:rsidRPr="00A90C30">
        <w:t>et</w:t>
      </w:r>
      <w:r w:rsidR="00994382" w:rsidRPr="00A90C30">
        <w:t xml:space="preserve"> en </w:t>
      </w:r>
      <w:r w:rsidR="00294FD8">
        <w:t xml:space="preserve">appliquant un </w:t>
      </w:r>
      <w:r w:rsidRPr="00A90C30">
        <w:t>plafond</w:t>
      </w:r>
      <w:r w:rsidR="00581A96" w:rsidRPr="00A90C30">
        <w:t xml:space="preserve"> </w:t>
      </w:r>
      <w:r w:rsidR="00294FD8">
        <w:t>à</w:t>
      </w:r>
      <w:r w:rsidR="00294FD8" w:rsidRPr="00A90C30">
        <w:t xml:space="preserve"> </w:t>
      </w:r>
      <w:r w:rsidR="00581A96" w:rsidRPr="00A90C30">
        <w:t xml:space="preserve">la </w:t>
      </w:r>
      <w:r w:rsidR="00F22CC1" w:rsidRPr="00A90C30">
        <w:t xml:space="preserve">date de révision moyenne </w:t>
      </w:r>
      <w:r w:rsidR="00F22CC1" w:rsidRPr="00234078">
        <w:t xml:space="preserve">des taux </w:t>
      </w:r>
      <w:r w:rsidR="00294FD8">
        <w:t>d</w:t>
      </w:r>
      <w:r w:rsidR="00F22CC1" w:rsidRPr="00A90C30">
        <w:t xml:space="preserve">es </w:t>
      </w:r>
      <w:r w:rsidR="00581A96" w:rsidRPr="00A90C30">
        <w:t>dépôts à vue</w:t>
      </w:r>
      <w:r w:rsidR="00294FD8">
        <w:t>,</w:t>
      </w:r>
      <w:r w:rsidR="00581A96" w:rsidRPr="00A90C30">
        <w:t xml:space="preserve"> à 5 ans</w:t>
      </w:r>
      <w:r w:rsidR="00AE5689">
        <w:rPr>
          <w:rStyle w:val="Appelnotedebasdep"/>
        </w:rPr>
        <w:footnoteReference w:id="10"/>
      </w:r>
      <w:r w:rsidR="00A90C30">
        <w:t>,</w:t>
      </w:r>
      <w:r w:rsidRPr="00A90C30">
        <w:t xml:space="preserve"> </w:t>
      </w:r>
    </w:p>
    <w:p w14:paraId="509DAC86" w14:textId="644872AE" w:rsidR="00DC6FB0" w:rsidRPr="00A90C30" w:rsidRDefault="00E32AD6">
      <w:pPr>
        <w:pStyle w:val="SGACP-enumerationniveau1"/>
        <w:numPr>
          <w:ilvl w:val="1"/>
          <w:numId w:val="3"/>
        </w:numPr>
      </w:pPr>
      <w:r w:rsidRPr="00A85C3C">
        <w:t>S</w:t>
      </w:r>
      <w:r w:rsidR="00A561D8" w:rsidRPr="00A90C30">
        <w:t xml:space="preserve">e référer au paragraphe 115 des </w:t>
      </w:r>
      <w:r w:rsidR="000001E8">
        <w:t>O</w:t>
      </w:r>
      <w:r w:rsidR="00A561D8" w:rsidRPr="00A90C30">
        <w:t xml:space="preserve">rientations ABE pour la liste exhaustive des hypothèses de calcul de la </w:t>
      </w:r>
      <w:r w:rsidR="00676303" w:rsidRPr="00A90C30">
        <w:t>v</w:t>
      </w:r>
      <w:r w:rsidR="00A561D8" w:rsidRPr="00A90C30">
        <w:t>aleur économique des fonds propres pour le « Supervisory outlier test</w:t>
      </w:r>
      <w:r w:rsidR="009531B4">
        <w:t> »</w:t>
      </w:r>
      <w:r w:rsidR="003D6753" w:rsidRPr="00A90C30">
        <w:t> ;</w:t>
      </w:r>
    </w:p>
    <w:p w14:paraId="4BF07F80" w14:textId="33DF81DE" w:rsidR="002312BD" w:rsidRDefault="003D6753" w:rsidP="00A85C3C">
      <w:pPr>
        <w:pStyle w:val="SGACP-enumerationniveau1"/>
        <w:spacing w:before="60"/>
        <w:ind w:left="284" w:hanging="284"/>
        <w:rPr>
          <w:iCs/>
        </w:rPr>
      </w:pPr>
      <w:r>
        <w:rPr>
          <w:iCs/>
        </w:rPr>
        <w:t>p</w:t>
      </w:r>
      <w:r w:rsidR="00DC6FB0">
        <w:rPr>
          <w:iCs/>
        </w:rPr>
        <w:t>résentation des résultats du</w:t>
      </w:r>
      <w:r w:rsidR="00DC6FB0" w:rsidRPr="00DC6FB0">
        <w:rPr>
          <w:iCs/>
        </w:rPr>
        <w:t xml:space="preserve"> « </w:t>
      </w:r>
      <w:r w:rsidR="00DC6FB0" w:rsidRPr="00D1728C">
        <w:rPr>
          <w:i/>
          <w:iCs/>
        </w:rPr>
        <w:t>Supervisory outlier test</w:t>
      </w:r>
      <w:r w:rsidR="009531B4">
        <w:rPr>
          <w:i/>
          <w:iCs/>
        </w:rPr>
        <w:t xml:space="preserve"> </w:t>
      </w:r>
      <w:r w:rsidR="00DC6FB0" w:rsidRPr="00DC6FB0">
        <w:rPr>
          <w:iCs/>
        </w:rPr>
        <w:t>»</w:t>
      </w:r>
      <w:r w:rsidR="00581A96" w:rsidRPr="00DC6FB0">
        <w:rPr>
          <w:iCs/>
        </w:rPr>
        <w:t xml:space="preserve"> </w:t>
      </w:r>
      <w:r w:rsidR="00DC6FB0">
        <w:rPr>
          <w:iCs/>
        </w:rPr>
        <w:t>selon le choc uniforme +/-200</w:t>
      </w:r>
      <w:r w:rsidR="00676303">
        <w:rPr>
          <w:iCs/>
        </w:rPr>
        <w:t xml:space="preserve"> </w:t>
      </w:r>
      <w:r w:rsidR="00DC6FB0">
        <w:rPr>
          <w:iCs/>
        </w:rPr>
        <w:t>bp rapportés à 20% d</w:t>
      </w:r>
      <w:r w:rsidR="00726098">
        <w:rPr>
          <w:iCs/>
        </w:rPr>
        <w:t>u total d</w:t>
      </w:r>
      <w:r w:rsidR="00DC6FB0">
        <w:rPr>
          <w:iCs/>
        </w:rPr>
        <w:t>es fonds propres de l’établissement</w:t>
      </w:r>
      <w:r>
        <w:rPr>
          <w:iCs/>
        </w:rPr>
        <w:t> ;</w:t>
      </w:r>
    </w:p>
    <w:p w14:paraId="64581DC6" w14:textId="03EADADE" w:rsidR="00DC6FB0" w:rsidRDefault="003D6753" w:rsidP="00DC6FB0">
      <w:pPr>
        <w:pStyle w:val="SGACP-enumerationniveau1"/>
        <w:spacing w:before="60"/>
        <w:ind w:left="284" w:hanging="284"/>
        <w:rPr>
          <w:iCs/>
        </w:rPr>
      </w:pPr>
      <w:r>
        <w:rPr>
          <w:iCs/>
        </w:rPr>
        <w:t>p</w:t>
      </w:r>
      <w:r w:rsidR="00DC6FB0">
        <w:rPr>
          <w:iCs/>
        </w:rPr>
        <w:t>résentation des résultats du</w:t>
      </w:r>
      <w:r w:rsidR="00DC6FB0" w:rsidRPr="00DC6FB0">
        <w:rPr>
          <w:iCs/>
        </w:rPr>
        <w:t xml:space="preserve"> « </w:t>
      </w:r>
      <w:r w:rsidR="00DC6FB0" w:rsidRPr="00D1728C">
        <w:rPr>
          <w:i/>
          <w:iCs/>
        </w:rPr>
        <w:t>Supervisory outlier test</w:t>
      </w:r>
      <w:r w:rsidR="00DC6FB0" w:rsidRPr="00DC6FB0">
        <w:rPr>
          <w:iCs/>
        </w:rPr>
        <w:t xml:space="preserve">» </w:t>
      </w:r>
      <w:r w:rsidR="00DC6FB0">
        <w:rPr>
          <w:iCs/>
        </w:rPr>
        <w:t xml:space="preserve">selon les 6 chocs différenciés </w:t>
      </w:r>
      <w:r w:rsidR="00726098">
        <w:rPr>
          <w:iCs/>
        </w:rPr>
        <w:t>détaillés e</w:t>
      </w:r>
      <w:r w:rsidR="00E63469">
        <w:rPr>
          <w:iCs/>
        </w:rPr>
        <w:t>n</w:t>
      </w:r>
      <w:r w:rsidR="00726098">
        <w:rPr>
          <w:iCs/>
        </w:rPr>
        <w:t xml:space="preserve"> annexe III des </w:t>
      </w:r>
      <w:r w:rsidR="000001E8">
        <w:rPr>
          <w:iCs/>
        </w:rPr>
        <w:t>O</w:t>
      </w:r>
      <w:r w:rsidR="00726098">
        <w:rPr>
          <w:iCs/>
        </w:rPr>
        <w:t xml:space="preserve">rientations ABE </w:t>
      </w:r>
      <w:r w:rsidR="00DC6FB0">
        <w:rPr>
          <w:iCs/>
        </w:rPr>
        <w:t>par devises rapportés à 15% des fonds propres de base (TIER 1) de l’établissement</w:t>
      </w:r>
      <w:r>
        <w:rPr>
          <w:iCs/>
        </w:rPr>
        <w:t> ;</w:t>
      </w:r>
    </w:p>
    <w:p w14:paraId="51AE90D0" w14:textId="77777777" w:rsidR="00A90C30" w:rsidRPr="00A46A69" w:rsidRDefault="00A90C30" w:rsidP="00A85C3C">
      <w:pPr>
        <w:pStyle w:val="SGACP-enumerationniveau1"/>
        <w:spacing w:before="60"/>
        <w:ind w:left="284" w:hanging="284"/>
        <w:rPr>
          <w:i/>
        </w:rPr>
      </w:pPr>
      <w:r>
        <w:rPr>
          <w:iCs/>
        </w:rPr>
        <w:t xml:space="preserve">présentation des </w:t>
      </w:r>
      <w:r w:rsidRPr="000F0DE6">
        <w:rPr>
          <w:iCs/>
        </w:rPr>
        <w:t xml:space="preserve">résultats des </w:t>
      </w:r>
      <w:r w:rsidRPr="007F2900">
        <w:t xml:space="preserve">indicateurs de mesure de risque de taux </w:t>
      </w:r>
      <w:r w:rsidRPr="005E330A">
        <w:t xml:space="preserve">d’intérêt global </w:t>
      </w:r>
      <w:r w:rsidRPr="007F2900">
        <w:t>utilisés par l</w:t>
      </w:r>
      <w:r>
        <w:t>’</w:t>
      </w:r>
      <w:r w:rsidRPr="007F2900">
        <w:t>établissement</w:t>
      </w:r>
      <w:r>
        <w:t xml:space="preserve"> : </w:t>
      </w:r>
    </w:p>
    <w:p w14:paraId="302C91D7" w14:textId="5D294D24" w:rsidR="00A90C30" w:rsidRDefault="00A90C30">
      <w:pPr>
        <w:pStyle w:val="SGACP-enumerationniveau1"/>
        <w:numPr>
          <w:ilvl w:val="1"/>
          <w:numId w:val="3"/>
        </w:numPr>
        <w:rPr>
          <w:i/>
        </w:rPr>
      </w:pPr>
      <w:r w:rsidRPr="001D505C">
        <w:rPr>
          <w:i/>
        </w:rPr>
        <w:t xml:space="preserve">préciser le niveau des gaps statiques ou dynamiques, les résultats des calculs de sensibilité des revenus, des calculs de valeur </w:t>
      </w:r>
      <w:r w:rsidRPr="00A90C30">
        <w:rPr>
          <w:i/>
        </w:rPr>
        <w:t>actualisée nette et des stress scenarii</w:t>
      </w:r>
      <w:r w:rsidRPr="00A85C3C">
        <w:rPr>
          <w:i/>
        </w:rPr>
        <w:t xml:space="preserve">, </w:t>
      </w:r>
    </w:p>
    <w:p w14:paraId="0936195E" w14:textId="6262C729" w:rsidR="00A90C30" w:rsidRPr="00A90C30" w:rsidRDefault="00A90C30">
      <w:pPr>
        <w:pStyle w:val="SGACP-enumerationniveau1"/>
        <w:numPr>
          <w:ilvl w:val="1"/>
          <w:numId w:val="3"/>
        </w:numPr>
        <w:rPr>
          <w:i/>
        </w:rPr>
      </w:pPr>
      <w:r w:rsidRPr="00A85C3C">
        <w:rPr>
          <w:i/>
        </w:rPr>
        <w:t>pour le</w:t>
      </w:r>
      <w:r w:rsidR="007051F8" w:rsidRPr="00A85C3C">
        <w:rPr>
          <w:i/>
        </w:rPr>
        <w:t xml:space="preserve"> calcul de la </w:t>
      </w:r>
      <w:r w:rsidR="00676303" w:rsidRPr="00A85C3C">
        <w:rPr>
          <w:i/>
        </w:rPr>
        <w:t>v</w:t>
      </w:r>
      <w:r w:rsidR="007051F8" w:rsidRPr="00A85C3C">
        <w:rPr>
          <w:i/>
        </w:rPr>
        <w:t xml:space="preserve">aleur </w:t>
      </w:r>
      <w:r w:rsidR="00676303" w:rsidRPr="00A85C3C">
        <w:rPr>
          <w:i/>
        </w:rPr>
        <w:t>é</w:t>
      </w:r>
      <w:r w:rsidR="007051F8" w:rsidRPr="00A85C3C">
        <w:rPr>
          <w:i/>
        </w:rPr>
        <w:t>conomique</w:t>
      </w:r>
      <w:r w:rsidRPr="00A85C3C">
        <w:rPr>
          <w:i/>
        </w:rPr>
        <w:t xml:space="preserve"> j</w:t>
      </w:r>
      <w:r w:rsidR="00581A96" w:rsidRPr="00A85C3C">
        <w:rPr>
          <w:i/>
        </w:rPr>
        <w:t xml:space="preserve">ustification des éventuelles différences avec les hypothèses normalisées décrites </w:t>
      </w:r>
      <w:r w:rsidRPr="00A85C3C">
        <w:rPr>
          <w:i/>
        </w:rPr>
        <w:t>dans le cadre du « Supervisory outlier test»</w:t>
      </w:r>
      <w:r w:rsidRPr="00A90C30">
        <w:rPr>
          <w:i/>
        </w:rPr>
        <w:t>,</w:t>
      </w:r>
    </w:p>
    <w:p w14:paraId="482DF0F9" w14:textId="3333805F" w:rsidR="00FA711C" w:rsidRPr="00A46A69" w:rsidRDefault="00A90C30" w:rsidP="00726098">
      <w:pPr>
        <w:pStyle w:val="SGACP-enumerationniveau1"/>
        <w:numPr>
          <w:ilvl w:val="1"/>
          <w:numId w:val="3"/>
        </w:numPr>
        <w:rPr>
          <w:i/>
        </w:rPr>
      </w:pPr>
      <w:r>
        <w:rPr>
          <w:i/>
        </w:rPr>
        <w:t>pour le</w:t>
      </w:r>
      <w:r w:rsidRPr="00A85C3C">
        <w:rPr>
          <w:i/>
        </w:rPr>
        <w:t xml:space="preserve"> calcul de la mesure de revenus, selon les hypothèses retenues par l’établissement pour sa gestion interne du risque de taux d’intérêt global</w:t>
      </w:r>
      <w:r>
        <w:rPr>
          <w:i/>
        </w:rPr>
        <w:t xml:space="preserve">, </w:t>
      </w:r>
      <w:r w:rsidRPr="00A85C3C">
        <w:rPr>
          <w:i/>
        </w:rPr>
        <w:t xml:space="preserve"> base de projections entre un et cinq ans, utilisant a minima </w:t>
      </w:r>
      <w:r w:rsidR="00726098" w:rsidRPr="00726098">
        <w:rPr>
          <w:i/>
        </w:rPr>
        <w:t>un scénario de base et un scénario plus défavorable</w:t>
      </w:r>
      <w:r w:rsidR="00726098">
        <w:rPr>
          <w:i/>
        </w:rPr>
        <w:t xml:space="preserve"> tel qu’indiqué au paragraphe 15 des Orientations de l’ABE</w:t>
      </w:r>
      <w:r w:rsidRPr="00A85C3C">
        <w:rPr>
          <w:i/>
        </w:rPr>
        <w:t xml:space="preserve"> (se référer </w:t>
      </w:r>
      <w:r w:rsidR="00DB70B1">
        <w:rPr>
          <w:i/>
        </w:rPr>
        <w:t xml:space="preserve">également </w:t>
      </w:r>
      <w:r w:rsidRPr="00A85C3C">
        <w:rPr>
          <w:i/>
        </w:rPr>
        <w:t xml:space="preserve">à la matrice de sophistication de l’annexe II des </w:t>
      </w:r>
      <w:r w:rsidR="000001E8">
        <w:rPr>
          <w:i/>
        </w:rPr>
        <w:t>O</w:t>
      </w:r>
      <w:r w:rsidRPr="00A85C3C">
        <w:rPr>
          <w:i/>
        </w:rPr>
        <w:t>rientations ABE). Présentation des hypothèses retenues</w:t>
      </w:r>
      <w:r>
        <w:rPr>
          <w:i/>
        </w:rPr>
        <w:t>.</w:t>
      </w:r>
    </w:p>
    <w:p w14:paraId="6E2D17C8" w14:textId="685E4229" w:rsidR="00D7076D" w:rsidRDefault="00463A1C" w:rsidP="00210431">
      <w:pPr>
        <w:pStyle w:val="SGACP-enumerationniveau1"/>
        <w:numPr>
          <w:ilvl w:val="0"/>
          <w:numId w:val="0"/>
        </w:numPr>
        <w:spacing w:before="60"/>
        <w:rPr>
          <w:iCs/>
        </w:rPr>
      </w:pPr>
      <w:r w:rsidRPr="007F2900">
        <w:t>L</w:t>
      </w:r>
      <w:r w:rsidR="001224E7">
        <w:t>’</w:t>
      </w:r>
      <w:r w:rsidRPr="007F2900">
        <w:t>annexe</w:t>
      </w:r>
      <w:r w:rsidR="00E61E94">
        <w:t> </w:t>
      </w:r>
      <w:r w:rsidRPr="007F2900">
        <w:t>1 au présent document décrit, à titre d</w:t>
      </w:r>
      <w:r w:rsidR="001224E7">
        <w:t>’</w:t>
      </w:r>
      <w:r w:rsidRPr="007F2900">
        <w:t>exemple, pour les établissements qui ne disposeraient</w:t>
      </w:r>
      <w:r w:rsidR="00DE0FD5">
        <w:t xml:space="preserve"> pas</w:t>
      </w:r>
      <w:r w:rsidRPr="007F2900">
        <w:t xml:space="preserve"> de méthodologie propre, les méthodes susceptibles d</w:t>
      </w:r>
      <w:r w:rsidR="001224E7">
        <w:t>’</w:t>
      </w:r>
      <w:r w:rsidRPr="007F2900">
        <w:t>être utilisées pour c</w:t>
      </w:r>
      <w:r w:rsidRPr="002312BD">
        <w:rPr>
          <w:iCs/>
        </w:rPr>
        <w:t>alculer les résulta</w:t>
      </w:r>
      <w:r w:rsidR="004F2CE1" w:rsidRPr="002312BD">
        <w:rPr>
          <w:iCs/>
        </w:rPr>
        <w:t>ts d</w:t>
      </w:r>
      <w:r w:rsidR="001224E7" w:rsidRPr="002312BD">
        <w:rPr>
          <w:iCs/>
        </w:rPr>
        <w:t>’</w:t>
      </w:r>
      <w:r w:rsidR="004F2CE1" w:rsidRPr="002312BD">
        <w:rPr>
          <w:iCs/>
        </w:rPr>
        <w:t xml:space="preserve">un choc uniforme de </w:t>
      </w:r>
      <w:r w:rsidR="00DB70B1">
        <w:rPr>
          <w:iCs/>
        </w:rPr>
        <w:t>+/-</w:t>
      </w:r>
      <w:r w:rsidR="004F2CE1" w:rsidRPr="002312BD">
        <w:rPr>
          <w:iCs/>
        </w:rPr>
        <w:t>200</w:t>
      </w:r>
      <w:r w:rsidR="000F0DE6" w:rsidRPr="002312BD">
        <w:rPr>
          <w:iCs/>
        </w:rPr>
        <w:t> bp</w:t>
      </w:r>
      <w:r w:rsidR="00A90C30">
        <w:rPr>
          <w:iCs/>
        </w:rPr>
        <w:t>s</w:t>
      </w:r>
      <w:r w:rsidR="00DA2593" w:rsidRPr="002312BD">
        <w:rPr>
          <w:iCs/>
        </w:rPr>
        <w:t>.</w:t>
      </w:r>
      <w:r w:rsidR="000F0DE6" w:rsidRPr="00581A96">
        <w:rPr>
          <w:iCs/>
        </w:rPr>
        <w:t> </w:t>
      </w:r>
      <w:r w:rsidR="00DA2593" w:rsidRPr="00581A96">
        <w:rPr>
          <w:iCs/>
        </w:rPr>
        <w:t xml:space="preserve">L’impact du choc sur la valeur économique </w:t>
      </w:r>
      <w:r w:rsidR="009C4CD8">
        <w:rPr>
          <w:iCs/>
        </w:rPr>
        <w:t xml:space="preserve">des fonds propres </w:t>
      </w:r>
      <w:r w:rsidR="00DA2593" w:rsidRPr="00581A96">
        <w:rPr>
          <w:iCs/>
        </w:rPr>
        <w:t>est rapporté au niveau de fonds propres règlementaires de l’établissement ;</w:t>
      </w:r>
    </w:p>
    <w:p w14:paraId="52F65176" w14:textId="437E3AF9" w:rsidR="00DA2593" w:rsidRDefault="00DA2593" w:rsidP="00DA2593">
      <w:pPr>
        <w:pStyle w:val="SGACP-enumerationniveau1"/>
        <w:spacing w:before="60"/>
        <w:ind w:left="284" w:hanging="284"/>
        <w:rPr>
          <w:iCs/>
        </w:rPr>
      </w:pPr>
      <w:r>
        <w:rPr>
          <w:iCs/>
        </w:rPr>
        <w:t xml:space="preserve">sensibilité des résultats du choc à une modification des hypothèses retenues </w:t>
      </w:r>
      <w:r w:rsidRPr="00210431">
        <w:rPr>
          <w:i/>
          <w:iCs/>
        </w:rPr>
        <w:t xml:space="preserve">(préciser l’impact </w:t>
      </w:r>
      <w:r w:rsidR="009C4CD8">
        <w:rPr>
          <w:i/>
          <w:iCs/>
        </w:rPr>
        <w:t>des différents</w:t>
      </w:r>
      <w:r w:rsidRPr="00210431">
        <w:rPr>
          <w:i/>
          <w:iCs/>
        </w:rPr>
        <w:t xml:space="preserve"> mouvement</w:t>
      </w:r>
      <w:r w:rsidR="009C4CD8">
        <w:rPr>
          <w:i/>
          <w:iCs/>
        </w:rPr>
        <w:t xml:space="preserve">s, parallèles et </w:t>
      </w:r>
      <w:r w:rsidRPr="00210431">
        <w:rPr>
          <w:i/>
          <w:iCs/>
        </w:rPr>
        <w:t xml:space="preserve"> non-parallèle</w:t>
      </w:r>
      <w:r w:rsidR="009C4CD8">
        <w:rPr>
          <w:i/>
          <w:iCs/>
        </w:rPr>
        <w:t>s,</w:t>
      </w:r>
      <w:r w:rsidRPr="00210431">
        <w:rPr>
          <w:i/>
          <w:iCs/>
        </w:rPr>
        <w:t xml:space="preserve"> de la courbe des taux, des décalages entre références de taux (risque de base) et d’une modification des hypothèses et conventions d’écoulement retenues)</w:t>
      </w:r>
      <w:r>
        <w:rPr>
          <w:iCs/>
        </w:rPr>
        <w:t xml:space="preserve"> ; </w:t>
      </w:r>
    </w:p>
    <w:p w14:paraId="4E9FF4CE" w14:textId="77777777" w:rsidR="004B0BE5" w:rsidRDefault="00DA2593" w:rsidP="00256294">
      <w:pPr>
        <w:pStyle w:val="SGACP-enumerationniveau1"/>
        <w:spacing w:before="60"/>
        <w:ind w:left="284" w:hanging="284"/>
        <w:rPr>
          <w:iCs/>
        </w:rPr>
      </w:pPr>
      <w:r>
        <w:rPr>
          <w:iCs/>
        </w:rPr>
        <w:t xml:space="preserve">présentation du capital </w:t>
      </w:r>
      <w:r w:rsidR="00E76AEA">
        <w:rPr>
          <w:iCs/>
        </w:rPr>
        <w:t xml:space="preserve">interne </w:t>
      </w:r>
      <w:r>
        <w:rPr>
          <w:iCs/>
        </w:rPr>
        <w:t xml:space="preserve">alloué au regard du risque de taux d’intérêt </w:t>
      </w:r>
      <w:r w:rsidR="005E330A">
        <w:t>global</w:t>
      </w:r>
      <w:r w:rsidR="005E330A" w:rsidRPr="007F2900">
        <w:t xml:space="preserve"> </w:t>
      </w:r>
      <w:r>
        <w:rPr>
          <w:iCs/>
        </w:rPr>
        <w:t xml:space="preserve">encouru par </w:t>
      </w:r>
      <w:r w:rsidR="00C17657">
        <w:rPr>
          <w:iCs/>
        </w:rPr>
        <w:t>l’établissement</w:t>
      </w:r>
      <w:r w:rsidR="009C4CD8">
        <w:rPr>
          <w:iCs/>
        </w:rPr>
        <w:t xml:space="preserve"> et de la méthodologie d’allocation choisie</w:t>
      </w:r>
      <w:r w:rsidR="00B24D1A">
        <w:rPr>
          <w:iCs/>
        </w:rPr>
        <w:t xml:space="preserve"> ; </w:t>
      </w:r>
    </w:p>
    <w:p w14:paraId="697F73FA" w14:textId="77777777" w:rsidR="00622E90" w:rsidRDefault="004B0BE5" w:rsidP="00256294">
      <w:pPr>
        <w:pStyle w:val="SGACP-enumerationniveau1"/>
        <w:spacing w:before="60"/>
        <w:ind w:left="284" w:hanging="284"/>
        <w:rPr>
          <w:iCs/>
        </w:rPr>
      </w:pPr>
      <w:r>
        <w:rPr>
          <w:iCs/>
        </w:rPr>
        <w:t>p</w:t>
      </w:r>
      <w:r w:rsidR="00A448B9">
        <w:rPr>
          <w:iCs/>
        </w:rPr>
        <w:t>résentation de</w:t>
      </w:r>
      <w:r w:rsidR="00B24D1A">
        <w:rPr>
          <w:iCs/>
        </w:rPr>
        <w:t>s</w:t>
      </w:r>
      <w:r w:rsidR="00A448B9">
        <w:rPr>
          <w:iCs/>
        </w:rPr>
        <w:t xml:space="preserve"> scénarios de taux alternatifs utilisés par l’établissement (par exemple, des scénarios d’aplatissement, de pentification, d’inversion, de choc sur les taux courts, etc.)</w:t>
      </w:r>
      <w:r w:rsidR="00B24D1A">
        <w:rPr>
          <w:iCs/>
        </w:rPr>
        <w:t xml:space="preserve"> et des résultats sur la valeur économique et les revenus</w:t>
      </w:r>
      <w:r w:rsidR="00D7076D">
        <w:rPr>
          <w:iCs/>
        </w:rPr>
        <w:t>.</w:t>
      </w:r>
      <w:r w:rsidR="00B24D1A">
        <w:rPr>
          <w:iCs/>
        </w:rPr>
        <w:t xml:space="preserve"> </w:t>
      </w:r>
    </w:p>
    <w:p w14:paraId="2FDDADB4" w14:textId="77777777" w:rsidR="003B7357" w:rsidRPr="00440703" w:rsidRDefault="003B7357" w:rsidP="00463A1C">
      <w:bookmarkStart w:id="169" w:name="_Toc244576470"/>
      <w:bookmarkStart w:id="170" w:name="_Toc266799832"/>
    </w:p>
    <w:p w14:paraId="665DA20A" w14:textId="77777777" w:rsidR="00B23710" w:rsidRPr="007F2900" w:rsidRDefault="008F3AF1" w:rsidP="00B23710">
      <w:pPr>
        <w:pStyle w:val="SGACP-sous-titrederubriquenivaeu2"/>
      </w:pPr>
      <w:r>
        <w:t>13</w:t>
      </w:r>
      <w:r w:rsidR="00DC0250">
        <w:t>.2.</w:t>
      </w:r>
      <w:r w:rsidR="00DC0250">
        <w:tab/>
      </w:r>
      <w:r w:rsidR="00463A1C" w:rsidRPr="007F2900">
        <w:t>Dispositif de surveillance du risque de taux</w:t>
      </w:r>
      <w:bookmarkEnd w:id="169"/>
      <w:bookmarkEnd w:id="170"/>
      <w:r w:rsidR="004F2CE1">
        <w:t> </w:t>
      </w:r>
      <w:r w:rsidR="005E330A">
        <w:t>d’intérêt global</w:t>
      </w:r>
      <w:r w:rsidR="00965B51">
        <w:t xml:space="preserve"> </w:t>
      </w:r>
      <w:r w:rsidR="004F2CE1">
        <w:t>:</w:t>
      </w:r>
    </w:p>
    <w:p w14:paraId="311E36B2" w14:textId="00204EC9" w:rsidR="00B23710" w:rsidRDefault="006C443B" w:rsidP="00B23710">
      <w:pPr>
        <w:pStyle w:val="SGACP-enumerationniveau1"/>
        <w:ind w:left="284" w:hanging="284"/>
      </w:pPr>
      <w:r>
        <w:t xml:space="preserve">pour l’approche par les </w:t>
      </w:r>
      <w:r w:rsidR="00874628">
        <w:t>revenu</w:t>
      </w:r>
      <w:r>
        <w:t xml:space="preserve">s et l’approche par la valeur économique, </w:t>
      </w:r>
      <w:r w:rsidR="004F2CE1">
        <w:t>d</w:t>
      </w:r>
      <w:r w:rsidR="00463A1C" w:rsidRPr="007F2900">
        <w:t>escription synthétique des limites fixées en matière de risque de taux</w:t>
      </w:r>
      <w:r w:rsidR="005E330A" w:rsidRPr="005E330A">
        <w:t xml:space="preserve"> d’intérêt global</w:t>
      </w:r>
      <w:r w:rsidR="00463A1C" w:rsidRPr="007F2900">
        <w:t xml:space="preserve"> </w:t>
      </w:r>
      <w:r w:rsidR="00463A1C" w:rsidRPr="00210431">
        <w:rPr>
          <w:i/>
        </w:rPr>
        <w:t>(indiquer la nature et le niveau des limites mises en place, par exemple en termes de gap, de sensibilité par rapport aux résultats ou aux fonds propres, indiquer la date à laquelle la révision des limites est intervenue au cours du dernier exercice, préciser la procédure de suivi des dépassements)</w:t>
      </w:r>
      <w:r w:rsidR="00E77850">
        <w:t> ;</w:t>
      </w:r>
    </w:p>
    <w:p w14:paraId="6F251511" w14:textId="77777777" w:rsidR="00767D78" w:rsidRPr="004B0BE5" w:rsidRDefault="00E77850" w:rsidP="00EE5F57">
      <w:pPr>
        <w:pStyle w:val="SGACP-enumerationniveau1"/>
        <w:ind w:left="284" w:hanging="284"/>
      </w:pPr>
      <w:r>
        <w:t>d</w:t>
      </w:r>
      <w:r w:rsidR="00463A1C" w:rsidRPr="007F2900">
        <w:t xml:space="preserve">escription synthétique des reportings utilisés pour la gestion du risque de taux </w:t>
      </w:r>
      <w:r w:rsidR="005E330A" w:rsidRPr="005E330A">
        <w:t xml:space="preserve">d’intérêt global </w:t>
      </w:r>
      <w:r w:rsidR="00463A1C" w:rsidRPr="00DC0250">
        <w:rPr>
          <w:i/>
          <w:iCs/>
        </w:rPr>
        <w:t>(préciser notamment la périodicité et les destinataires des reportings)</w:t>
      </w:r>
      <w:r w:rsidR="00767D78">
        <w:rPr>
          <w:i/>
          <w:iCs/>
        </w:rPr>
        <w:t> </w:t>
      </w:r>
      <w:r w:rsidR="00767D78" w:rsidRPr="00935917">
        <w:rPr>
          <w:iCs/>
        </w:rPr>
        <w:t>;</w:t>
      </w:r>
    </w:p>
    <w:p w14:paraId="7CA6152C" w14:textId="04EC7197" w:rsidR="00331B88" w:rsidRDefault="00E914A0" w:rsidP="008A3679">
      <w:pPr>
        <w:pStyle w:val="SGACP-enumerationniveau1"/>
        <w:ind w:left="284" w:hanging="284"/>
      </w:pPr>
      <w:r>
        <w:t>rôles des dirigeants effectifs, de l’organe de surveillance et le cas échéant du comité des risques dans la définition de la stratégie globale en matière de risque</w:t>
      </w:r>
      <w:r w:rsidR="00115C0E">
        <w:t xml:space="preserve"> de taux d’intérêt global</w:t>
      </w:r>
      <w:r>
        <w:t xml:space="preserve"> et de l’appétence pour le</w:t>
      </w:r>
      <w:r w:rsidR="00572BA8">
        <w:t>s</w:t>
      </w:r>
      <w:r>
        <w:t xml:space="preserve"> risque</w:t>
      </w:r>
      <w:r w:rsidR="00572BA8">
        <w:t>s</w:t>
      </w:r>
      <w:r w:rsidR="00115C0E">
        <w:t xml:space="preserve"> de taux</w:t>
      </w:r>
      <w:r>
        <w:t xml:space="preserve"> actuels et futurs de l’établissement (</w:t>
      </w:r>
      <w:r w:rsidR="00156279">
        <w:t xml:space="preserve">cf. </w:t>
      </w:r>
      <w:r>
        <w:t>articles L.511-92 et L.511-93 du Code monétaire et financier)</w:t>
      </w:r>
      <w:r w:rsidR="00572BA8">
        <w:t>, et dans la fixation des limites (cf. article 224 de l’arrêté du 3 novembre 2014</w:t>
      </w:r>
      <w:r w:rsidR="00154A06">
        <w:t xml:space="preserve"> modifié</w:t>
      </w:r>
      <w:r w:rsidR="00572BA8">
        <w:t>)</w:t>
      </w:r>
      <w:r w:rsidR="00BA07CA">
        <w:rPr>
          <w:i/>
          <w:iCs/>
        </w:rPr>
        <w:t>.</w:t>
      </w:r>
    </w:p>
    <w:p w14:paraId="0A873DB0" w14:textId="77777777" w:rsidR="00CE522C" w:rsidRPr="00440703" w:rsidRDefault="00CE522C" w:rsidP="00463A1C">
      <w:bookmarkStart w:id="171" w:name="_Toc244576471"/>
      <w:bookmarkStart w:id="172" w:name="_Toc266799833"/>
    </w:p>
    <w:p w14:paraId="0156306E" w14:textId="77777777" w:rsidR="00463A1C" w:rsidRPr="007F2900" w:rsidRDefault="008F3AF1" w:rsidP="00DC0250">
      <w:pPr>
        <w:pStyle w:val="SGACP-sous-titrederubriquenivaeu2"/>
      </w:pPr>
      <w:r>
        <w:t>13</w:t>
      </w:r>
      <w:r w:rsidR="00DC0250">
        <w:t>.3.</w:t>
      </w:r>
      <w:r w:rsidR="00DC0250">
        <w:tab/>
      </w:r>
      <w:r w:rsidR="00463A1C" w:rsidRPr="007F2900">
        <w:t>Dispositif de contrôle permanent de la gestion du risque de taux</w:t>
      </w:r>
      <w:bookmarkEnd w:id="171"/>
      <w:bookmarkEnd w:id="172"/>
      <w:r w:rsidR="00BA07CA">
        <w:t> </w:t>
      </w:r>
      <w:r w:rsidR="005E330A">
        <w:t xml:space="preserve">d’intérêt global </w:t>
      </w:r>
      <w:r w:rsidR="00BA07CA">
        <w:t>:</w:t>
      </w:r>
    </w:p>
    <w:p w14:paraId="628C94DF" w14:textId="77777777" w:rsidR="00331B88" w:rsidRDefault="00BA07CA" w:rsidP="007B6E6E">
      <w:pPr>
        <w:pStyle w:val="SGACP-enumerationniveau1"/>
        <w:ind w:left="284" w:hanging="284"/>
      </w:pPr>
      <w:r>
        <w:t>p</w:t>
      </w:r>
      <w:r w:rsidR="00463A1C" w:rsidRPr="007F2900">
        <w:t>réciser s</w:t>
      </w:r>
      <w:r w:rsidR="001224E7">
        <w:t>’</w:t>
      </w:r>
      <w:r w:rsidR="00463A1C" w:rsidRPr="007F2900">
        <w:t xml:space="preserve">il existe une unité en charge de la surveillance et de la gestion du risque de taux </w:t>
      </w:r>
      <w:r w:rsidR="005E330A" w:rsidRPr="005E330A">
        <w:t xml:space="preserve">d’intérêt global </w:t>
      </w:r>
      <w:r w:rsidR="00463A1C" w:rsidRPr="007F2900">
        <w:t>et de manière plus générale comment cette surveillance s</w:t>
      </w:r>
      <w:r w:rsidR="001224E7">
        <w:t>’</w:t>
      </w:r>
      <w:r w:rsidR="00463A1C" w:rsidRPr="007F2900">
        <w:t>inscrit dans le dispositif de contrôle permanent</w:t>
      </w:r>
      <w:r>
        <w:t>.</w:t>
      </w:r>
    </w:p>
    <w:p w14:paraId="46380F98" w14:textId="77777777" w:rsidR="00DC0250" w:rsidRPr="00440703" w:rsidRDefault="00DC0250" w:rsidP="00463A1C">
      <w:bookmarkStart w:id="173" w:name="_Toc266799834"/>
    </w:p>
    <w:p w14:paraId="6FBB24B0" w14:textId="135AD371" w:rsidR="00463A1C" w:rsidRPr="007F2900" w:rsidRDefault="008F3AF1" w:rsidP="00A631B9">
      <w:pPr>
        <w:pStyle w:val="SGACP-sous-titrederubriquenivaeu2"/>
        <w:keepNext/>
      </w:pPr>
      <w:r>
        <w:t>13</w:t>
      </w:r>
      <w:r w:rsidR="00DC0250">
        <w:t>.4.</w:t>
      </w:r>
      <w:r w:rsidR="00DC0250">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en matière de risque de taux</w:t>
      </w:r>
      <w:bookmarkEnd w:id="173"/>
      <w:r w:rsidR="005E330A" w:rsidRPr="005E330A">
        <w:t xml:space="preserve"> </w:t>
      </w:r>
      <w:r w:rsidR="005E330A">
        <w:t>d’intérêt global</w:t>
      </w:r>
      <w:r w:rsidR="00BA07CA">
        <w:t> :</w:t>
      </w:r>
    </w:p>
    <w:p w14:paraId="797B7868" w14:textId="77777777" w:rsidR="00331B88" w:rsidRPr="004E7222" w:rsidRDefault="00BA07CA" w:rsidP="002F6550">
      <w:pPr>
        <w:pStyle w:val="SGACP-enumerationniveau1"/>
        <w:ind w:left="284" w:hanging="284"/>
        <w:rPr>
          <w:iCs/>
        </w:rPr>
      </w:pPr>
      <w:r w:rsidRPr="002B7ACF">
        <w:rPr>
          <w:iCs/>
        </w:rPr>
        <w:t>p</w:t>
      </w:r>
      <w:r w:rsidR="00463A1C" w:rsidRPr="0047516D">
        <w:rPr>
          <w:iCs/>
        </w:rPr>
        <w:t>rincipales insuffisances relevées</w:t>
      </w:r>
      <w:r w:rsidRPr="0047516D">
        <w:rPr>
          <w:iCs/>
        </w:rPr>
        <w:t> ;</w:t>
      </w:r>
    </w:p>
    <w:p w14:paraId="10C73362" w14:textId="77777777" w:rsidR="00331B88" w:rsidRPr="00A342F6" w:rsidRDefault="00BA07CA" w:rsidP="002F6550">
      <w:pPr>
        <w:pStyle w:val="SGACP-enumerationniveau1"/>
        <w:spacing w:before="60"/>
        <w:ind w:left="284" w:hanging="284"/>
        <w:rPr>
          <w:iCs/>
        </w:rPr>
      </w:pPr>
      <w:r w:rsidRPr="004E7222">
        <w:rPr>
          <w:iCs/>
        </w:rPr>
        <w:t>m</w:t>
      </w:r>
      <w:r w:rsidR="00463A1C" w:rsidRPr="004E7222">
        <w:rPr>
          <w:iCs/>
        </w:rPr>
        <w:t>esures correctives engagées pour remédier aux insuffisances relevées, date de réalisation prévisionnelle de ces mesures et état d</w:t>
      </w:r>
      <w:r w:rsidR="001224E7" w:rsidRPr="004E7222">
        <w:rPr>
          <w:iCs/>
        </w:rPr>
        <w:t>’</w:t>
      </w:r>
      <w:r w:rsidR="00463A1C" w:rsidRPr="004E7222">
        <w:rPr>
          <w:iCs/>
        </w:rPr>
        <w:t>avancement de leur mise en œuvre à la date de rédaction du présent rapport</w:t>
      </w:r>
      <w:r w:rsidRPr="00A342F6">
        <w:rPr>
          <w:iCs/>
        </w:rPr>
        <w:t> ;</w:t>
      </w:r>
    </w:p>
    <w:p w14:paraId="450AE4FB" w14:textId="77777777" w:rsidR="00331B88" w:rsidRPr="002B7ACF" w:rsidRDefault="00BA07CA" w:rsidP="002F6550">
      <w:pPr>
        <w:pStyle w:val="SGACP-enumerationniveau1"/>
        <w:spacing w:before="60"/>
        <w:ind w:left="284" w:hanging="284"/>
        <w:rPr>
          <w:iCs/>
        </w:rPr>
      </w:pPr>
      <w:r w:rsidRPr="00A342F6">
        <w:rPr>
          <w:iCs/>
        </w:rPr>
        <w:t>m</w:t>
      </w:r>
      <w:r w:rsidR="00463A1C" w:rsidRPr="002F6550">
        <w:rPr>
          <w:iCs/>
        </w:rPr>
        <w:t xml:space="preserve">odalités de suivi des recommandations résultant des contrôles permanents </w:t>
      </w:r>
      <w:r w:rsidR="00463A1C" w:rsidRPr="002F6550">
        <w:rPr>
          <w:i/>
          <w:iCs/>
        </w:rPr>
        <w:t>(outils, personnes en charge)</w:t>
      </w:r>
      <w:r w:rsidRPr="002F6550">
        <w:rPr>
          <w:iCs/>
        </w:rPr>
        <w:t> </w:t>
      </w:r>
      <w:r w:rsidRPr="00935917">
        <w:rPr>
          <w:iCs/>
        </w:rPr>
        <w:t>;</w:t>
      </w:r>
    </w:p>
    <w:p w14:paraId="4DFF5BBB" w14:textId="0B145E99" w:rsidR="00331B88" w:rsidRPr="002B7ACF" w:rsidRDefault="00BA07CA" w:rsidP="002F6550">
      <w:pPr>
        <w:pStyle w:val="SGACP-enumerationniveau1"/>
        <w:spacing w:before="60"/>
        <w:ind w:left="284" w:hanging="284"/>
        <w:rPr>
          <w:iCs/>
        </w:rPr>
      </w:pPr>
      <w:r w:rsidRPr="0047516D">
        <w:rPr>
          <w:iCs/>
        </w:rPr>
        <w:t>m</w:t>
      </w:r>
      <w:r w:rsidR="00463A1C" w:rsidRPr="0047516D">
        <w:rPr>
          <w:iCs/>
        </w:rPr>
        <w:t>odalités de vérification de l</w:t>
      </w:r>
      <w:r w:rsidR="001224E7" w:rsidRPr="004E7222">
        <w:rPr>
          <w:iCs/>
        </w:rPr>
        <w:t>’</w:t>
      </w:r>
      <w:r w:rsidR="00463A1C" w:rsidRPr="004E7222">
        <w:rPr>
          <w:iCs/>
        </w:rPr>
        <w:t>exécution dans des délais raisonnables des mesures correctrices décidées au sein des</w:t>
      </w:r>
      <w:r w:rsidR="00C17657" w:rsidRPr="004E7222">
        <w:rPr>
          <w:iCs/>
        </w:rPr>
        <w:t xml:space="preserve"> entreprises</w:t>
      </w:r>
      <w:r w:rsidR="00463A1C" w:rsidRPr="004E7222">
        <w:rPr>
          <w:iCs/>
        </w:rPr>
        <w:t xml:space="preserve">, par les personnes compétentes </w:t>
      </w:r>
      <w:r w:rsidR="00463A1C" w:rsidRPr="001D505C">
        <w:rPr>
          <w:iCs/>
        </w:rPr>
        <w:t>(cf. articles</w:t>
      </w:r>
      <w:r w:rsidR="00290219" w:rsidRPr="001D505C">
        <w:rPr>
          <w:iCs/>
        </w:rPr>
        <w:t xml:space="preserve"> 11 f) et 26 </w:t>
      </w:r>
      <w:r w:rsidR="000E6CFB" w:rsidRPr="001D505C">
        <w:rPr>
          <w:iCs/>
        </w:rPr>
        <w:t xml:space="preserve">a) </w:t>
      </w:r>
      <w:r w:rsidR="000E6CFB" w:rsidRPr="002B7ACF">
        <w:rPr>
          <w:iCs/>
        </w:rPr>
        <w:t>de l</w:t>
      </w:r>
      <w:r w:rsidR="000E6CFB" w:rsidRPr="0047516D">
        <w:rPr>
          <w:iCs/>
        </w:rPr>
        <w:t>’arrêté du 3 novembre 2014</w:t>
      </w:r>
      <w:r w:rsidR="00154A06" w:rsidRPr="0047516D">
        <w:rPr>
          <w:iCs/>
        </w:rPr>
        <w:t xml:space="preserve"> modifié</w:t>
      </w:r>
      <w:r w:rsidR="00463A1C" w:rsidRPr="00935917">
        <w:rPr>
          <w:iCs/>
        </w:rPr>
        <w:t>)</w:t>
      </w:r>
      <w:r w:rsidRPr="00935917">
        <w:rPr>
          <w:iCs/>
        </w:rPr>
        <w:t>.</w:t>
      </w:r>
    </w:p>
    <w:p w14:paraId="2EB81C98" w14:textId="77777777" w:rsidR="00A90C30" w:rsidRPr="00A85C3C" w:rsidRDefault="00A90C30" w:rsidP="002F6550"/>
    <w:p w14:paraId="56C1F9A2" w14:textId="77A14139" w:rsidR="00A90C30" w:rsidRDefault="00A90C30" w:rsidP="00A85C3C">
      <w:pPr>
        <w:pStyle w:val="SGACP-sous-titrederubriquenivaeu2"/>
        <w:keepNext/>
      </w:pPr>
      <w:r>
        <w:t>13.5.</w:t>
      </w:r>
      <w:r>
        <w:tab/>
      </w:r>
      <w:r w:rsidRPr="007F2900">
        <w:t>Dispositif d</w:t>
      </w:r>
      <w:r>
        <w:t>e surveillance du risque d’écart de crédit issu des activités hors portefeuille de négociation (CSRBB):</w:t>
      </w:r>
    </w:p>
    <w:p w14:paraId="3F6A0410" w14:textId="0E800AA9" w:rsidR="00A90C30" w:rsidRPr="004E7222" w:rsidRDefault="00A90C30" w:rsidP="002F6550">
      <w:pPr>
        <w:pStyle w:val="SGACP-enumerationniveau1"/>
        <w:ind w:left="284" w:hanging="284"/>
        <w:rPr>
          <w:iCs/>
        </w:rPr>
      </w:pPr>
      <w:r w:rsidRPr="002B7ACF">
        <w:rPr>
          <w:iCs/>
        </w:rPr>
        <w:t>description du suivi et de l’évaluation des positions affectées par le</w:t>
      </w:r>
      <w:r w:rsidR="00FA5F5D" w:rsidRPr="0047516D">
        <w:rPr>
          <w:iCs/>
        </w:rPr>
        <w:t xml:space="preserve"> risque d’écart de crédit issu des activités hors portefeuille de négociation</w:t>
      </w:r>
      <w:r w:rsidR="004D7458" w:rsidRPr="0047516D">
        <w:rPr>
          <w:iCs/>
        </w:rPr>
        <w:t> :</w:t>
      </w:r>
      <w:r w:rsidR="004D7458" w:rsidRPr="002F6550">
        <w:rPr>
          <w:iCs/>
        </w:rPr>
        <w:t xml:space="preserve"> </w:t>
      </w:r>
      <w:r w:rsidR="00FA5F5D" w:rsidRPr="002B7ACF">
        <w:rPr>
          <w:i/>
          <w:iCs/>
        </w:rPr>
        <w:t>préciser</w:t>
      </w:r>
      <w:r w:rsidR="00FA5F5D" w:rsidRPr="0047516D">
        <w:rPr>
          <w:i/>
          <w:iCs/>
        </w:rPr>
        <w:t xml:space="preserve"> le périmètre couvert et la pertinence pour le profil de risque de l’établissement, </w:t>
      </w:r>
      <w:r w:rsidR="00716930" w:rsidRPr="004E7222">
        <w:rPr>
          <w:i/>
          <w:iCs/>
        </w:rPr>
        <w:t>les indicateurs et la méthodologie appliquée</w:t>
      </w:r>
      <w:r w:rsidR="004D7458" w:rsidRPr="004E7222">
        <w:rPr>
          <w:i/>
          <w:iCs/>
        </w:rPr>
        <w:t>.</w:t>
      </w:r>
    </w:p>
    <w:p w14:paraId="586EFA03" w14:textId="77777777" w:rsidR="0033036E" w:rsidRPr="00440703" w:rsidRDefault="0033036E" w:rsidP="00460E3D">
      <w:bookmarkStart w:id="174" w:name="_Toc244576472"/>
      <w:bookmarkStart w:id="175" w:name="_Toc266799835"/>
    </w:p>
    <w:p w14:paraId="347A2034" w14:textId="6125A187" w:rsidR="00466F07" w:rsidRDefault="008F3AF1" w:rsidP="00A631B9">
      <w:pPr>
        <w:pStyle w:val="SGACP-sous-titrederubriquenivaeu2"/>
        <w:keepNext/>
      </w:pPr>
      <w:r>
        <w:t>13</w:t>
      </w:r>
      <w:r w:rsidR="0033036E">
        <w:t>.</w:t>
      </w:r>
      <w:r w:rsidR="00A90C30">
        <w:t>6</w:t>
      </w:r>
      <w:r w:rsidR="0033036E">
        <w:t>.</w:t>
      </w:r>
      <w:r w:rsidR="0033036E">
        <w:tab/>
      </w:r>
      <w:r w:rsidR="00463A1C" w:rsidRPr="007F2900">
        <w:t>Conclusion synthétique sur l</w:t>
      </w:r>
      <w:r w:rsidR="001224E7">
        <w:t>’</w:t>
      </w:r>
      <w:r w:rsidR="00463A1C" w:rsidRPr="007F2900">
        <w:t>exposition au risque de taux</w:t>
      </w:r>
      <w:bookmarkEnd w:id="174"/>
      <w:bookmarkEnd w:id="175"/>
      <w:r w:rsidR="005E330A" w:rsidRPr="005E330A">
        <w:t xml:space="preserve"> d’intérêt global</w:t>
      </w:r>
    </w:p>
    <w:p w14:paraId="4C323FEF" w14:textId="77777777" w:rsidR="00440703" w:rsidRDefault="00440703" w:rsidP="0033036E">
      <w:pPr>
        <w:pStyle w:val="SGACP-sous-titrederubriquenivaeu2"/>
      </w:pPr>
    </w:p>
    <w:p w14:paraId="3ECB93E2" w14:textId="77777777" w:rsidR="007B6E6E" w:rsidRPr="007F2900" w:rsidRDefault="007B6E6E" w:rsidP="0033036E">
      <w:pPr>
        <w:pStyle w:val="SGACP-sous-titrederubriquenivaeu2"/>
      </w:pPr>
    </w:p>
    <w:p w14:paraId="22F519B3" w14:textId="77777777" w:rsidR="00331B88" w:rsidRDefault="00463A1C">
      <w:pPr>
        <w:pStyle w:val="StyleSGACP-titrederubriqueniveau1CouleurpersonnaliseRVB"/>
        <w:keepNext/>
        <w:keepLines/>
        <w:ind w:left="426" w:hanging="426"/>
      </w:pPr>
      <w:bookmarkStart w:id="176" w:name="_Toc340481687"/>
      <w:bookmarkStart w:id="177" w:name="_Toc340481797"/>
      <w:bookmarkStart w:id="178" w:name="_Toc340482192"/>
      <w:bookmarkStart w:id="179" w:name="_Toc340481688"/>
      <w:bookmarkStart w:id="180" w:name="_Toc340481798"/>
      <w:bookmarkStart w:id="181" w:name="_Toc340482193"/>
      <w:bookmarkStart w:id="182" w:name="_Toc244576473"/>
      <w:bookmarkStart w:id="183" w:name="_Toc244598007"/>
      <w:bookmarkStart w:id="184" w:name="_Toc244601061"/>
      <w:bookmarkStart w:id="185" w:name="_Toc244692478"/>
      <w:bookmarkStart w:id="186" w:name="_Toc244692547"/>
      <w:bookmarkStart w:id="187" w:name="_Toc244938467"/>
      <w:bookmarkStart w:id="188" w:name="_Toc244938700"/>
      <w:bookmarkStart w:id="189" w:name="_Toc266799836"/>
      <w:bookmarkStart w:id="190" w:name="_Toc266799866"/>
      <w:bookmarkStart w:id="191" w:name="_Toc106958074"/>
      <w:bookmarkEnd w:id="176"/>
      <w:bookmarkEnd w:id="177"/>
      <w:bookmarkEnd w:id="178"/>
      <w:bookmarkEnd w:id="179"/>
      <w:bookmarkEnd w:id="180"/>
      <w:bookmarkEnd w:id="181"/>
      <w:r w:rsidRPr="007D7872">
        <w:t>Risque d</w:t>
      </w:r>
      <w:r w:rsidR="001224E7">
        <w:t>’</w:t>
      </w:r>
      <w:r w:rsidRPr="007D7872">
        <w:t>intermédiation des prestataires de services d</w:t>
      </w:r>
      <w:r w:rsidR="001224E7">
        <w:t>’</w:t>
      </w:r>
      <w:r w:rsidRPr="007D7872">
        <w:t>investissement</w:t>
      </w:r>
      <w:bookmarkEnd w:id="182"/>
      <w:bookmarkEnd w:id="183"/>
      <w:bookmarkEnd w:id="184"/>
      <w:bookmarkEnd w:id="185"/>
      <w:bookmarkEnd w:id="186"/>
      <w:bookmarkEnd w:id="187"/>
      <w:bookmarkEnd w:id="188"/>
      <w:bookmarkEnd w:id="189"/>
      <w:bookmarkEnd w:id="190"/>
      <w:bookmarkEnd w:id="191"/>
    </w:p>
    <w:p w14:paraId="2FE79E47" w14:textId="77777777" w:rsidR="0024125E" w:rsidRPr="00935917" w:rsidRDefault="0024125E" w:rsidP="00460E3D"/>
    <w:p w14:paraId="63AFD0C0" w14:textId="77777777" w:rsidR="00331B88" w:rsidRDefault="00BA07CA" w:rsidP="006D1AEB">
      <w:pPr>
        <w:pStyle w:val="SGACP-enumerationniveau1"/>
        <w:ind w:left="284" w:hanging="284"/>
      </w:pPr>
      <w:r>
        <w:t>r</w:t>
      </w:r>
      <w:r w:rsidR="00463A1C" w:rsidRPr="007F2900">
        <w:t>elevés de la répartition globale des engagements par ensemble de contreparties et de donneurs d</w:t>
      </w:r>
      <w:r w:rsidR="001224E7">
        <w:t>’</w:t>
      </w:r>
      <w:r w:rsidR="00463A1C" w:rsidRPr="007F2900">
        <w:t xml:space="preserve">ordres </w:t>
      </w:r>
      <w:r w:rsidR="00463A1C" w:rsidRPr="0033036E">
        <w:t>(par notation interne, par instrument financier, par marché ou par tout autre critère significatif dans le cadre des activités exercées par l</w:t>
      </w:r>
      <w:r w:rsidR="001224E7">
        <w:t>’</w:t>
      </w:r>
      <w:r w:rsidR="00463A1C" w:rsidRPr="0033036E">
        <w:t>établissement)</w:t>
      </w:r>
      <w:r>
        <w:t> ;</w:t>
      </w:r>
    </w:p>
    <w:p w14:paraId="6AE8301C" w14:textId="77777777" w:rsidR="00331B88" w:rsidRDefault="00BA07CA" w:rsidP="006D1AEB">
      <w:pPr>
        <w:pStyle w:val="SGACP-enumerationniveau1"/>
        <w:ind w:left="284" w:hanging="284"/>
      </w:pPr>
      <w:r>
        <w:t>é</w:t>
      </w:r>
      <w:r w:rsidR="00463A1C" w:rsidRPr="007F2900">
        <w:t>léments d</w:t>
      </w:r>
      <w:r w:rsidR="001224E7">
        <w:t>’</w:t>
      </w:r>
      <w:r w:rsidR="00463A1C" w:rsidRPr="007F2900">
        <w:t>information sur la gestion du risque (</w:t>
      </w:r>
      <w:r w:rsidR="00463A1C" w:rsidRPr="0033036E">
        <w:t>prises de garantie, appels de couverture des positions, collatéraux,…)</w:t>
      </w:r>
      <w:r w:rsidR="00463A1C" w:rsidRPr="007F2900">
        <w:t xml:space="preserve"> et sur les procédures suivies en cas de défaillance d</w:t>
      </w:r>
      <w:r w:rsidR="001224E7">
        <w:t>’</w:t>
      </w:r>
      <w:r w:rsidR="00463A1C" w:rsidRPr="007F2900">
        <w:t>un donneur d</w:t>
      </w:r>
      <w:r w:rsidR="001224E7">
        <w:t>’</w:t>
      </w:r>
      <w:r w:rsidR="00463A1C" w:rsidRPr="007F2900">
        <w:t xml:space="preserve">ordre </w:t>
      </w:r>
      <w:r w:rsidR="00463A1C" w:rsidRPr="0033036E">
        <w:t>(couverture insuffisante des positions, refus de l</w:t>
      </w:r>
      <w:r w:rsidR="001224E7">
        <w:t>’</w:t>
      </w:r>
      <w:r w:rsidR="00463A1C" w:rsidRPr="0033036E">
        <w:t>opération)</w:t>
      </w:r>
      <w:r>
        <w:t> ;</w:t>
      </w:r>
    </w:p>
    <w:p w14:paraId="688AA49F" w14:textId="77777777" w:rsidR="00331B88" w:rsidRPr="004B0BE5" w:rsidRDefault="00BA07CA" w:rsidP="006D1AEB">
      <w:pPr>
        <w:pStyle w:val="SGACP-enumerationniveau1"/>
        <w:ind w:left="284" w:hanging="284"/>
      </w:pPr>
      <w:r>
        <w:t>d</w:t>
      </w:r>
      <w:r w:rsidR="00463A1C" w:rsidRPr="007F2900">
        <w:t>escription synthétique du dispositif de limites d</w:t>
      </w:r>
      <w:r w:rsidR="001224E7">
        <w:t>’</w:t>
      </w:r>
      <w:r w:rsidR="00463A1C" w:rsidRPr="007F2900">
        <w:t>engagement fixées en matière de risque d</w:t>
      </w:r>
      <w:r w:rsidR="001224E7">
        <w:t>’</w:t>
      </w:r>
      <w:r w:rsidR="00463A1C" w:rsidRPr="007F2900">
        <w:t xml:space="preserve">intermédiation – par bénéficiaire, par débiteurs liés, etc. </w:t>
      </w:r>
      <w:r w:rsidR="00463A1C" w:rsidRPr="0033036E">
        <w:rPr>
          <w:i/>
          <w:iCs/>
        </w:rPr>
        <w:t>(préciser le niveau des limites par rapport au volume d</w:t>
      </w:r>
      <w:r w:rsidR="001224E7">
        <w:rPr>
          <w:i/>
          <w:iCs/>
        </w:rPr>
        <w:t>’</w:t>
      </w:r>
      <w:r w:rsidR="00463A1C" w:rsidRPr="0033036E">
        <w:rPr>
          <w:i/>
          <w:iCs/>
        </w:rPr>
        <w:t>opérations des bénéficiaires et par rapport aux fonds propres)</w:t>
      </w:r>
      <w:r>
        <w:rPr>
          <w:i/>
          <w:iCs/>
        </w:rPr>
        <w:t> </w:t>
      </w:r>
      <w:r w:rsidRPr="00935917">
        <w:rPr>
          <w:iCs/>
        </w:rPr>
        <w:t>;</w:t>
      </w:r>
    </w:p>
    <w:p w14:paraId="29DA4ABE" w14:textId="77777777" w:rsidR="00331B88" w:rsidRDefault="00BA07CA" w:rsidP="006D1AEB">
      <w:pPr>
        <w:pStyle w:val="SGACP-enumerationniveau1"/>
        <w:ind w:left="284" w:hanging="284"/>
      </w:pPr>
      <w:r>
        <w:t>m</w:t>
      </w:r>
      <w:r w:rsidR="00463A1C" w:rsidRPr="007F2900">
        <w:t>odalités et périodicité de la révision des limites fixées en matière de risque d</w:t>
      </w:r>
      <w:r w:rsidR="001224E7">
        <w:t>’</w:t>
      </w:r>
      <w:r w:rsidR="00463A1C" w:rsidRPr="007F2900">
        <w:t xml:space="preserve">intermédiation </w:t>
      </w:r>
      <w:r w:rsidR="00463A1C" w:rsidRPr="0033036E">
        <w:rPr>
          <w:i/>
          <w:iCs/>
        </w:rPr>
        <w:t>(indiquer la date de la dernière révision)</w:t>
      </w:r>
      <w:r>
        <w:rPr>
          <w:i/>
          <w:iCs/>
        </w:rPr>
        <w:t> </w:t>
      </w:r>
      <w:r w:rsidRPr="00935917">
        <w:rPr>
          <w:iCs/>
        </w:rPr>
        <w:t>;</w:t>
      </w:r>
    </w:p>
    <w:p w14:paraId="367232D7"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les contreparties concernées, le montant de l</w:t>
      </w:r>
      <w:r w:rsidR="001224E7" w:rsidRPr="00210431">
        <w:rPr>
          <w:i/>
        </w:rPr>
        <w:t>’</w:t>
      </w:r>
      <w:r w:rsidR="00463A1C" w:rsidRPr="00210431">
        <w:rPr>
          <w:i/>
        </w:rPr>
        <w:t>engagement total, le nombre des dépassements, leur durée et leur montant)</w:t>
      </w:r>
      <w:r>
        <w:t> ;</w:t>
      </w:r>
    </w:p>
    <w:p w14:paraId="56153773"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06FD0C59" w14:textId="77777777" w:rsidR="00331B88" w:rsidRDefault="00BA07CA" w:rsidP="006D1AEB">
      <w:pPr>
        <w:pStyle w:val="SGACP-enumerationniveau1"/>
        <w:ind w:left="284" w:hanging="284"/>
        <w:rPr>
          <w:i/>
          <w:iCs/>
        </w:rPr>
      </w:pPr>
      <w:r>
        <w:t>é</w:t>
      </w:r>
      <w:r w:rsidR="00463A1C" w:rsidRPr="007F2900">
        <w:t>léments d</w:t>
      </w:r>
      <w:r w:rsidR="001224E7">
        <w:t>’</w:t>
      </w:r>
      <w:r w:rsidR="00463A1C" w:rsidRPr="007F2900">
        <w:t>analyse retenus pour apprécier le risque sur les donneurs d</w:t>
      </w:r>
      <w:r w:rsidR="001224E7">
        <w:t>’</w:t>
      </w:r>
      <w:r w:rsidR="00463A1C" w:rsidRPr="007F2900">
        <w:t>ordres pris en compte lors des décisions d</w:t>
      </w:r>
      <w:r w:rsidR="001224E7">
        <w:t>’</w:t>
      </w:r>
      <w:r w:rsidR="00463A1C" w:rsidRPr="007F2900">
        <w:t xml:space="preserve">engagement </w:t>
      </w:r>
      <w:r w:rsidR="00463A1C" w:rsidRPr="0033036E">
        <w:rPr>
          <w:i/>
          <w:iCs/>
        </w:rPr>
        <w:t>(méthodologie, données prises en compte)</w:t>
      </w:r>
      <w:r>
        <w:rPr>
          <w:i/>
          <w:iCs/>
        </w:rPr>
        <w:t> </w:t>
      </w:r>
      <w:r w:rsidRPr="00935917">
        <w:rPr>
          <w:iCs/>
        </w:rPr>
        <w:t>;</w:t>
      </w:r>
    </w:p>
    <w:p w14:paraId="34CF7671" w14:textId="77777777" w:rsidR="00331B88" w:rsidRDefault="00BA07CA" w:rsidP="006D1AEB">
      <w:pPr>
        <w:pStyle w:val="SGACP-enumerationniveau1"/>
        <w:ind w:left="284" w:hanging="284"/>
      </w:pPr>
      <w:r>
        <w:t>t</w:t>
      </w:r>
      <w:r w:rsidR="00463A1C" w:rsidRPr="007F2900">
        <w:t>ypologie des erreurs intervenues au cours de l</w:t>
      </w:r>
      <w:r w:rsidR="001224E7">
        <w:t>’</w:t>
      </w:r>
      <w:r w:rsidR="00463A1C" w:rsidRPr="007F2900">
        <w:t>exercice dans la prise en charge et l</w:t>
      </w:r>
      <w:r w:rsidR="001224E7">
        <w:t>’</w:t>
      </w:r>
      <w:r w:rsidR="00463A1C" w:rsidRPr="007F2900">
        <w:t xml:space="preserve">exécution des ordres </w:t>
      </w:r>
      <w:r w:rsidR="00463A1C" w:rsidRPr="00210431">
        <w:rPr>
          <w:i/>
        </w:rPr>
        <w:t>(modalités et périodicité de l</w:t>
      </w:r>
      <w:r w:rsidR="001224E7" w:rsidRPr="00210431">
        <w:rPr>
          <w:i/>
        </w:rPr>
        <w:t>’</w:t>
      </w:r>
      <w:r w:rsidR="00463A1C" w:rsidRPr="00210431">
        <w:rPr>
          <w:i/>
        </w:rPr>
        <w:t xml:space="preserve">analyse des erreurs par le responsable du contrôle interne, seuil retenu par </w:t>
      </w:r>
      <w:r w:rsidR="0003780F" w:rsidRPr="00210431">
        <w:rPr>
          <w:i/>
        </w:rPr>
        <w:t>les dirigeants effectifs</w:t>
      </w:r>
      <w:r w:rsidR="00463A1C" w:rsidRPr="00210431">
        <w:rPr>
          <w:i/>
        </w:rPr>
        <w:t xml:space="preserve"> pour documenter ces erreurs)</w:t>
      </w:r>
      <w:r>
        <w:t> ;</w:t>
      </w:r>
    </w:p>
    <w:p w14:paraId="15FFAB2A" w14:textId="77777777" w:rsidR="00331B88" w:rsidRDefault="00BA07CA" w:rsidP="006D1AEB">
      <w:pPr>
        <w:pStyle w:val="SGACP-enumerationniveau1"/>
        <w:ind w:left="284" w:hanging="284"/>
      </w:pPr>
      <w:r>
        <w:t>r</w:t>
      </w:r>
      <w:r w:rsidR="00463A1C" w:rsidRPr="007F2900">
        <w:t>ésultats des contrôles permanents menés en matière de risque d</w:t>
      </w:r>
      <w:r w:rsidR="001224E7">
        <w:t>’</w:t>
      </w:r>
      <w:r w:rsidR="00463A1C" w:rsidRPr="007F2900">
        <w:t>intermédiation</w:t>
      </w:r>
      <w:r>
        <w:t> ;</w:t>
      </w:r>
    </w:p>
    <w:p w14:paraId="0C562322" w14:textId="77777777"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t>.</w:t>
      </w:r>
    </w:p>
    <w:p w14:paraId="5F8E7DA8" w14:textId="20321630" w:rsidR="007111DC" w:rsidRDefault="007111DC" w:rsidP="002F6550">
      <w:pPr>
        <w:pStyle w:val="SGACP-enumerationniveau1"/>
        <w:numPr>
          <w:ilvl w:val="0"/>
          <w:numId w:val="0"/>
        </w:numPr>
        <w:spacing w:before="0"/>
        <w:ind w:left="284"/>
      </w:pPr>
    </w:p>
    <w:p w14:paraId="3C8A0202" w14:textId="77777777" w:rsidR="008E03C1" w:rsidRDefault="008E03C1" w:rsidP="002F6550">
      <w:pPr>
        <w:pStyle w:val="SGACP-enumerationniveau1"/>
        <w:numPr>
          <w:ilvl w:val="0"/>
          <w:numId w:val="0"/>
        </w:numPr>
        <w:spacing w:before="0"/>
        <w:ind w:left="284"/>
      </w:pPr>
    </w:p>
    <w:p w14:paraId="7877799C" w14:textId="77777777" w:rsidR="00331B88" w:rsidRDefault="00463A1C">
      <w:pPr>
        <w:pStyle w:val="StyleSGACP-titrederubriqueniveau1CouleurpersonnaliseRVB"/>
        <w:keepNext/>
        <w:keepLines/>
        <w:ind w:left="426" w:hanging="426"/>
      </w:pPr>
      <w:bookmarkStart w:id="192" w:name="_Toc244576474"/>
      <w:bookmarkStart w:id="193" w:name="_Toc244598008"/>
      <w:bookmarkStart w:id="194" w:name="_Toc244601062"/>
      <w:bookmarkStart w:id="195" w:name="_Toc244692479"/>
      <w:bookmarkStart w:id="196" w:name="_Toc244692548"/>
      <w:bookmarkStart w:id="197" w:name="_Toc244938468"/>
      <w:bookmarkStart w:id="198" w:name="_Toc244938701"/>
      <w:bookmarkStart w:id="199" w:name="_Toc266799837"/>
      <w:bookmarkStart w:id="200" w:name="_Toc266799867"/>
      <w:bookmarkStart w:id="201" w:name="_Toc106958075"/>
      <w:r w:rsidRPr="007D7872">
        <w:t>Risque de règlement</w:t>
      </w:r>
      <w:bookmarkEnd w:id="192"/>
      <w:bookmarkEnd w:id="193"/>
      <w:bookmarkEnd w:id="194"/>
      <w:bookmarkEnd w:id="195"/>
      <w:bookmarkEnd w:id="196"/>
      <w:bookmarkEnd w:id="197"/>
      <w:bookmarkEnd w:id="198"/>
      <w:bookmarkEnd w:id="199"/>
      <w:bookmarkEnd w:id="200"/>
      <w:r w:rsidR="000B31DF">
        <w:t>/livraison</w:t>
      </w:r>
      <w:bookmarkEnd w:id="201"/>
    </w:p>
    <w:p w14:paraId="1A813EE0" w14:textId="77777777" w:rsidR="0024125E" w:rsidRPr="00935917" w:rsidRDefault="0024125E" w:rsidP="00460E3D"/>
    <w:p w14:paraId="6B55CBBF" w14:textId="77777777" w:rsidR="00331B88" w:rsidRDefault="00BA07CA" w:rsidP="006D1AEB">
      <w:pPr>
        <w:pStyle w:val="SGACP-enumerationniveau1"/>
        <w:ind w:left="284" w:hanging="284"/>
      </w:pPr>
      <w:r>
        <w:t>d</w:t>
      </w:r>
      <w:r w:rsidR="00463A1C" w:rsidRPr="007F2900">
        <w:t>escription du système de mesure du risque de règlement</w:t>
      </w:r>
      <w:r w:rsidR="000B31DF">
        <w:t>/livraison</w:t>
      </w:r>
      <w:r w:rsidR="00463A1C" w:rsidRPr="007F2900">
        <w:t xml:space="preserve"> </w:t>
      </w:r>
      <w:r w:rsidR="00463A1C" w:rsidRPr="00210431">
        <w:rPr>
          <w:i/>
        </w:rPr>
        <w:t>(mise en évidence des différentes phases du processus de règlement, prise en compte des nouvelles opérations venant s</w:t>
      </w:r>
      <w:r w:rsidR="001224E7" w:rsidRPr="00210431">
        <w:rPr>
          <w:i/>
        </w:rPr>
        <w:t>’</w:t>
      </w:r>
      <w:r w:rsidR="00463A1C" w:rsidRPr="00210431">
        <w:rPr>
          <w:i/>
        </w:rPr>
        <w:t>ajouter aux opérations en cours…)</w:t>
      </w:r>
      <w:r>
        <w:t> ;</w:t>
      </w:r>
    </w:p>
    <w:p w14:paraId="55765D50" w14:textId="77777777" w:rsidR="00331B88" w:rsidRDefault="00BA07CA" w:rsidP="006D1AEB">
      <w:pPr>
        <w:pStyle w:val="SGACP-enumerationniveau1"/>
        <w:ind w:left="284" w:hanging="284"/>
      </w:pPr>
      <w:r>
        <w:t>d</w:t>
      </w:r>
      <w:r w:rsidR="00463A1C" w:rsidRPr="007F2900">
        <w:t>escription synthétique des limites fixées en matière de risque de règlement</w:t>
      </w:r>
      <w:r w:rsidR="000B31DF">
        <w:t>/livraison</w:t>
      </w:r>
      <w:r w:rsidR="00463A1C" w:rsidRPr="007F2900">
        <w:t> </w:t>
      </w:r>
      <w:r w:rsidR="00463A1C" w:rsidRPr="00210431">
        <w:rPr>
          <w:i/>
        </w:rPr>
        <w:t>(préciser le niveau des limites, par type de contrepartie, par rapport au volume d</w:t>
      </w:r>
      <w:r w:rsidR="001224E7" w:rsidRPr="00210431">
        <w:rPr>
          <w:i/>
        </w:rPr>
        <w:t>’</w:t>
      </w:r>
      <w:r w:rsidR="00463A1C" w:rsidRPr="00210431">
        <w:rPr>
          <w:i/>
        </w:rPr>
        <w:t>opérations de ces contreparties et par rapport aux fonds propres)</w:t>
      </w:r>
      <w:r>
        <w:t> ;</w:t>
      </w:r>
    </w:p>
    <w:p w14:paraId="38E6BAE0" w14:textId="77777777" w:rsidR="00331B88" w:rsidRDefault="00BA07CA" w:rsidP="006D1AEB">
      <w:pPr>
        <w:pStyle w:val="SGACP-enumerationniveau1"/>
        <w:ind w:left="284" w:hanging="284"/>
        <w:rPr>
          <w:i/>
          <w:iCs/>
        </w:rPr>
      </w:pPr>
      <w:r>
        <w:t>p</w:t>
      </w:r>
      <w:r w:rsidR="00463A1C" w:rsidRPr="007F2900">
        <w:t>ériodicité de la révision des limites fixées en matière de risque de règlement</w:t>
      </w:r>
      <w:r w:rsidR="000B31DF">
        <w:t>/livraison</w:t>
      </w:r>
      <w:r w:rsidR="00463A1C" w:rsidRPr="007F2900">
        <w:t xml:space="preserve"> </w:t>
      </w:r>
      <w:r w:rsidR="00463A1C" w:rsidRPr="0033036E">
        <w:rPr>
          <w:i/>
          <w:iCs/>
        </w:rPr>
        <w:t>(indiquer la date de la dernière révision)</w:t>
      </w:r>
      <w:r w:rsidRPr="00935917">
        <w:rPr>
          <w:iCs/>
        </w:rPr>
        <w:t> ;</w:t>
      </w:r>
    </w:p>
    <w:p w14:paraId="069C0409"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des dépassements, leur nombre, leur durée et leur montant)</w:t>
      </w:r>
      <w:r>
        <w:t> ;</w:t>
      </w:r>
    </w:p>
    <w:p w14:paraId="2A538CE3"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62509C1B" w14:textId="77777777" w:rsidR="00331B88" w:rsidRDefault="00BA07CA" w:rsidP="006D1AEB">
      <w:pPr>
        <w:pStyle w:val="SGACP-enumerationniveau1"/>
        <w:ind w:left="284" w:hanging="284"/>
      </w:pPr>
      <w:r>
        <w:t>a</w:t>
      </w:r>
      <w:r w:rsidR="00463A1C" w:rsidRPr="007F2900">
        <w:t xml:space="preserve">nalyse des suspens en cours </w:t>
      </w:r>
      <w:r w:rsidR="00463A1C" w:rsidRPr="00210431">
        <w:rPr>
          <w:i/>
        </w:rPr>
        <w:t>(préciser leur antériorité, leurs causes, le plan d</w:t>
      </w:r>
      <w:r w:rsidR="001224E7" w:rsidRPr="00210431">
        <w:rPr>
          <w:i/>
        </w:rPr>
        <w:t>’</w:t>
      </w:r>
      <w:r w:rsidR="00463A1C" w:rsidRPr="00210431">
        <w:rPr>
          <w:i/>
        </w:rPr>
        <w:t>action pour leur apurement)</w:t>
      </w:r>
      <w:r>
        <w:t> ;</w:t>
      </w:r>
    </w:p>
    <w:p w14:paraId="4981A820" w14:textId="77777777" w:rsidR="00331B88" w:rsidRDefault="00BA07CA" w:rsidP="006D1AEB">
      <w:pPr>
        <w:pStyle w:val="SGACP-enumerationniveau1"/>
        <w:ind w:left="284" w:hanging="284"/>
      </w:pPr>
      <w:r>
        <w:t>r</w:t>
      </w:r>
      <w:r w:rsidR="00463A1C" w:rsidRPr="007F2900">
        <w:t>ésultats des contrôles permanents menés en matière de risque de règlement</w:t>
      </w:r>
      <w:r w:rsidR="000B31DF">
        <w:t>/livraison</w:t>
      </w:r>
      <w:r>
        <w:t> ;</w:t>
      </w:r>
    </w:p>
    <w:p w14:paraId="0E1BB82F" w14:textId="77777777"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rsidR="00793249">
        <w:t> ;</w:t>
      </w:r>
    </w:p>
    <w:p w14:paraId="58758D68" w14:textId="77777777" w:rsidR="0033036E" w:rsidRDefault="0033036E" w:rsidP="00463A1C">
      <w:bookmarkStart w:id="202" w:name="_Toc244576475"/>
      <w:bookmarkStart w:id="203" w:name="_Toc244598009"/>
      <w:bookmarkStart w:id="204" w:name="_Toc244601063"/>
      <w:bookmarkStart w:id="205" w:name="_Toc244692480"/>
      <w:bookmarkStart w:id="206" w:name="_Toc244692549"/>
      <w:bookmarkStart w:id="207" w:name="_Toc244938469"/>
      <w:bookmarkStart w:id="208" w:name="_Toc244938702"/>
      <w:bookmarkStart w:id="209" w:name="_Toc266799838"/>
      <w:bookmarkStart w:id="210" w:name="_Toc266799868"/>
    </w:p>
    <w:p w14:paraId="30BEC0AC" w14:textId="77777777" w:rsidR="000F6A5C" w:rsidRPr="007B6E6E" w:rsidRDefault="000F6A5C" w:rsidP="000F6A5C">
      <w:pPr>
        <w:pStyle w:val="SGACP-sous-titrederubriquenivaeu2"/>
        <w:rPr>
          <w:rFonts w:ascii="Times New Roman" w:hAnsi="Times New Roman"/>
        </w:rPr>
      </w:pPr>
      <w:r w:rsidRPr="007B6E6E">
        <w:rPr>
          <w:rFonts w:ascii="Times New Roman" w:hAnsi="Times New Roman"/>
        </w:rPr>
        <w:t>Pour les prestataires de services d’investissement qui apportent leur garantie de bonne fin :</w:t>
      </w:r>
    </w:p>
    <w:p w14:paraId="20F263EC" w14:textId="77777777" w:rsidR="000F6A5C" w:rsidRDefault="000F6A5C" w:rsidP="000F6A5C">
      <w:pPr>
        <w:pStyle w:val="SGACP-enumerationniveau1"/>
        <w:ind w:left="284" w:hanging="284"/>
      </w:pPr>
      <w:r>
        <w:t>d</w:t>
      </w:r>
      <w:r w:rsidRPr="007F2900">
        <w:t xml:space="preserve">escription des différents instruments traités et de chaque système de règlement utilisé </w:t>
      </w:r>
      <w:r w:rsidRPr="000E2922">
        <w:rPr>
          <w:iCs/>
        </w:rPr>
        <w:t>avec identification des différentes phases du processus de règlement livraison ;</w:t>
      </w:r>
    </w:p>
    <w:p w14:paraId="0DF01B9F" w14:textId="77777777" w:rsidR="000F6A5C" w:rsidRDefault="000F6A5C" w:rsidP="000F6A5C">
      <w:pPr>
        <w:pStyle w:val="SGACP-enumerationniveau1"/>
        <w:ind w:left="284" w:hanging="284"/>
      </w:pPr>
      <w:r>
        <w:t>m</w:t>
      </w:r>
      <w:r w:rsidRPr="007F2900">
        <w:t>odalités de suivi des flux de trésorerie et de titres</w:t>
      </w:r>
      <w:r>
        <w:t> ;</w:t>
      </w:r>
    </w:p>
    <w:p w14:paraId="4F604FCB" w14:textId="77777777" w:rsidR="000F6A5C" w:rsidRDefault="000F6A5C" w:rsidP="000F6A5C">
      <w:pPr>
        <w:pStyle w:val="SGACP-enumerationniveau1"/>
        <w:keepNext/>
        <w:ind w:left="284" w:hanging="284"/>
      </w:pPr>
      <w:r>
        <w:t>m</w:t>
      </w:r>
      <w:r w:rsidRPr="007F2900">
        <w:t>odalités de suivi et de traitement des suspens</w:t>
      </w:r>
      <w:r>
        <w:t> ;</w:t>
      </w:r>
    </w:p>
    <w:p w14:paraId="3CE1FEF4" w14:textId="77777777" w:rsidR="000F6A5C" w:rsidRDefault="000F6A5C" w:rsidP="000F6A5C">
      <w:pPr>
        <w:pStyle w:val="SGACP-enumerationniveau1"/>
        <w:keepNext/>
        <w:ind w:left="284" w:hanging="284"/>
      </w:pPr>
      <w:r>
        <w:t>m</w:t>
      </w:r>
      <w:r w:rsidRPr="007F2900">
        <w:t>odalités de mesure des ressources, titres ou espèces facilement mobilisable</w:t>
      </w:r>
      <w:r w:rsidRPr="000E2922">
        <w:t xml:space="preserve">s </w:t>
      </w:r>
      <w:r w:rsidRPr="000E2922">
        <w:rPr>
          <w:iCs/>
        </w:rPr>
        <w:t>pour assurer le respect des engagements vis-à-vis des contreparties.</w:t>
      </w:r>
    </w:p>
    <w:p w14:paraId="44FEB92C" w14:textId="77777777" w:rsidR="000F6A5C" w:rsidRDefault="000F6A5C" w:rsidP="00463A1C"/>
    <w:p w14:paraId="7B12A15A" w14:textId="77777777" w:rsidR="00DC7CAF" w:rsidRDefault="00DC7CAF" w:rsidP="00463A1C"/>
    <w:p w14:paraId="14C4E7C5" w14:textId="77777777" w:rsidR="00331B88" w:rsidRPr="00E450D4" w:rsidRDefault="00463A1C">
      <w:pPr>
        <w:pStyle w:val="StyleSGACP-titrederubriqueniveau1CouleurpersonnaliseRVB"/>
        <w:keepNext/>
        <w:keepLines/>
        <w:ind w:left="426" w:hanging="426"/>
        <w:rPr>
          <w:bCs w:val="0"/>
        </w:rPr>
      </w:pPr>
      <w:bookmarkStart w:id="211" w:name="_Toc106958076"/>
      <w:r w:rsidRPr="007D7872">
        <w:t>Risque</w:t>
      </w:r>
      <w:r w:rsidR="003F41DE">
        <w:t>s</w:t>
      </w:r>
      <w:r w:rsidRPr="007D7872">
        <w:t xml:space="preserve"> de liquidité</w:t>
      </w:r>
      <w:bookmarkEnd w:id="202"/>
      <w:bookmarkEnd w:id="203"/>
      <w:bookmarkEnd w:id="204"/>
      <w:bookmarkEnd w:id="205"/>
      <w:bookmarkEnd w:id="206"/>
      <w:bookmarkEnd w:id="207"/>
      <w:bookmarkEnd w:id="208"/>
      <w:bookmarkEnd w:id="209"/>
      <w:bookmarkEnd w:id="210"/>
      <w:bookmarkEnd w:id="211"/>
    </w:p>
    <w:p w14:paraId="60FC1D99" w14:textId="77777777" w:rsidR="00E450D4" w:rsidRDefault="00E450D4" w:rsidP="00460E3D"/>
    <w:p w14:paraId="430856CA" w14:textId="71B67DB6" w:rsidR="00F36758" w:rsidRDefault="00BA07CA" w:rsidP="001D505C">
      <w:pPr>
        <w:pStyle w:val="SGACP-enumerationniveau1"/>
        <w:ind w:left="284" w:hanging="284"/>
      </w:pPr>
      <w:r w:rsidRPr="000E2922">
        <w:t>d</w:t>
      </w:r>
      <w:r w:rsidR="00463A1C" w:rsidRPr="000E2922">
        <w:t xml:space="preserve">escription synthétique du cadre général de la </w:t>
      </w:r>
      <w:r w:rsidR="00EC0AAE">
        <w:t xml:space="preserve">détection, de la mesure, de la </w:t>
      </w:r>
      <w:r w:rsidR="00463A1C" w:rsidRPr="000E2922">
        <w:t xml:space="preserve">gestion </w:t>
      </w:r>
      <w:r w:rsidR="00EC0AAE">
        <w:t xml:space="preserve">et du suivi </w:t>
      </w:r>
      <w:r w:rsidR="00463A1C" w:rsidRPr="000E2922">
        <w:t>d</w:t>
      </w:r>
      <w:r w:rsidR="00603E9D">
        <w:t>es</w:t>
      </w:r>
      <w:r w:rsidR="00463A1C" w:rsidRPr="000E2922">
        <w:t xml:space="preserve"> risque</w:t>
      </w:r>
      <w:r w:rsidR="00603E9D">
        <w:t>s</w:t>
      </w:r>
      <w:r w:rsidR="00463A1C" w:rsidRPr="000E2922">
        <w:t xml:space="preserve"> de liquidité</w:t>
      </w:r>
      <w:r w:rsidR="00351DDC">
        <w:t xml:space="preserve">: </w:t>
      </w:r>
      <w:r w:rsidR="00463A1C" w:rsidRPr="001D505C">
        <w:rPr>
          <w:i/>
        </w:rPr>
        <w:t xml:space="preserve">préciser le périmètre des entités et opérations prises en compte, </w:t>
      </w:r>
      <w:r w:rsidR="00B214B3" w:rsidRPr="001D505C">
        <w:rPr>
          <w:i/>
        </w:rPr>
        <w:t xml:space="preserve">en tenant compte des expositions hors bilan, </w:t>
      </w:r>
      <w:r w:rsidR="00463A1C" w:rsidRPr="001D505C">
        <w:rPr>
          <w:i/>
        </w:rPr>
        <w:t xml:space="preserve">le rôle des </w:t>
      </w:r>
      <w:r w:rsidR="0003780F" w:rsidRPr="001D505C">
        <w:rPr>
          <w:i/>
        </w:rPr>
        <w:t>dirigeants effectifs</w:t>
      </w:r>
      <w:r w:rsidR="00463A1C" w:rsidRPr="001D505C">
        <w:rPr>
          <w:i/>
        </w:rPr>
        <w:t xml:space="preserve"> et </w:t>
      </w:r>
      <w:r w:rsidR="0003780F" w:rsidRPr="001D505C">
        <w:rPr>
          <w:i/>
        </w:rPr>
        <w:t xml:space="preserve">des organes </w:t>
      </w:r>
      <w:r w:rsidR="0094273B" w:rsidRPr="001D505C">
        <w:rPr>
          <w:i/>
        </w:rPr>
        <w:t xml:space="preserve">de surveillance </w:t>
      </w:r>
      <w:r w:rsidR="00463A1C" w:rsidRPr="001D505C">
        <w:rPr>
          <w:i/>
        </w:rPr>
        <w:t>et la répartition des compétences en matière de pilotage d</w:t>
      </w:r>
      <w:r w:rsidR="00603E9D">
        <w:rPr>
          <w:i/>
        </w:rPr>
        <w:t>es</w:t>
      </w:r>
      <w:r w:rsidR="00463A1C" w:rsidRPr="001D505C">
        <w:rPr>
          <w:i/>
        </w:rPr>
        <w:t xml:space="preserve"> risque</w:t>
      </w:r>
      <w:r w:rsidR="00603E9D">
        <w:rPr>
          <w:i/>
        </w:rPr>
        <w:t>s</w:t>
      </w:r>
      <w:r w:rsidR="00463A1C" w:rsidRPr="001D505C">
        <w:rPr>
          <w:i/>
        </w:rPr>
        <w:t xml:space="preserve"> de liquidité</w:t>
      </w:r>
      <w:r w:rsidR="00C625DB" w:rsidRPr="001D505C">
        <w:rPr>
          <w:i/>
        </w:rPr>
        <w:t>, le profil de risque et le niveau de tolérance au risque</w:t>
      </w:r>
      <w:r w:rsidRPr="000E2922">
        <w:t> </w:t>
      </w:r>
      <w:r w:rsidR="005D3AE1" w:rsidRPr="001D505C">
        <w:rPr>
          <w:i/>
        </w:rPr>
        <w:t>(cf. articles 181 et 183 de l’arrêté du 3 novembre 2014</w:t>
      </w:r>
      <w:r w:rsidR="00154A06">
        <w:rPr>
          <w:i/>
        </w:rPr>
        <w:t xml:space="preserve"> modifié</w:t>
      </w:r>
      <w:r w:rsidR="005D3AE1" w:rsidRPr="001D505C">
        <w:rPr>
          <w:i/>
        </w:rPr>
        <w:t>)</w:t>
      </w:r>
      <w:r w:rsidR="005D3AE1">
        <w:t xml:space="preserve"> </w:t>
      </w:r>
      <w:r w:rsidRPr="000E2922">
        <w:t>;</w:t>
      </w:r>
    </w:p>
    <w:p w14:paraId="31F665EA" w14:textId="6DC8A47F" w:rsidR="007D5AEF" w:rsidRPr="00156279" w:rsidRDefault="00015F28" w:rsidP="007D5AEF">
      <w:pPr>
        <w:pStyle w:val="SGACP-enumerationniveau1"/>
        <w:ind w:left="284" w:hanging="284"/>
      </w:pPr>
      <w:r>
        <w:t>informations sur</w:t>
      </w:r>
      <w:r w:rsidR="00D34BA2">
        <w:t xml:space="preserve"> la diversification de</w:t>
      </w:r>
      <w:r>
        <w:t xml:space="preserve"> </w:t>
      </w:r>
      <w:r w:rsidR="00D34BA2">
        <w:t>la structure de financement et</w:t>
      </w:r>
      <w:r w:rsidR="00CE5FA3">
        <w:t xml:space="preserve"> </w:t>
      </w:r>
      <w:r w:rsidR="00D34BA2">
        <w:t>d</w:t>
      </w:r>
      <w:r>
        <w:t>es sources de finan</w:t>
      </w:r>
      <w:r w:rsidR="00E77F35">
        <w:t>cement : description de</w:t>
      </w:r>
      <w:r w:rsidR="00CE5FA3">
        <w:t xml:space="preserve"> la structure de financement et de</w:t>
      </w:r>
      <w:r>
        <w:t xml:space="preserve">s sources de financement auxquelles l’établissement a recours </w:t>
      </w:r>
      <w:r w:rsidR="003B3DA5" w:rsidRPr="003B3DA5">
        <w:rPr>
          <w:i/>
        </w:rPr>
        <w:t>(préciser les différents canaux,</w:t>
      </w:r>
      <w:r w:rsidR="00810050">
        <w:rPr>
          <w:i/>
        </w:rPr>
        <w:t xml:space="preserve"> et les liens de financement intragroupe</w:t>
      </w:r>
      <w:r w:rsidR="00810050" w:rsidRPr="003B3DA5">
        <w:rPr>
          <w:i/>
        </w:rPr>
        <w:t xml:space="preserve">, </w:t>
      </w:r>
      <w:r w:rsidR="003B3DA5" w:rsidRPr="003B3DA5">
        <w:rPr>
          <w:i/>
        </w:rPr>
        <w:t>les montants, les maturités, les principales contreparties</w:t>
      </w:r>
      <w:r w:rsidR="00CE5FA3">
        <w:rPr>
          <w:i/>
        </w:rPr>
        <w:t xml:space="preserve">, le recours </w:t>
      </w:r>
      <w:r w:rsidR="00603E9D">
        <w:rPr>
          <w:i/>
        </w:rPr>
        <w:t>aux instruments d’atténuation des</w:t>
      </w:r>
      <w:r w:rsidR="00CE5FA3">
        <w:rPr>
          <w:i/>
        </w:rPr>
        <w:t xml:space="preserve"> risque</w:t>
      </w:r>
      <w:r w:rsidR="00603E9D">
        <w:rPr>
          <w:i/>
        </w:rPr>
        <w:t>s</w:t>
      </w:r>
      <w:r w:rsidR="00CE5FA3">
        <w:rPr>
          <w:i/>
        </w:rPr>
        <w:t xml:space="preserve"> de liquidité</w:t>
      </w:r>
      <w:r w:rsidR="003B3DA5" w:rsidRPr="003B3DA5">
        <w:rPr>
          <w:i/>
        </w:rPr>
        <w:t>)</w:t>
      </w:r>
      <w:r>
        <w:t xml:space="preserve">, </w:t>
      </w:r>
      <w:r w:rsidR="00E77F35">
        <w:t>description d</w:t>
      </w:r>
      <w:r>
        <w:t xml:space="preserve">es indicateurs utilisés pour mesurer la diversification des sources de </w:t>
      </w:r>
      <w:r w:rsidRPr="00156279">
        <w:t>financement</w:t>
      </w:r>
      <w:r w:rsidR="00CE5FA3" w:rsidRPr="00156279">
        <w:t xml:space="preserve"> (cf. article 160 de l</w:t>
      </w:r>
      <w:r w:rsidR="00CE5FA3" w:rsidRPr="002906E2">
        <w:t>’arrêté du 3 novembre 2014</w:t>
      </w:r>
      <w:r w:rsidR="00154A06">
        <w:t xml:space="preserve"> modifié</w:t>
      </w:r>
      <w:r w:rsidR="00CE5FA3" w:rsidRPr="002906E2">
        <w:t>)</w:t>
      </w:r>
      <w:r w:rsidR="00793249">
        <w:t> ;</w:t>
      </w:r>
      <w:r w:rsidR="00E77F35" w:rsidRPr="00156279">
        <w:t xml:space="preserve"> </w:t>
      </w:r>
    </w:p>
    <w:p w14:paraId="54B09660" w14:textId="6EBFE3B6" w:rsidR="004A3FB7" w:rsidRPr="002906E2" w:rsidRDefault="002F066C" w:rsidP="004A3FB7">
      <w:pPr>
        <w:pStyle w:val="SGACP-enumerationniveau1"/>
        <w:ind w:left="284" w:hanging="284"/>
      </w:pPr>
      <w:r>
        <w:t>p</w:t>
      </w:r>
      <w:r w:rsidR="004A3FB7" w:rsidRPr="007B4FDB">
        <w:t xml:space="preserve">our les établissements </w:t>
      </w:r>
      <w:r w:rsidR="004A3FB7">
        <w:t xml:space="preserve">de crédit et </w:t>
      </w:r>
      <w:r w:rsidR="004A3FB7" w:rsidRPr="007F2900">
        <w:t>succursales d</w:t>
      </w:r>
      <w:r w:rsidR="004A3FB7">
        <w:t>’</w:t>
      </w:r>
      <w:r w:rsidR="004A3FB7" w:rsidRPr="007F2900">
        <w:t xml:space="preserve">établissements de crédit ayant </w:t>
      </w:r>
      <w:r w:rsidR="004A3FB7">
        <w:br/>
      </w:r>
      <w:r w:rsidR="004A3FB7" w:rsidRPr="007F2900">
        <w:t xml:space="preserve">leur siège </w:t>
      </w:r>
      <w:r w:rsidR="004A3FB7">
        <w:t>dans un pays tiers</w:t>
      </w:r>
      <w:r w:rsidR="004A3FB7" w:rsidRPr="007B4FDB">
        <w:t xml:space="preserve">, préciser comment la méthodologie interne tient compte des répercussions systémiques pouvant résulter de l’importance de l’établissement sur son marché, notamment dans chacun des États membres de l’Union européenne où il exerce son </w:t>
      </w:r>
      <w:r w:rsidR="004A3FB7" w:rsidRPr="002906E2">
        <w:t>activité (cf</w:t>
      </w:r>
      <w:r w:rsidR="004A3FB7" w:rsidRPr="001D505C">
        <w:t xml:space="preserve">. </w:t>
      </w:r>
      <w:r w:rsidR="004A3FB7" w:rsidRPr="002906E2">
        <w:t>article 150 de l’arrêté du 3 novembre 2014</w:t>
      </w:r>
      <w:r w:rsidR="00154A06">
        <w:t xml:space="preserve"> modifié</w:t>
      </w:r>
      <w:r w:rsidR="004A3FB7" w:rsidRPr="002906E2">
        <w:t>)</w:t>
      </w:r>
      <w:r w:rsidR="004A3FB7">
        <w:t>.</w:t>
      </w:r>
    </w:p>
    <w:p w14:paraId="1585CEF3" w14:textId="77777777" w:rsidR="007B6E6E" w:rsidRDefault="007B6E6E">
      <w:pPr>
        <w:pStyle w:val="SGACP-enumerationniveau1"/>
        <w:numPr>
          <w:ilvl w:val="0"/>
          <w:numId w:val="0"/>
        </w:numPr>
      </w:pPr>
    </w:p>
    <w:p w14:paraId="4960ED3C" w14:textId="77777777" w:rsidR="00463A1C" w:rsidRPr="007F2900" w:rsidRDefault="008F3AF1" w:rsidP="0033036E">
      <w:pPr>
        <w:pStyle w:val="SGACP-sous-titrederubriquenivaeu2"/>
      </w:pPr>
      <w:bookmarkStart w:id="212" w:name="_Toc244576476"/>
      <w:bookmarkStart w:id="213" w:name="_Toc266799839"/>
      <w:r>
        <w:t>16</w:t>
      </w:r>
      <w:r w:rsidR="0033036E">
        <w:t>.1.</w:t>
      </w:r>
      <w:r w:rsidR="0033036E">
        <w:tab/>
      </w:r>
      <w:r w:rsidR="00463A1C" w:rsidRPr="007F2900">
        <w:t xml:space="preserve">Dispositif de mesure (et méthodologie utilisée)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2"/>
      <w:bookmarkEnd w:id="213"/>
      <w:r w:rsidR="00BA07CA">
        <w:t> :</w:t>
      </w:r>
    </w:p>
    <w:p w14:paraId="2679F00A" w14:textId="2C1CA4F5" w:rsidR="00331B88" w:rsidRPr="004A3FB7" w:rsidRDefault="00BA07CA" w:rsidP="006D1AEB">
      <w:pPr>
        <w:pStyle w:val="SGACP-enumerationniveau1"/>
        <w:ind w:left="284" w:hanging="284"/>
      </w:pPr>
      <w:r>
        <w:t>d</w:t>
      </w:r>
      <w:r w:rsidR="00463A1C" w:rsidRPr="007F2900">
        <w:t xml:space="preserve">escription des outils et de la méthodologie utilisée en matière de gestion </w:t>
      </w:r>
      <w:r w:rsidR="00CC5EB8">
        <w:t>d</w:t>
      </w:r>
      <w:r w:rsidR="00115C0E">
        <w:t>es</w:t>
      </w:r>
      <w:r w:rsidR="007B4FDB" w:rsidRPr="007F2900">
        <w:t xml:space="preserve"> </w:t>
      </w:r>
      <w:r w:rsidR="00463A1C" w:rsidRPr="007F2900">
        <w:t>risque</w:t>
      </w:r>
      <w:r w:rsidR="00115C0E">
        <w:t>s</w:t>
      </w:r>
      <w:r w:rsidR="00463A1C" w:rsidRPr="007F2900">
        <w:t xml:space="preserve"> de liquidité</w:t>
      </w:r>
      <w:r w:rsidR="00676255">
        <w:t xml:space="preserve"> : </w:t>
      </w:r>
      <w:r w:rsidR="00463A1C" w:rsidRPr="0033036E">
        <w:rPr>
          <w:i/>
          <w:iCs/>
        </w:rPr>
        <w:t>préciser les</w:t>
      </w:r>
      <w:r w:rsidR="003077D0">
        <w:rPr>
          <w:i/>
          <w:iCs/>
        </w:rPr>
        <w:t xml:space="preserve"> </w:t>
      </w:r>
      <w:r w:rsidR="00463A1C" w:rsidRPr="0033036E">
        <w:rPr>
          <w:i/>
          <w:iCs/>
        </w:rPr>
        <w:t>hypothèses retenu</w:t>
      </w:r>
      <w:r w:rsidR="003077D0">
        <w:rPr>
          <w:i/>
          <w:iCs/>
        </w:rPr>
        <w:t>e</w:t>
      </w:r>
      <w:r w:rsidR="00463A1C" w:rsidRPr="0033036E">
        <w:rPr>
          <w:i/>
          <w:iCs/>
        </w:rPr>
        <w:t xml:space="preserve">s </w:t>
      </w:r>
      <w:r w:rsidR="003F41DE">
        <w:rPr>
          <w:i/>
          <w:iCs/>
        </w:rPr>
        <w:t xml:space="preserve">et les échéances prises en compte </w:t>
      </w:r>
      <w:r w:rsidR="00463A1C" w:rsidRPr="0033036E">
        <w:rPr>
          <w:i/>
          <w:iCs/>
        </w:rPr>
        <w:t>pour le calcul des indicateurs utilisés par l</w:t>
      </w:r>
      <w:r w:rsidR="001224E7">
        <w:rPr>
          <w:i/>
          <w:iCs/>
        </w:rPr>
        <w:t>’</w:t>
      </w:r>
      <w:r w:rsidR="00463A1C" w:rsidRPr="0033036E">
        <w:rPr>
          <w:i/>
          <w:iCs/>
        </w:rPr>
        <w:t>établissement</w:t>
      </w:r>
      <w:r w:rsidR="00E40DCA">
        <w:rPr>
          <w:i/>
          <w:iCs/>
        </w:rPr>
        <w:t xml:space="preserve"> (</w:t>
      </w:r>
      <w:r w:rsidR="00156279">
        <w:rPr>
          <w:i/>
          <w:iCs/>
        </w:rPr>
        <w:t xml:space="preserve">cf. </w:t>
      </w:r>
      <w:r w:rsidR="00E40DCA">
        <w:rPr>
          <w:i/>
          <w:iCs/>
        </w:rPr>
        <w:t>article 156 de l’arrêté du 3 novembre 2014</w:t>
      </w:r>
      <w:r w:rsidR="00154A06">
        <w:rPr>
          <w:i/>
          <w:iCs/>
        </w:rPr>
        <w:t xml:space="preserve"> modifié</w:t>
      </w:r>
      <w:r w:rsidR="00E40DCA">
        <w:rPr>
          <w:i/>
          <w:iCs/>
        </w:rPr>
        <w:t>)</w:t>
      </w:r>
      <w:r w:rsidR="00741822">
        <w:rPr>
          <w:i/>
          <w:iCs/>
        </w:rPr>
        <w:t xml:space="preserve">, </w:t>
      </w:r>
      <w:r w:rsidR="001E6030">
        <w:rPr>
          <w:i/>
          <w:iCs/>
        </w:rPr>
        <w:t>en lien avec la complexité des activités, le profil de risque et la tolérance au risque de l’établissement,</w:t>
      </w:r>
      <w:r w:rsidR="003A2F26">
        <w:rPr>
          <w:i/>
          <w:iCs/>
        </w:rPr>
        <w:t xml:space="preserve"> </w:t>
      </w:r>
      <w:r w:rsidR="00BB535B">
        <w:rPr>
          <w:i/>
          <w:iCs/>
        </w:rPr>
        <w:t xml:space="preserve">déclinaison </w:t>
      </w:r>
      <w:r w:rsidR="00810050">
        <w:rPr>
          <w:i/>
          <w:iCs/>
        </w:rPr>
        <w:t xml:space="preserve">des systèmes d’information, </w:t>
      </w:r>
      <w:r w:rsidR="00BB535B">
        <w:rPr>
          <w:i/>
          <w:iCs/>
        </w:rPr>
        <w:t xml:space="preserve">des outils et indicateurs </w:t>
      </w:r>
      <w:r w:rsidR="00B43DDC">
        <w:rPr>
          <w:i/>
          <w:iCs/>
        </w:rPr>
        <w:t>utilisés</w:t>
      </w:r>
      <w:r w:rsidR="00BB535B">
        <w:rPr>
          <w:i/>
          <w:iCs/>
        </w:rPr>
        <w:t xml:space="preserve"> pour chaque</w:t>
      </w:r>
      <w:r w:rsidR="00741822">
        <w:rPr>
          <w:i/>
          <w:iCs/>
        </w:rPr>
        <w:t xml:space="preserve"> devise dans l</w:t>
      </w:r>
      <w:r w:rsidR="00BB535B">
        <w:rPr>
          <w:i/>
          <w:iCs/>
        </w:rPr>
        <w:t>a</w:t>
      </w:r>
      <w:r w:rsidR="00741822">
        <w:rPr>
          <w:i/>
          <w:iCs/>
        </w:rPr>
        <w:t>quelle l’établissement développe une activité importante</w:t>
      </w:r>
      <w:r w:rsidR="00676255">
        <w:rPr>
          <w:i/>
          <w:iCs/>
        </w:rPr>
        <w:t xml:space="preserve">, préciser les scénarios alternatifs </w:t>
      </w:r>
      <w:r w:rsidR="00FD1CA2">
        <w:rPr>
          <w:i/>
          <w:iCs/>
        </w:rPr>
        <w:t>tels que prévus à l’</w:t>
      </w:r>
      <w:r w:rsidR="00676255">
        <w:rPr>
          <w:i/>
          <w:iCs/>
        </w:rPr>
        <w:t>article</w:t>
      </w:r>
      <w:r w:rsidR="00115C0E">
        <w:rPr>
          <w:i/>
          <w:iCs/>
        </w:rPr>
        <w:t xml:space="preserve"> </w:t>
      </w:r>
      <w:r w:rsidR="00676255">
        <w:rPr>
          <w:i/>
          <w:iCs/>
        </w:rPr>
        <w:t>168 de l’arrêté du 3 novembre 2014</w:t>
      </w:r>
      <w:r w:rsidR="00154A06">
        <w:rPr>
          <w:i/>
          <w:iCs/>
        </w:rPr>
        <w:t xml:space="preserve"> modifié</w:t>
      </w:r>
      <w:r>
        <w:rPr>
          <w:i/>
          <w:iCs/>
        </w:rPr>
        <w:t> </w:t>
      </w:r>
      <w:r w:rsidRPr="00935917">
        <w:rPr>
          <w:iCs/>
        </w:rPr>
        <w:t>;</w:t>
      </w:r>
    </w:p>
    <w:p w14:paraId="2EFA6FEC" w14:textId="77777777" w:rsidR="004A3FB7" w:rsidRDefault="002F066C" w:rsidP="00460E3D">
      <w:pPr>
        <w:pStyle w:val="SGACP-enumerationniveau1"/>
        <w:numPr>
          <w:ilvl w:val="0"/>
          <w:numId w:val="38"/>
        </w:numPr>
        <w:ind w:left="284" w:hanging="284"/>
      </w:pPr>
      <w:r>
        <w:t>l</w:t>
      </w:r>
      <w:r w:rsidR="004A3FB7" w:rsidRPr="007F2900">
        <w:t xml:space="preserve">es </w:t>
      </w:r>
      <w:r w:rsidR="00C90DD5">
        <w:t>sociétés de financement</w:t>
      </w:r>
      <w:r w:rsidR="004A3FB7">
        <w:t xml:space="preserve"> </w:t>
      </w:r>
      <w:r w:rsidR="004A3FB7" w:rsidRPr="007F2900">
        <w:t>élaborent une annexe au rapport</w:t>
      </w:r>
      <w:r w:rsidR="004A3FB7">
        <w:t> </w:t>
      </w:r>
      <w:r w:rsidR="004A3FB7" w:rsidRPr="007F2900">
        <w:t xml:space="preserve">: </w:t>
      </w:r>
    </w:p>
    <w:p w14:paraId="58A484BA" w14:textId="77777777" w:rsidR="004A3FB7" w:rsidRDefault="004A3FB7" w:rsidP="00460E3D">
      <w:pPr>
        <w:pStyle w:val="SGACP-enumerationniveau2"/>
        <w:numPr>
          <w:ilvl w:val="0"/>
          <w:numId w:val="37"/>
        </w:numPr>
      </w:pPr>
      <w:r>
        <w:t>d</w:t>
      </w:r>
      <w:r w:rsidRPr="007F2900">
        <w:t>écrivant les caractéristiques et hypothèses utilisées pour établir le tableau de trésorerie prévisionnelle et les modifications intervenues au cours de l</w:t>
      </w:r>
      <w:r>
        <w:t>’</w:t>
      </w:r>
      <w:r w:rsidRPr="007F2900">
        <w:t>exercice</w:t>
      </w:r>
      <w:r>
        <w:t>,</w:t>
      </w:r>
    </w:p>
    <w:p w14:paraId="3A84C52A" w14:textId="77777777" w:rsidR="004A3FB7" w:rsidRPr="004B0BE5" w:rsidRDefault="004A3FB7" w:rsidP="00460E3D">
      <w:pPr>
        <w:pStyle w:val="SGACP-enumerationniveau2"/>
        <w:numPr>
          <w:ilvl w:val="0"/>
          <w:numId w:val="37"/>
        </w:numPr>
      </w:pPr>
      <w:r>
        <w:t>c</w:t>
      </w:r>
      <w:r w:rsidRPr="007F2900">
        <w:t>omportant une analyse de l</w:t>
      </w:r>
      <w:r>
        <w:t>’</w:t>
      </w:r>
      <w:r w:rsidRPr="007F2900">
        <w:t>évolution des impasses calculées dans les tableaux de trésorerie établis au cours de l</w:t>
      </w:r>
      <w:r>
        <w:t>’</w:t>
      </w:r>
      <w:r w:rsidRPr="007F2900">
        <w:t>exercice</w:t>
      </w:r>
      <w:r w:rsidR="002416E6">
        <w:t>.</w:t>
      </w:r>
    </w:p>
    <w:p w14:paraId="128C9DD3" w14:textId="397A4B9C" w:rsidR="00061399" w:rsidRPr="002906E2" w:rsidRDefault="00061399" w:rsidP="006D1AEB">
      <w:pPr>
        <w:pStyle w:val="SGACP-enumerationniveau1"/>
        <w:ind w:left="284" w:hanging="284"/>
      </w:pPr>
      <w:r>
        <w:t xml:space="preserve">le cas échéant, description et justification des scénarios spécifiques à certaines implantations étrangères, entités juridiques ou lignes </w:t>
      </w:r>
      <w:r w:rsidRPr="002906E2">
        <w:t>d’activité</w:t>
      </w:r>
      <w:r w:rsidRPr="001D505C">
        <w:t xml:space="preserve"> (cf. article 171 de l’arrêté du 3 novembre 2014</w:t>
      </w:r>
      <w:r w:rsidR="00154A06">
        <w:t xml:space="preserve"> modifié</w:t>
      </w:r>
      <w:r w:rsidRPr="001D505C">
        <w:t>)</w:t>
      </w:r>
      <w:r w:rsidRPr="002906E2">
        <w:t> ;</w:t>
      </w:r>
    </w:p>
    <w:p w14:paraId="378F58A8" w14:textId="77777777" w:rsidR="00331B88" w:rsidRDefault="00BA07CA" w:rsidP="006D1AEB">
      <w:pPr>
        <w:pStyle w:val="SGACP-enumerationniveau1"/>
        <w:ind w:left="284" w:hanging="284"/>
      </w:pPr>
      <w:r>
        <w:t>i</w:t>
      </w:r>
      <w:r w:rsidR="00463A1C" w:rsidRPr="007F2900">
        <w:t xml:space="preserve">nformations sur les dépôts et leur diversification </w:t>
      </w:r>
      <w:r w:rsidR="00463A1C" w:rsidRPr="00210431">
        <w:rPr>
          <w:iCs/>
        </w:rPr>
        <w:t>(en nombre de déposants)</w:t>
      </w:r>
      <w:r>
        <w:rPr>
          <w:i/>
          <w:iCs/>
        </w:rPr>
        <w:t> </w:t>
      </w:r>
      <w:r>
        <w:t>;</w:t>
      </w:r>
    </w:p>
    <w:p w14:paraId="1148F6EE" w14:textId="77777777" w:rsidR="00D82DEF" w:rsidRDefault="00D82DEF" w:rsidP="00061399">
      <w:pPr>
        <w:pStyle w:val="SGACP-enumerationniveau1"/>
        <w:ind w:left="284" w:hanging="284"/>
      </w:pPr>
      <w:r w:rsidRPr="007F2900">
        <w:t>description des hypothèses retenues pour constituer le stock d</w:t>
      </w:r>
      <w:r>
        <w:t>’</w:t>
      </w:r>
      <w:r w:rsidRPr="007F2900">
        <w:t>actifs liquides</w:t>
      </w:r>
      <w:r w:rsidR="007A3873">
        <w:t xml:space="preserve"> en lien avec le dispositif de limites en matière de risque de liquidité</w:t>
      </w:r>
      <w:r>
        <w:t> ;</w:t>
      </w:r>
    </w:p>
    <w:p w14:paraId="3735D065" w14:textId="77777777" w:rsidR="00D82DEF" w:rsidRDefault="00D82DEF" w:rsidP="00D82DEF">
      <w:pPr>
        <w:pStyle w:val="SGACP-enumerationniveau1"/>
        <w:ind w:left="284" w:hanging="284"/>
      </w:pPr>
      <w:r>
        <w:t>description des moyens mis en œuvre pour connaître en permanence le stock d’actifs liquides nécessaires et des hypothèses d’ajustement aux différents horizons considérés</w:t>
      </w:r>
      <w:r w:rsidR="00212758">
        <w:t> ;</w:t>
      </w:r>
    </w:p>
    <w:p w14:paraId="2688748E" w14:textId="5A6EBD3B" w:rsidR="007B0C26" w:rsidRPr="008C7F20" w:rsidRDefault="007B0C26" w:rsidP="007B0C26">
      <w:pPr>
        <w:pStyle w:val="SGACP-enumerationniveau1"/>
        <w:ind w:left="284" w:hanging="284"/>
      </w:pPr>
      <w:r>
        <w:t>d</w:t>
      </w:r>
      <w:r w:rsidRPr="008C7F20">
        <w:t>escription de la méthodologie utilisée en matière d’évaluation</w:t>
      </w:r>
      <w:r>
        <w:t xml:space="preserve"> régulière</w:t>
      </w:r>
      <w:r w:rsidR="00F43E68">
        <w:t xml:space="preserve">, </w:t>
      </w:r>
      <w:r w:rsidRPr="008C7F20">
        <w:t xml:space="preserve">conformément à l’article 23 du règlement délégué </w:t>
      </w:r>
      <w:r w:rsidR="00F43E68">
        <w:t>(UE) 2015/61</w:t>
      </w:r>
      <w:r w:rsidR="005E4A09">
        <w:t xml:space="preserve"> modifié</w:t>
      </w:r>
      <w:r w:rsidR="00F43E68">
        <w:t xml:space="preserve"> sur l’exigence de couverture des besoins de liquidité pour les établissements de crédit (</w:t>
      </w:r>
      <w:r w:rsidR="00F43E68" w:rsidRPr="00F43E68">
        <w:rPr>
          <w:i/>
        </w:rPr>
        <w:t>Liquidity Coverage Ratio – LCR</w:t>
      </w:r>
      <w:r w:rsidR="00F43E68">
        <w:t>),</w:t>
      </w:r>
      <w:r w:rsidRPr="008C7F20">
        <w:t xml:space="preserve"> </w:t>
      </w:r>
      <w:r>
        <w:t>de la probabilité et du</w:t>
      </w:r>
      <w:r w:rsidRPr="008C7F20">
        <w:t xml:space="preserve"> volume potentiel, sur 30 jours calendaires, des sorties de trésorerie liées aux produits ou services qui ne relèvent pas des articles 27 à 31 du LCR</w:t>
      </w:r>
      <w:r>
        <w:t>. Le cas échéant, information sur l’existence de sorties de trésorerie réelles qui ne seraient pas envisagées par la Décision 2016-C-26 de l’ACPR</w:t>
      </w:r>
      <w:r w:rsidR="00793249">
        <w:t> ;</w:t>
      </w:r>
    </w:p>
    <w:p w14:paraId="5BEC3876" w14:textId="77777777" w:rsidR="00D82DEF" w:rsidRDefault="003F2E71" w:rsidP="006D1AEB">
      <w:pPr>
        <w:pStyle w:val="SGACP-enumerationniveau1"/>
        <w:ind w:left="284" w:hanging="284"/>
      </w:pPr>
      <w:r>
        <w:t>m</w:t>
      </w:r>
      <w:r w:rsidR="00D82DEF">
        <w:t>odalités de prise en compte du coût interne de la liquidité et analyse de l’évolution des indicateurs de coût de la liquidité au cours de l’exercice ;</w:t>
      </w:r>
    </w:p>
    <w:p w14:paraId="103EEEA5" w14:textId="77777777" w:rsidR="00810050" w:rsidRDefault="00810050" w:rsidP="00810050">
      <w:pPr>
        <w:pStyle w:val="SGACP-enumerationniveau1"/>
        <w:ind w:left="284" w:hanging="284"/>
      </w:pPr>
      <w:r>
        <w:t>modalités de prise en compte</w:t>
      </w:r>
      <w:r w:rsidR="00107C50">
        <w:t>, de mesure, de suivi</w:t>
      </w:r>
      <w:r>
        <w:t xml:space="preserve"> et d’encadrement du risque de liquidité intra-journalier</w:t>
      </w:r>
      <w:r w:rsidR="002C0F9D">
        <w:t> </w:t>
      </w:r>
      <w:r>
        <w:t>;</w:t>
      </w:r>
    </w:p>
    <w:p w14:paraId="5955F95F" w14:textId="77777777" w:rsidR="00C63DA5" w:rsidRDefault="00C63DA5" w:rsidP="00C63DA5">
      <w:pPr>
        <w:pStyle w:val="SGACP-enumerationniveau1"/>
        <w:ind w:left="284" w:hanging="284"/>
      </w:pPr>
      <w:r>
        <w:t xml:space="preserve">description des plans de financement : </w:t>
      </w:r>
      <w:r w:rsidRPr="00015F28">
        <w:t xml:space="preserve">modalités d’évaluation de la capacité à lever des fonds auprès des sources de financement </w:t>
      </w:r>
      <w:r>
        <w:t xml:space="preserve">de l’entreprise </w:t>
      </w:r>
      <w:r w:rsidRPr="00015F28">
        <w:t>en temps normal et en période de stress sur toutes les maturités envisagées et par devise</w:t>
      </w:r>
      <w:r>
        <w:t xml:space="preserve"> (</w:t>
      </w:r>
      <w:r w:rsidRPr="003B3DA5">
        <w:rPr>
          <w:i/>
        </w:rPr>
        <w:t>hypothèses et résultats des tests effectués</w:t>
      </w:r>
      <w:r>
        <w:t>…</w:t>
      </w:r>
      <w:r w:rsidRPr="00015F28">
        <w:t>)</w:t>
      </w:r>
      <w:r>
        <w:t>, modalités de prise en compte du risque de réputation, modalités de distinction des actifs grevés et non grevés disponibles à tout moment notamment en situation d’urgence et modalités de prise en compte des limitations d’ordre juridique, règlementaire et opérationnel aux éventuels transferts de liquidité et d’actifs non grevés entre les entités, modalités de prise en compte des possibles décotes en cas de cession d’actifs dans des délais brefs</w:t>
      </w:r>
      <w:r w:rsidRPr="00015F28">
        <w:t> ;</w:t>
      </w:r>
    </w:p>
    <w:p w14:paraId="524C8BA6" w14:textId="77777777" w:rsidR="00331B88" w:rsidRDefault="00C63DA5" w:rsidP="00C63DA5">
      <w:pPr>
        <w:pStyle w:val="SGACP-enumerationniveau1"/>
        <w:ind w:left="284" w:hanging="284"/>
      </w:pPr>
      <w:r>
        <w:t>description d</w:t>
      </w:r>
      <w:r w:rsidRPr="001D505C">
        <w:t>es</w:t>
      </w:r>
      <w:r>
        <w:rPr>
          <w:i/>
        </w:rPr>
        <w:t xml:space="preserve"> </w:t>
      </w:r>
      <w:r w:rsidR="007D0344" w:rsidRPr="00C63DA5">
        <w:rPr>
          <w:i/>
        </w:rPr>
        <w:t>stress scenarii</w:t>
      </w:r>
      <w:r w:rsidR="00463A1C" w:rsidRPr="007F2900">
        <w:t xml:space="preserve"> utilisés pour mesurer le risque encouru en cas de forte variation des paramètres de marché </w:t>
      </w:r>
      <w:r w:rsidR="00463A1C" w:rsidRPr="0033036E">
        <w:t>(indiquer les hypothèses retenues ainsi que leur périodicité de révision et décrire le processus de leur validation ;</w:t>
      </w:r>
      <w:r w:rsidR="003F2E71">
        <w:t xml:space="preserve"> </w:t>
      </w:r>
      <w:r w:rsidR="00463A1C" w:rsidRPr="0033036E">
        <w:t>indiquer le résultat de la simulation et les modalités de sa communication à l</w:t>
      </w:r>
      <w:r w:rsidR="001224E7">
        <w:t>’</w:t>
      </w:r>
      <w:r w:rsidR="00463A1C" w:rsidRPr="0033036E">
        <w:t xml:space="preserve">organe </w:t>
      </w:r>
      <w:r w:rsidR="0094273B">
        <w:t>de surveillance</w:t>
      </w:r>
      <w:r w:rsidR="00463A1C" w:rsidRPr="0033036E">
        <w:t>)</w:t>
      </w:r>
      <w:r>
        <w:t xml:space="preserve">, ainsi que les </w:t>
      </w:r>
      <w:r w:rsidR="00BA07CA">
        <w:t>p</w:t>
      </w:r>
      <w:r w:rsidR="00463A1C" w:rsidRPr="007F2900">
        <w:t>rincipales conclusions de l</w:t>
      </w:r>
      <w:r w:rsidR="001224E7">
        <w:t>’</w:t>
      </w:r>
      <w:r w:rsidR="00463A1C" w:rsidRPr="007F2900">
        <w:t>analyse du risque encouru en cas de forte variation des paramètres de marché</w:t>
      </w:r>
      <w:r w:rsidR="00BA07CA">
        <w:t> ;</w:t>
      </w:r>
    </w:p>
    <w:p w14:paraId="5D964CD9" w14:textId="77777777" w:rsidR="00AB7BAE" w:rsidRDefault="00BA07CA" w:rsidP="006D1AEB">
      <w:pPr>
        <w:pStyle w:val="SGACP-enumerationniveau1"/>
        <w:ind w:left="284" w:hanging="284"/>
      </w:pPr>
      <w:r>
        <w:t>d</w:t>
      </w:r>
      <w:r w:rsidR="00463A1C" w:rsidRPr="007F2900">
        <w:t>escription des plans d</w:t>
      </w:r>
      <w:r w:rsidR="001224E7">
        <w:t>’</w:t>
      </w:r>
      <w:r w:rsidR="00463A1C" w:rsidRPr="007F2900">
        <w:t xml:space="preserve">urgence mis en place pour faire face à une crise de liquidité </w:t>
      </w:r>
      <w:r w:rsidR="00463A1C" w:rsidRPr="0033036E">
        <w:t>(le plan doit prendre en compte à la fois le risque propre de refinancement, le risque d</w:t>
      </w:r>
      <w:r w:rsidR="001224E7">
        <w:t>’</w:t>
      </w:r>
      <w:r w:rsidR="00463A1C" w:rsidRPr="0033036E">
        <w:t>assèchement des marchés et les interactions entre les deux risques</w:t>
      </w:r>
      <w:r w:rsidR="007A3873">
        <w:t xml:space="preserve"> en intégrant également la dimension du risque de liquidité intra-journalier le cas échéant)</w:t>
      </w:r>
      <w:r w:rsidR="008D1A92">
        <w:rPr>
          <w:i/>
        </w:rPr>
        <w:t> </w:t>
      </w:r>
      <w:r w:rsidR="008D1A92" w:rsidRPr="00210431">
        <w:t>:</w:t>
      </w:r>
      <w:r w:rsidR="008D1A92">
        <w:rPr>
          <w:i/>
        </w:rPr>
        <w:t xml:space="preserve"> p</w:t>
      </w:r>
      <w:r w:rsidR="00400F0B" w:rsidRPr="00210431">
        <w:rPr>
          <w:i/>
        </w:rPr>
        <w:t xml:space="preserve">réciser notamment les procédures </w:t>
      </w:r>
      <w:r w:rsidR="009D3E45" w:rsidRPr="00210431">
        <w:rPr>
          <w:i/>
        </w:rPr>
        <w:t>mises en place</w:t>
      </w:r>
      <w:r w:rsidR="00400F0B" w:rsidRPr="00210431">
        <w:rPr>
          <w:i/>
        </w:rPr>
        <w:t xml:space="preserve"> (</w:t>
      </w:r>
      <w:r w:rsidR="009D3E45" w:rsidRPr="00210431">
        <w:rPr>
          <w:i/>
        </w:rPr>
        <w:t>identité et niveau hiérarchique des personnes concernées,</w:t>
      </w:r>
      <w:r w:rsidR="00400F0B" w:rsidRPr="00210431">
        <w:rPr>
          <w:i/>
        </w:rPr>
        <w:t xml:space="preserve"> solutions d’accès à la liquidité envisagée, communication au public, tests réguliers des plans d’urgence…)</w:t>
      </w:r>
      <w:r w:rsidR="00AB7BAE">
        <w:t> ;</w:t>
      </w:r>
    </w:p>
    <w:p w14:paraId="6A0F1019" w14:textId="77777777" w:rsidR="00E55A05" w:rsidRDefault="00E55A05" w:rsidP="00BD1DB7">
      <w:pPr>
        <w:pStyle w:val="Paragraphedeliste"/>
        <w:ind w:left="284"/>
      </w:pPr>
    </w:p>
    <w:p w14:paraId="5EE9852B" w14:textId="77777777" w:rsidR="00C11245" w:rsidRDefault="00AB7BAE" w:rsidP="00460E3D">
      <w:pPr>
        <w:pStyle w:val="Paragraphedeliste"/>
        <w:numPr>
          <w:ilvl w:val="2"/>
          <w:numId w:val="3"/>
        </w:numPr>
        <w:ind w:left="284" w:hanging="284"/>
      </w:pPr>
      <w:r>
        <w:t xml:space="preserve">description des plans de </w:t>
      </w:r>
      <w:r w:rsidR="00FD19A5">
        <w:t>rétablissement</w:t>
      </w:r>
      <w:r>
        <w:t xml:space="preserve"> de la liquidité fixant les stratégies et mesures de mise en œuvre afin de remédier aux éventuels déficits de liquidité et devant être testés régulièrement</w:t>
      </w:r>
      <w:r w:rsidR="008D1A92">
        <w:t xml:space="preserve"> : </w:t>
      </w:r>
      <w:r w:rsidR="008D1A92" w:rsidRPr="00E55A05">
        <w:rPr>
          <w:i/>
        </w:rPr>
        <w:t>p</w:t>
      </w:r>
      <w:r w:rsidRPr="00E55A05">
        <w:rPr>
          <w:i/>
        </w:rPr>
        <w:t>réciser notamment les mesures opérationnelles adoptées garantissant une mise en œuvre immédiate de ces plans de rétablissement (détention de sûretés immédiatement disponibles…)</w:t>
      </w:r>
      <w:r w:rsidR="00400F0B">
        <w:t>.</w:t>
      </w:r>
      <w:bookmarkStart w:id="214" w:name="_Toc244576477"/>
      <w:bookmarkStart w:id="215" w:name="_Toc266799840"/>
    </w:p>
    <w:p w14:paraId="3FA6A6A7" w14:textId="77777777" w:rsidR="00CA2B80" w:rsidRDefault="00CA2B80" w:rsidP="0057714C">
      <w:pPr>
        <w:pStyle w:val="SGACP-sous-titrederubriquenivaeu2"/>
      </w:pPr>
    </w:p>
    <w:p w14:paraId="77541AF3" w14:textId="77777777" w:rsidR="00223533" w:rsidRPr="007F2900" w:rsidRDefault="008F3AF1" w:rsidP="0057714C">
      <w:pPr>
        <w:pStyle w:val="SGACP-sous-titrederubriquenivaeu2"/>
      </w:pPr>
      <w:r>
        <w:t>16</w:t>
      </w:r>
      <w:r w:rsidR="0033036E">
        <w:t>.2.</w:t>
      </w:r>
      <w:r w:rsidR="0033036E">
        <w:tab/>
      </w:r>
      <w:r w:rsidR="00463A1C" w:rsidRPr="007F2900">
        <w:t xml:space="preserve">Dispositif de surveillance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4"/>
      <w:bookmarkEnd w:id="215"/>
      <w:r w:rsidR="00BA07CA">
        <w:t> :</w:t>
      </w:r>
    </w:p>
    <w:p w14:paraId="709AC4A6" w14:textId="77777777" w:rsidR="00331B88" w:rsidRDefault="00BA07CA" w:rsidP="006D1AEB">
      <w:pPr>
        <w:pStyle w:val="SGACP-enumerationniveau1"/>
        <w:ind w:left="284" w:hanging="284"/>
      </w:pPr>
      <w:r>
        <w:t>d</w:t>
      </w:r>
      <w:r w:rsidR="00463A1C" w:rsidRPr="007F2900">
        <w:t>escription synthétique des limites fixées en matière de risque</w:t>
      </w:r>
      <w:r w:rsidR="00603E9D">
        <w:t>s</w:t>
      </w:r>
      <w:r w:rsidR="00463A1C" w:rsidRPr="007F2900">
        <w:t xml:space="preserve"> de liquidité</w:t>
      </w:r>
      <w:r w:rsidR="0033036E">
        <w:t xml:space="preserve"> </w:t>
      </w:r>
      <w:r w:rsidR="00D10B4B">
        <w:t>ainsi que du niveau de tolérance au</w:t>
      </w:r>
      <w:r w:rsidR="00603E9D">
        <w:t>x</w:t>
      </w:r>
      <w:r w:rsidR="00D10B4B">
        <w:t xml:space="preserve"> risque</w:t>
      </w:r>
      <w:r w:rsidR="00603E9D">
        <w:t>s</w:t>
      </w:r>
      <w:r w:rsidR="00D10B4B">
        <w:t xml:space="preserve"> de liquidité </w:t>
      </w:r>
      <w:r w:rsidR="00463A1C" w:rsidRPr="00210431">
        <w:rPr>
          <w:i/>
        </w:rPr>
        <w:t xml:space="preserve">(préciser </w:t>
      </w:r>
      <w:r w:rsidR="00E81565">
        <w:rPr>
          <w:i/>
        </w:rPr>
        <w:t xml:space="preserve">et justifier </w:t>
      </w:r>
      <w:r w:rsidR="00463A1C" w:rsidRPr="00210431">
        <w:rPr>
          <w:i/>
        </w:rPr>
        <w:t>le</w:t>
      </w:r>
      <w:r w:rsidR="00D10B4B" w:rsidRPr="00210431">
        <w:rPr>
          <w:i/>
        </w:rPr>
        <w:t>s</w:t>
      </w:r>
      <w:r w:rsidR="00463A1C" w:rsidRPr="00210431">
        <w:rPr>
          <w:i/>
        </w:rPr>
        <w:t xml:space="preserve"> niveau</w:t>
      </w:r>
      <w:r w:rsidR="00D10B4B" w:rsidRPr="00210431">
        <w:rPr>
          <w:i/>
        </w:rPr>
        <w:t>x</w:t>
      </w:r>
      <w:r w:rsidR="00463A1C" w:rsidRPr="00210431">
        <w:rPr>
          <w:i/>
        </w:rPr>
        <w:t>, par type d</w:t>
      </w:r>
      <w:r w:rsidR="001224E7" w:rsidRPr="00210431">
        <w:rPr>
          <w:i/>
        </w:rPr>
        <w:t>’</w:t>
      </w:r>
      <w:r w:rsidR="00463A1C" w:rsidRPr="00210431">
        <w:rPr>
          <w:i/>
        </w:rPr>
        <w:t xml:space="preserve">activité, </w:t>
      </w:r>
      <w:r w:rsidR="00B43DDC" w:rsidRPr="00210431">
        <w:rPr>
          <w:i/>
        </w:rPr>
        <w:t xml:space="preserve">par devise, </w:t>
      </w:r>
      <w:r w:rsidR="00463A1C" w:rsidRPr="00210431">
        <w:rPr>
          <w:i/>
        </w:rPr>
        <w:t>par type de contrepartie, par rapport au volume d</w:t>
      </w:r>
      <w:r w:rsidR="001224E7" w:rsidRPr="00210431">
        <w:rPr>
          <w:i/>
        </w:rPr>
        <w:t>’</w:t>
      </w:r>
      <w:r w:rsidR="00463A1C" w:rsidRPr="00210431">
        <w:rPr>
          <w:i/>
        </w:rPr>
        <w:t>opérations de ces contreparties et par rapport aux fonds propres)</w:t>
      </w:r>
      <w:r>
        <w:t> ;</w:t>
      </w:r>
    </w:p>
    <w:p w14:paraId="7C77158D" w14:textId="77777777" w:rsidR="00331B88" w:rsidRPr="001D505C" w:rsidRDefault="00E81565" w:rsidP="006D1AEB">
      <w:pPr>
        <w:pStyle w:val="SGACP-enumerationniveau1"/>
        <w:ind w:left="284" w:hanging="284"/>
      </w:pPr>
      <w:r>
        <w:t xml:space="preserve">procédure et </w:t>
      </w:r>
      <w:r w:rsidR="00BA07CA">
        <w:t>p</w:t>
      </w:r>
      <w:r w:rsidR="00463A1C" w:rsidRPr="007F2900">
        <w:t>ériodicité de la révision des limites fixées en matière de risque</w:t>
      </w:r>
      <w:r w:rsidR="00603E9D">
        <w:t>s</w:t>
      </w:r>
      <w:r w:rsidR="00463A1C" w:rsidRPr="007F2900">
        <w:t xml:space="preserve"> de liquidité</w:t>
      </w:r>
      <w:r w:rsidR="00463A1C" w:rsidRPr="0033036E">
        <w:rPr>
          <w:i/>
          <w:iCs/>
        </w:rPr>
        <w:t xml:space="preserve"> (indiquer la date de la dernière révision</w:t>
      </w:r>
      <w:r>
        <w:rPr>
          <w:i/>
          <w:iCs/>
        </w:rPr>
        <w:t xml:space="preserve"> les intervenants, les modalités suivies</w:t>
      </w:r>
      <w:r w:rsidR="00463A1C" w:rsidRPr="0033036E">
        <w:rPr>
          <w:i/>
          <w:iCs/>
        </w:rPr>
        <w:t>)</w:t>
      </w:r>
      <w:r w:rsidR="00BA07CA">
        <w:rPr>
          <w:i/>
          <w:iCs/>
        </w:rPr>
        <w:t> </w:t>
      </w:r>
      <w:r w:rsidR="00BA07CA" w:rsidRPr="00935917">
        <w:rPr>
          <w:iCs/>
        </w:rPr>
        <w:t>;</w:t>
      </w:r>
    </w:p>
    <w:p w14:paraId="7F82CF29" w14:textId="77777777" w:rsidR="00D02EE7" w:rsidRDefault="00D02EE7" w:rsidP="00D02EE7">
      <w:pPr>
        <w:pStyle w:val="SGACP-enumerationniveau1"/>
        <w:ind w:left="284" w:hanging="284"/>
      </w:pPr>
      <w:r>
        <w:t>p</w:t>
      </w:r>
      <w:r w:rsidRPr="007F2900">
        <w:t xml:space="preserve">ériodicité de la révision </w:t>
      </w:r>
      <w:r>
        <w:t>des critères d’identification, de valorisati</w:t>
      </w:r>
      <w:r w:rsidR="002A0667">
        <w:t xml:space="preserve">on, de liquidité, </w:t>
      </w:r>
      <w:r>
        <w:t xml:space="preserve">de disponibilité des actifs </w:t>
      </w:r>
      <w:r w:rsidR="002A0667">
        <w:t>et de prise en compte des instruments d</w:t>
      </w:r>
      <w:r w:rsidR="00603E9D">
        <w:t>’atténuation des</w:t>
      </w:r>
      <w:r w:rsidR="002A0667">
        <w:t xml:space="preserve"> risque</w:t>
      </w:r>
      <w:r w:rsidR="00603E9D">
        <w:t>s</w:t>
      </w:r>
      <w:r w:rsidR="002A0667">
        <w:t xml:space="preserve"> de liquidité </w:t>
      </w:r>
      <w:r w:rsidRPr="0033036E">
        <w:rPr>
          <w:i/>
          <w:iCs/>
        </w:rPr>
        <w:t>(indiquer la date de la dernière révision)</w:t>
      </w:r>
      <w:r>
        <w:rPr>
          <w:i/>
          <w:iCs/>
        </w:rPr>
        <w:t> </w:t>
      </w:r>
      <w:r w:rsidRPr="00935917">
        <w:rPr>
          <w:iCs/>
        </w:rPr>
        <w:t>;</w:t>
      </w:r>
    </w:p>
    <w:p w14:paraId="58524B5C" w14:textId="77777777" w:rsidR="00D02EE7" w:rsidRDefault="002A0667" w:rsidP="006D1AEB">
      <w:pPr>
        <w:pStyle w:val="SGACP-enumerationniveau1"/>
        <w:ind w:left="284" w:hanging="284"/>
      </w:pPr>
      <w:r>
        <w:t>périodicité de la révision des hypothèses</w:t>
      </w:r>
      <w:r w:rsidR="003077D0">
        <w:t xml:space="preserve"> et hypothèses alternatives</w:t>
      </w:r>
      <w:r>
        <w:t xml:space="preserve"> liées à la situation de financement</w:t>
      </w:r>
      <w:r w:rsidR="000F67F4">
        <w:t xml:space="preserve">, aux positions de liquidité et aux facteurs d’atténuation du risque </w:t>
      </w:r>
      <w:r w:rsidRPr="001D505C">
        <w:rPr>
          <w:i/>
        </w:rPr>
        <w:t>(indiquer la date de la dernière révision)</w:t>
      </w:r>
      <w:r>
        <w:t> ;</w:t>
      </w:r>
    </w:p>
    <w:p w14:paraId="6821DED0"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33036E">
        <w:rPr>
          <w:i/>
          <w:iCs/>
        </w:rPr>
        <w:t>(préciser les causes des dépassements, leur nombre et leur montant)</w:t>
      </w:r>
      <w:r>
        <w:rPr>
          <w:i/>
          <w:iCs/>
        </w:rPr>
        <w:t> </w:t>
      </w:r>
      <w:r w:rsidRPr="00935917">
        <w:rPr>
          <w:iCs/>
        </w:rPr>
        <w:t>;</w:t>
      </w:r>
    </w:p>
    <w:p w14:paraId="766DBBF5"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6AD0A382" w14:textId="77777777" w:rsidR="00331B88" w:rsidRDefault="00BA07CA" w:rsidP="006D1AEB">
      <w:pPr>
        <w:pStyle w:val="SGACP-enumerationniveau1"/>
        <w:ind w:left="284" w:hanging="284"/>
      </w:pPr>
      <w:r>
        <w:t>d</w:t>
      </w:r>
      <w:r w:rsidR="00463A1C" w:rsidRPr="007F2900">
        <w:t xml:space="preserve">escription synthétique des reportings utilisés pour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notamment la périodicité et les destinataires des reportings)</w:t>
      </w:r>
      <w:r w:rsidRPr="00935917">
        <w:rPr>
          <w:iCs/>
        </w:rPr>
        <w:t> ;</w:t>
      </w:r>
    </w:p>
    <w:p w14:paraId="611D95A8" w14:textId="77777777" w:rsidR="006A0132" w:rsidRDefault="00BA07CA" w:rsidP="00A57FEE">
      <w:pPr>
        <w:pStyle w:val="SGACP-enumerationniveau1"/>
        <w:ind w:left="284" w:hanging="284"/>
      </w:pPr>
      <w:r>
        <w:t>d</w:t>
      </w:r>
      <w:r w:rsidR="00463A1C" w:rsidRPr="007F2900">
        <w:t>escription des incidents rencontrés au cours du dernier exercice</w:t>
      </w:r>
      <w:r w:rsidR="006A0132">
        <w:t> ;</w:t>
      </w:r>
    </w:p>
    <w:p w14:paraId="4703295E" w14:textId="77777777" w:rsidR="0057714C" w:rsidRDefault="0057714C" w:rsidP="0057714C">
      <w:pPr>
        <w:pStyle w:val="SGACP-enumerationniveau1"/>
        <w:ind w:left="284" w:hanging="284"/>
      </w:pPr>
      <w:r>
        <w:t>description des dispositifs de mesure et de gestion de la qualité et de la composition des coussins de liquidité </w:t>
      </w:r>
      <w:r w:rsidR="007A3873">
        <w:t xml:space="preserve">et description des dispositifs de mesure et suivi des actifs grevés et non grevés </w:t>
      </w:r>
      <w:r>
        <w:t>;</w:t>
      </w:r>
    </w:p>
    <w:p w14:paraId="5F56E518" w14:textId="77777777" w:rsidR="00C63DA5" w:rsidRDefault="006A0132" w:rsidP="00A57FEE">
      <w:pPr>
        <w:pStyle w:val="SGACP-enumerationniveau1"/>
        <w:ind w:left="284" w:hanging="284"/>
      </w:pPr>
      <w:r>
        <w:t>procédures de contrôle par la fonction de gestion des risques des actifs définis comme liquides</w:t>
      </w:r>
      <w:r w:rsidR="00EB38C6">
        <w:t> ;</w:t>
      </w:r>
      <w:r>
        <w:t xml:space="preserve"> </w:t>
      </w:r>
    </w:p>
    <w:p w14:paraId="239FC3C7" w14:textId="77777777" w:rsidR="00A57FEE" w:rsidRDefault="001027D2" w:rsidP="00A57FEE">
      <w:pPr>
        <w:pStyle w:val="SGACP-enumerationniveau1"/>
        <w:ind w:left="284" w:hanging="284"/>
      </w:pPr>
      <w:r>
        <w:t>modalités d’approbation et de révision par l’organe de surveillance des stratégies et politiques régissant la prise, la gestion, le suivi et la réduction des risques de liquidité (cf. article L.511-60 du Code monétaire et financier)</w:t>
      </w:r>
      <w:r w:rsidR="00EB38C6">
        <w:t>.</w:t>
      </w:r>
    </w:p>
    <w:p w14:paraId="43267F03" w14:textId="77777777" w:rsidR="0091502A" w:rsidRDefault="00BC60B3" w:rsidP="0091502A">
      <w:pPr>
        <w:pStyle w:val="SGACP-enumerationniveau1"/>
        <w:ind w:left="284" w:hanging="284"/>
      </w:pPr>
      <w:r>
        <w:t>l</w:t>
      </w:r>
      <w:r w:rsidR="0091502A">
        <w:t xml:space="preserve">es établissements soumis à CRR et ne se trouvant pas sous la supervision directe de la BCE, doivent remettre un « manuel du lecteur », élaboré comme un document global facilitant l’évaluation de la documentation justifiant de leur adéquation en liquidité. </w:t>
      </w:r>
      <w:r w:rsidR="0091502A" w:rsidRPr="00DD69B2">
        <w:t>À cet ef</w:t>
      </w:r>
      <w:r w:rsidR="0091502A">
        <w:t>fet, le «manuel du lecteur» do</w:t>
      </w:r>
      <w:r w:rsidR="0091502A" w:rsidRPr="00DD69B2">
        <w:t>it fournir une vue d’ensemble</w:t>
      </w:r>
      <w:r w:rsidR="0091502A">
        <w:t xml:space="preserve"> </w:t>
      </w:r>
      <w:r w:rsidR="0091502A" w:rsidRPr="00DD69B2">
        <w:t>de tous les documents communiqués aux autorités compétentes</w:t>
      </w:r>
      <w:r w:rsidR="0091502A">
        <w:t xml:space="preserve"> sur</w:t>
      </w:r>
      <w:r w:rsidR="0091502A" w:rsidRPr="00DD69B2">
        <w:t xml:space="preserve"> </w:t>
      </w:r>
      <w:r w:rsidR="0091502A">
        <w:t>ce sujet</w:t>
      </w:r>
      <w:r w:rsidR="0091502A" w:rsidRPr="00DD69B2">
        <w:t>, ainsi que de leur statut (nouveau, non modifié, modifié avec des corrections mineures, et</w:t>
      </w:r>
      <w:r w:rsidR="0091502A">
        <w:t>c.). Le «manuel du lecteur» do</w:t>
      </w:r>
      <w:r w:rsidR="0091502A" w:rsidRPr="00DD69B2">
        <w:t>it essentiellement fonctionner comme un index reliant les éléments d’info</w:t>
      </w:r>
      <w:r w:rsidR="0091502A">
        <w:t xml:space="preserve">rmation spécifiques prévus pour le rapport de contrôle interne </w:t>
      </w:r>
      <w:r w:rsidR="0091502A" w:rsidRPr="00DD69B2">
        <w:t>aux documents fournis à l’autorité compétente</w:t>
      </w:r>
      <w:r w:rsidR="0091502A">
        <w:t xml:space="preserve"> concernant l’évaluation de son adéquation en liquidité. Le «manuel du lecteur» do</w:t>
      </w:r>
      <w:r w:rsidR="0091502A" w:rsidRPr="00DD69B2">
        <w:t>it également comporter des renseignements concernant les modifications significatives apportées aux informations par rapport à celles communiquées précédemment, les éléments éventuellement exclu</w:t>
      </w:r>
      <w:r w:rsidR="0091502A">
        <w:t>s des informations communiquées</w:t>
      </w:r>
      <w:r w:rsidR="0091502A" w:rsidRPr="00DD69B2">
        <w:t>, ainsi que toute autre information qui pourrait être utile à l’autorité compétente en vue de l’évaluation. En o</w:t>
      </w:r>
      <w:r w:rsidR="0091502A">
        <w:t>utre, le «manuel du lecteur» do</w:t>
      </w:r>
      <w:r w:rsidR="0091502A" w:rsidRPr="00DD69B2">
        <w:t>it contenir des références à toutes les informations rendues publiques par l’établissement</w:t>
      </w:r>
      <w:r w:rsidR="0091502A">
        <w:t xml:space="preserve"> sur son adéquation en liquidité</w:t>
      </w:r>
      <w:r w:rsidR="0091502A" w:rsidRPr="00DD69B2">
        <w:t xml:space="preserve">. </w:t>
      </w:r>
    </w:p>
    <w:p w14:paraId="36E36823" w14:textId="77777777" w:rsidR="0033036E" w:rsidRDefault="0033036E" w:rsidP="00463A1C">
      <w:bookmarkStart w:id="216" w:name="_Toc244576478"/>
      <w:bookmarkStart w:id="217" w:name="_Toc266799841"/>
    </w:p>
    <w:p w14:paraId="22586B79" w14:textId="6DE7787F" w:rsidR="00FE55AB" w:rsidRPr="006B145E" w:rsidRDefault="00FE55AB" w:rsidP="00FE55AB">
      <w:pPr>
        <w:pStyle w:val="SGACP-sous-titrederubriquenivaeu2"/>
        <w:keepNext/>
      </w:pPr>
      <w:r>
        <w:t>16.3</w:t>
      </w:r>
      <w:r w:rsidRPr="006B145E">
        <w:t>. Risque de liquidité et de procyclicité résultant des appels de marges découlant de la compensation centrale par des membres compensateurs et des expositions non-compensées centralement</w:t>
      </w:r>
    </w:p>
    <w:p w14:paraId="351FD63A" w14:textId="3241F326" w:rsidR="00FE55AB" w:rsidRPr="006B145E" w:rsidRDefault="00FE55AB" w:rsidP="00FE55AB">
      <w:pPr>
        <w:pStyle w:val="SGACP-enumerationniveau1"/>
        <w:numPr>
          <w:ilvl w:val="0"/>
          <w:numId w:val="126"/>
        </w:numPr>
        <w:ind w:left="284" w:hanging="284"/>
      </w:pPr>
      <w:r>
        <w:t>p</w:t>
      </w:r>
      <w:r w:rsidRPr="006B145E">
        <w:t>résentation des procédures permettant d’éviter que la fourniture de services de compensation centrale aux clients n’entraîne des changements soudains et importants en matière d’appels de marge, de collecte de marge et d’abaissement des notations de crédit ;</w:t>
      </w:r>
    </w:p>
    <w:p w14:paraId="216A3DAC" w14:textId="438A8CF7" w:rsidR="00FE55AB" w:rsidRPr="006B145E" w:rsidRDefault="00FE55AB" w:rsidP="00FE55AB">
      <w:pPr>
        <w:pStyle w:val="SGACP-enumerationniveau1"/>
        <w:numPr>
          <w:ilvl w:val="0"/>
          <w:numId w:val="126"/>
        </w:numPr>
        <w:ind w:left="284" w:hanging="284"/>
      </w:pPr>
      <w:r>
        <w:t>p</w:t>
      </w:r>
      <w:r w:rsidRPr="006B145E">
        <w:t>résentation des procédures permettant d’éviter, pour les contrats dérivés de gré-à-gré et des opérations de financement sur titres ne faisant pas l’objet d’une compensation centrale, que les procédures de gestion des risques n’entraîne de changements soudains et importants en matière d’appels de marge, de collecte de marge et d’abaissement des notations de crédit ;</w:t>
      </w:r>
    </w:p>
    <w:p w14:paraId="03CCB7B8" w14:textId="1F98BE27" w:rsidR="00FE55AB" w:rsidRPr="006B145E" w:rsidRDefault="00FE55AB" w:rsidP="00FE55AB">
      <w:pPr>
        <w:pStyle w:val="SGACP-enumerationniveau1"/>
        <w:numPr>
          <w:ilvl w:val="0"/>
          <w:numId w:val="126"/>
        </w:numPr>
        <w:ind w:left="284" w:hanging="284"/>
      </w:pPr>
      <w:r>
        <w:t>p</w:t>
      </w:r>
      <w:r w:rsidRPr="006B145E">
        <w:t>résentation des procédures permettant de limiter les contraintes de liquidité liées à la collecte des marges (ex : utilisation de l’excédent des garanties de marge initiale plutôt qu’à la collecte de garanties supplémentaires, prise en compte des</w:t>
      </w:r>
      <w:r w:rsidR="00E4514E">
        <w:t xml:space="preserve"> contraintes</w:t>
      </w:r>
      <w:r>
        <w:t xml:space="preserve"> opérationnelles des clients).</w:t>
      </w:r>
    </w:p>
    <w:p w14:paraId="2A0F3344" w14:textId="77777777" w:rsidR="00FE55AB" w:rsidRDefault="00FE55AB">
      <w:pPr>
        <w:pStyle w:val="SGACP-sous-titrederubriquenivaeu2"/>
        <w:keepNext/>
      </w:pPr>
    </w:p>
    <w:p w14:paraId="4D1EDC95" w14:textId="05235E53" w:rsidR="00DA2593" w:rsidRDefault="008F3AF1">
      <w:pPr>
        <w:pStyle w:val="SGACP-sous-titrederubriquenivaeu2"/>
        <w:keepNext/>
      </w:pPr>
      <w:r>
        <w:t>16</w:t>
      </w:r>
      <w:r w:rsidR="0033036E">
        <w:t>.</w:t>
      </w:r>
      <w:r w:rsidR="00FE55AB">
        <w:t>4</w:t>
      </w:r>
      <w:r w:rsidR="0033036E">
        <w:t>.</w:t>
      </w:r>
      <w:r w:rsidR="0033036E">
        <w:tab/>
      </w:r>
      <w:r w:rsidR="00463A1C" w:rsidRPr="007F2900">
        <w:t xml:space="preserve">Dispositif de contrôle permanent de la gestion </w:t>
      </w:r>
      <w:r w:rsidR="00CC5EB8">
        <w:t>d</w:t>
      </w:r>
      <w:r w:rsidR="0048495A">
        <w:t>es</w:t>
      </w:r>
      <w:r w:rsidR="00CC5EB8">
        <w:t xml:space="preserve"> risque</w:t>
      </w:r>
      <w:r w:rsidR="0048495A">
        <w:t>s</w:t>
      </w:r>
      <w:r w:rsidR="00463A1C" w:rsidRPr="007F2900">
        <w:t xml:space="preserve"> de liquidité</w:t>
      </w:r>
      <w:bookmarkEnd w:id="216"/>
      <w:bookmarkEnd w:id="217"/>
      <w:r w:rsidR="00BA07CA">
        <w:t> :</w:t>
      </w:r>
    </w:p>
    <w:p w14:paraId="3401201D" w14:textId="77777777" w:rsidR="00DA2593" w:rsidRDefault="00BA07CA">
      <w:pPr>
        <w:pStyle w:val="SGACP-enumerationniveau1"/>
        <w:keepNext/>
        <w:ind w:left="284" w:hanging="284"/>
        <w:rPr>
          <w:i/>
          <w:iCs/>
        </w:rPr>
      </w:pPr>
      <w:r>
        <w:t>p</w:t>
      </w:r>
      <w:r w:rsidR="00463A1C" w:rsidRPr="007F2900">
        <w:t>résentation de l</w:t>
      </w:r>
      <w:r w:rsidR="001224E7">
        <w:t>’</w:t>
      </w:r>
      <w:r w:rsidR="00463A1C" w:rsidRPr="007F2900">
        <w:t xml:space="preserve">environnement de contrôle de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le rôle du contrôle permanent)</w:t>
      </w:r>
      <w:r>
        <w:rPr>
          <w:i/>
          <w:iCs/>
        </w:rPr>
        <w:t>.</w:t>
      </w:r>
    </w:p>
    <w:p w14:paraId="2A39C62A" w14:textId="77777777" w:rsidR="0033036E" w:rsidRDefault="0033036E" w:rsidP="00463A1C">
      <w:bookmarkStart w:id="218" w:name="_Toc266799842"/>
    </w:p>
    <w:p w14:paraId="0573F3A1" w14:textId="7B24B1E4" w:rsidR="00463A1C" w:rsidRPr="007F2900" w:rsidRDefault="008F3AF1" w:rsidP="00BA07CA">
      <w:pPr>
        <w:pStyle w:val="SGACP-sous-titrederubriquenivaeu2"/>
        <w:keepNext/>
        <w:keepLines/>
      </w:pPr>
      <w:bookmarkStart w:id="219" w:name="_Toc266799844"/>
      <w:bookmarkEnd w:id="218"/>
      <w:r>
        <w:t>16</w:t>
      </w:r>
      <w:r w:rsidR="00703C4B">
        <w:t>.</w:t>
      </w:r>
      <w:r w:rsidR="00FE55AB">
        <w:t>5</w:t>
      </w:r>
      <w:r w:rsidR="00703C4B">
        <w:t>.</w:t>
      </w:r>
      <w:r w:rsidR="00703C4B">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en matière de risque</w:t>
      </w:r>
      <w:r w:rsidR="00603E9D">
        <w:t>s</w:t>
      </w:r>
      <w:r w:rsidR="00463A1C" w:rsidRPr="007F2900">
        <w:t xml:space="preserve"> de liquidité</w:t>
      </w:r>
      <w:bookmarkEnd w:id="219"/>
      <w:r w:rsidR="00BA07CA">
        <w:t> :</w:t>
      </w:r>
    </w:p>
    <w:p w14:paraId="4C562E12" w14:textId="77777777" w:rsidR="00331B88" w:rsidRDefault="00BA07CA" w:rsidP="006D1AEB">
      <w:pPr>
        <w:pStyle w:val="SGACP-enumerationniveau1"/>
        <w:ind w:left="284" w:hanging="284"/>
      </w:pPr>
      <w:r>
        <w:t>p</w:t>
      </w:r>
      <w:r w:rsidR="00463A1C" w:rsidRPr="007F2900">
        <w:t>rincipales insuffisances relevées</w:t>
      </w:r>
      <w:r>
        <w:t> ;</w:t>
      </w:r>
    </w:p>
    <w:p w14:paraId="2132466D" w14:textId="77777777" w:rsidR="00331B88" w:rsidRDefault="00BA07CA" w:rsidP="006D1AEB">
      <w:pPr>
        <w:pStyle w:val="SGACP-enumerationniveau1"/>
        <w:ind w:left="284" w:hanging="284"/>
      </w:pPr>
      <w:r>
        <w:t>m</w:t>
      </w:r>
      <w:r w:rsidR="00463A1C" w:rsidRPr="007F2900">
        <w:t>esures correctives engagées pour remédier aux insuffisances relevées</w:t>
      </w:r>
      <w:r w:rsidR="00463A1C" w:rsidRPr="000E2922">
        <w:t>, date de réalisation prévisionnelle de ces mesures et état d</w:t>
      </w:r>
      <w:r w:rsidR="001224E7">
        <w:t>’</w:t>
      </w:r>
      <w:r w:rsidR="00463A1C" w:rsidRPr="000E2922">
        <w:t>avancement de leur mise en œuvre à la date de rédaction du présent rapport</w:t>
      </w:r>
      <w:r w:rsidRPr="000E2922">
        <w:t> ;</w:t>
      </w:r>
    </w:p>
    <w:p w14:paraId="20C48DEE" w14:textId="77777777" w:rsidR="00331B88" w:rsidRDefault="00BA07CA" w:rsidP="006D1AEB">
      <w:pPr>
        <w:pStyle w:val="SGACP-enumerationniveau1"/>
        <w:ind w:left="284" w:hanging="284"/>
      </w:pPr>
      <w:r>
        <w:t>m</w:t>
      </w:r>
      <w:r w:rsidR="00463A1C" w:rsidRPr="007F2900">
        <w:t xml:space="preserve">odalités de suivi des recommandations résultant des contrôles permanents </w:t>
      </w:r>
      <w:r w:rsidR="00463A1C" w:rsidRPr="00703C4B">
        <w:rPr>
          <w:i/>
          <w:iCs/>
        </w:rPr>
        <w:t>(outils, personnes en charge)</w:t>
      </w:r>
      <w:r>
        <w:rPr>
          <w:i/>
          <w:iCs/>
        </w:rPr>
        <w:t> </w:t>
      </w:r>
      <w:r w:rsidRPr="00935917">
        <w:rPr>
          <w:iCs/>
        </w:rPr>
        <w:t>;</w:t>
      </w:r>
    </w:p>
    <w:p w14:paraId="2F859E22" w14:textId="7FE5964C" w:rsidR="00331B88" w:rsidRDefault="00BA07CA" w:rsidP="006D1AEB">
      <w:pPr>
        <w:pStyle w:val="SGACP-enumerationniveau1"/>
        <w:ind w:left="284" w:hanging="284"/>
      </w:pPr>
      <w:r>
        <w:t>m</w:t>
      </w:r>
      <w:r w:rsidR="00463A1C" w:rsidRPr="007F2900">
        <w:t>odalités de vérification de l</w:t>
      </w:r>
      <w:r w:rsidR="001224E7">
        <w:t>’</w:t>
      </w:r>
      <w:r w:rsidR="00463A1C" w:rsidRPr="007F2900">
        <w:t>exécution dans des délais raisonnables des mesures correctrices décidées au sein des entreprises</w:t>
      </w:r>
      <w:r w:rsidR="006F29AA">
        <w:t xml:space="preserve"> assujetti</w:t>
      </w:r>
      <w:r w:rsidR="00DF5746">
        <w:t>e</w:t>
      </w:r>
      <w:r w:rsidR="006F29AA">
        <w:t>s</w:t>
      </w:r>
      <w:r w:rsidR="00463A1C" w:rsidRPr="007F2900">
        <w:t xml:space="preserve">, par les personnes </w:t>
      </w:r>
      <w:r w:rsidR="00463A1C" w:rsidRPr="002906E2">
        <w:t xml:space="preserve">compétentes </w:t>
      </w:r>
      <w:r w:rsidR="00463A1C" w:rsidRPr="001D505C">
        <w:rPr>
          <w:iCs/>
        </w:rPr>
        <w:t>(cf. articles</w:t>
      </w:r>
      <w:r w:rsidR="002906E2">
        <w:rPr>
          <w:iCs/>
        </w:rPr>
        <w:t xml:space="preserve"> </w:t>
      </w:r>
      <w:r w:rsidR="006F29AA" w:rsidRPr="001D505C">
        <w:rPr>
          <w:iCs/>
        </w:rPr>
        <w:t>11</w:t>
      </w:r>
      <w:r w:rsidR="00C734FE" w:rsidRPr="001D505C">
        <w:rPr>
          <w:iCs/>
        </w:rPr>
        <w:t xml:space="preserve"> </w:t>
      </w:r>
      <w:r w:rsidR="00463A1C" w:rsidRPr="001D505C">
        <w:rPr>
          <w:iCs/>
        </w:rPr>
        <w:t xml:space="preserve">f) et </w:t>
      </w:r>
      <w:r w:rsidR="006F29AA" w:rsidRPr="001D505C">
        <w:rPr>
          <w:iCs/>
        </w:rPr>
        <w:t>26</w:t>
      </w:r>
      <w:r w:rsidR="000271A0" w:rsidRPr="001D505C">
        <w:rPr>
          <w:iCs/>
        </w:rPr>
        <w:t> </w:t>
      </w:r>
      <w:r w:rsidR="00463A1C" w:rsidRPr="001D505C">
        <w:rPr>
          <w:iCs/>
        </w:rPr>
        <w:t>a) d</w:t>
      </w:r>
      <w:r w:rsidR="006F29AA" w:rsidRPr="001D505C">
        <w:rPr>
          <w:iCs/>
        </w:rPr>
        <w:t>e l’arrêté du 3 novembre 2014</w:t>
      </w:r>
      <w:r w:rsidR="00154A06">
        <w:rPr>
          <w:iCs/>
        </w:rPr>
        <w:t xml:space="preserve"> modifié</w:t>
      </w:r>
      <w:r w:rsidR="00463A1C" w:rsidRPr="001D505C">
        <w:rPr>
          <w:iCs/>
        </w:rPr>
        <w:t>)</w:t>
      </w:r>
      <w:r w:rsidRPr="002906E2">
        <w:t>.</w:t>
      </w:r>
    </w:p>
    <w:p w14:paraId="34103A72" w14:textId="77777777" w:rsidR="00703C4B" w:rsidRDefault="00703C4B" w:rsidP="00463A1C">
      <w:bookmarkStart w:id="220" w:name="_Toc244576479"/>
      <w:bookmarkStart w:id="221" w:name="_Toc266799845"/>
    </w:p>
    <w:p w14:paraId="6D9EF4D0" w14:textId="0DC0064E" w:rsidR="00463A1C" w:rsidRDefault="008F3AF1" w:rsidP="00703C4B">
      <w:pPr>
        <w:pStyle w:val="SGACP-sous-titrederubriquenivaeu2"/>
      </w:pPr>
      <w:r>
        <w:t>16</w:t>
      </w:r>
      <w:r w:rsidR="00703C4B">
        <w:t>.</w:t>
      </w:r>
      <w:r w:rsidR="00FE55AB">
        <w:t>6</w:t>
      </w:r>
      <w:r w:rsidR="00703C4B">
        <w:t>.</w:t>
      </w:r>
      <w:r w:rsidR="00703C4B">
        <w:tab/>
      </w:r>
      <w:r w:rsidR="00463A1C" w:rsidRPr="007F2900">
        <w:t>Conclusion synthétique sur l</w:t>
      </w:r>
      <w:r w:rsidR="001224E7">
        <w:t>’</w:t>
      </w:r>
      <w:r w:rsidR="00463A1C" w:rsidRPr="007F2900">
        <w:t>exposition au</w:t>
      </w:r>
      <w:r w:rsidR="0048495A">
        <w:t>x</w:t>
      </w:r>
      <w:r w:rsidR="00463A1C" w:rsidRPr="007F2900">
        <w:t xml:space="preserve"> risque</w:t>
      </w:r>
      <w:r w:rsidR="0048495A">
        <w:t>s</w:t>
      </w:r>
      <w:r w:rsidR="00463A1C" w:rsidRPr="007F2900">
        <w:t xml:space="preserve"> de liquidité</w:t>
      </w:r>
      <w:bookmarkEnd w:id="220"/>
      <w:bookmarkEnd w:id="221"/>
    </w:p>
    <w:p w14:paraId="0622C1C2" w14:textId="77777777" w:rsidR="00703C4B" w:rsidRDefault="00703C4B" w:rsidP="00463A1C">
      <w:bookmarkStart w:id="222" w:name="_Toc244692481"/>
      <w:bookmarkStart w:id="223" w:name="_Toc244692550"/>
      <w:bookmarkStart w:id="224" w:name="_Toc244938470"/>
      <w:bookmarkStart w:id="225" w:name="_Toc244938703"/>
      <w:bookmarkStart w:id="226" w:name="_Toc266799846"/>
      <w:bookmarkStart w:id="227" w:name="_Toc266799869"/>
    </w:p>
    <w:p w14:paraId="7E6FDC0E" w14:textId="77777777" w:rsidR="0091502A" w:rsidRPr="00DD69B2" w:rsidRDefault="00BC60B3" w:rsidP="0091502A">
      <w:pPr>
        <w:pStyle w:val="SGACP-enumerationniveau1"/>
        <w:ind w:left="284" w:hanging="284"/>
      </w:pPr>
      <w:r>
        <w:t>l</w:t>
      </w:r>
      <w:r w:rsidR="0091502A" w:rsidRPr="00DD69B2">
        <w:t>es établissements soumis à CRR et ne se trouvant pas sous la supervision directe de la BCE,</w:t>
      </w:r>
      <w:r w:rsidR="0091502A">
        <w:t xml:space="preserve"> doivent formaliser et remettre </w:t>
      </w:r>
      <w:r w:rsidR="0091502A" w:rsidRPr="00DD69B2">
        <w:t>les conclusions des</w:t>
      </w:r>
      <w:r w:rsidR="0091502A">
        <w:t xml:space="preserve"> évaluations de l’adéquation de la liquidité </w:t>
      </w:r>
      <w:r w:rsidR="0091502A" w:rsidRPr="00DD69B2">
        <w:t>interne ainsi que leur incidence sur la gestion du risque et sur la ges</w:t>
      </w:r>
      <w:r w:rsidR="0091502A">
        <w:t>tion globale de l’établissement.</w:t>
      </w:r>
    </w:p>
    <w:p w14:paraId="245A0836" w14:textId="77777777" w:rsidR="00703C4B" w:rsidRDefault="00703C4B" w:rsidP="007461CE"/>
    <w:p w14:paraId="2CF9D4AA" w14:textId="77777777" w:rsidR="00924745" w:rsidRDefault="00924745" w:rsidP="007461CE"/>
    <w:p w14:paraId="07603775" w14:textId="77777777" w:rsidR="0066143C" w:rsidRDefault="0066143C" w:rsidP="007461CE">
      <w:pPr>
        <w:pStyle w:val="StyleSGACP-titrederubriqueniveau1CouleurpersonnaliseRVB"/>
        <w:keepNext/>
        <w:keepLines/>
        <w:ind w:left="426" w:hanging="426"/>
        <w:jc w:val="both"/>
        <w:rPr>
          <w:bCs w:val="0"/>
        </w:rPr>
      </w:pPr>
      <w:bookmarkStart w:id="228" w:name="_Toc106958077"/>
      <w:r>
        <w:rPr>
          <w:bCs w:val="0"/>
        </w:rPr>
        <w:t>Risque de levier excessif</w:t>
      </w:r>
      <w:bookmarkEnd w:id="228"/>
      <w:r>
        <w:rPr>
          <w:bCs w:val="0"/>
        </w:rPr>
        <w:t xml:space="preserve"> </w:t>
      </w:r>
    </w:p>
    <w:p w14:paraId="113C31BD" w14:textId="77777777" w:rsidR="0066143C" w:rsidRDefault="0066143C" w:rsidP="00460E3D"/>
    <w:p w14:paraId="4D4CD5E8" w14:textId="70680085" w:rsidR="005D5B71" w:rsidRPr="003A6487" w:rsidRDefault="005D5B71" w:rsidP="00460E3D">
      <w:pPr>
        <w:rPr>
          <w:bCs/>
          <w:sz w:val="22"/>
          <w:szCs w:val="22"/>
        </w:rPr>
      </w:pPr>
      <w:r>
        <w:rPr>
          <w:sz w:val="22"/>
          <w:szCs w:val="22"/>
        </w:rPr>
        <w:t xml:space="preserve">Cette partie ne s’applique </w:t>
      </w:r>
      <w:r w:rsidRPr="003A6487">
        <w:rPr>
          <w:sz w:val="22"/>
          <w:szCs w:val="22"/>
        </w:rPr>
        <w:t>pas aux sociétés de financement (cf. article 213 de l’arrêté du 3 novembre 2014</w:t>
      </w:r>
      <w:r w:rsidR="00A721C6">
        <w:rPr>
          <w:sz w:val="22"/>
          <w:szCs w:val="22"/>
        </w:rPr>
        <w:t xml:space="preserve"> modifié</w:t>
      </w:r>
      <w:r w:rsidRPr="003A6487">
        <w:rPr>
          <w:sz w:val="22"/>
          <w:szCs w:val="22"/>
        </w:rPr>
        <w:t xml:space="preserve">). </w:t>
      </w:r>
    </w:p>
    <w:p w14:paraId="17B7129B" w14:textId="22B08D78" w:rsidR="008276E1" w:rsidRPr="003A6487" w:rsidRDefault="009B3ECA" w:rsidP="001D505C">
      <w:pPr>
        <w:pStyle w:val="SGACP-enumerationniveau1"/>
        <w:ind w:left="284" w:hanging="284"/>
      </w:pPr>
      <w:r w:rsidRPr="003A6487">
        <w:t>d</w:t>
      </w:r>
      <w:r w:rsidR="008276E1" w:rsidRPr="003A6487">
        <w:t>escription des politiques</w:t>
      </w:r>
      <w:r w:rsidR="0016549D" w:rsidRPr="003A6487">
        <w:t>,</w:t>
      </w:r>
      <w:r w:rsidR="00166E08" w:rsidRPr="003A6487">
        <w:t xml:space="preserve"> </w:t>
      </w:r>
      <w:r w:rsidR="008276E1" w:rsidRPr="003A6487">
        <w:t>processus</w:t>
      </w:r>
      <w:r w:rsidR="0016549D" w:rsidRPr="003A6487">
        <w:t xml:space="preserve"> et indicateurs (incluant le ratio de levier et les asymétries entre actifs et obligations)</w:t>
      </w:r>
      <w:r w:rsidR="008276E1" w:rsidRPr="003A6487">
        <w:t xml:space="preserve"> utilisés pour détecter, gérer et suivre le risque de levier excessif de façon prudente (</w:t>
      </w:r>
      <w:r w:rsidR="002906E2" w:rsidRPr="003A6487">
        <w:t xml:space="preserve">cf. </w:t>
      </w:r>
      <w:r w:rsidR="008276E1" w:rsidRPr="003A6487">
        <w:t>article 211 de l’arrêté du 3 novembre 2014</w:t>
      </w:r>
      <w:r w:rsidR="00A721C6">
        <w:t xml:space="preserve"> modifié</w:t>
      </w:r>
      <w:r w:rsidR="008276E1" w:rsidRPr="003A6487">
        <w:t>)</w:t>
      </w:r>
      <w:r w:rsidR="008B7082" w:rsidRPr="003A6487">
        <w:t> ;</w:t>
      </w:r>
    </w:p>
    <w:p w14:paraId="6551784F" w14:textId="77777777" w:rsidR="003A6487" w:rsidRPr="003A6487" w:rsidRDefault="003A6487" w:rsidP="001D505C">
      <w:pPr>
        <w:pStyle w:val="SGACP-enumerationniveau1"/>
        <w:ind w:left="284" w:hanging="284"/>
      </w:pPr>
      <w:r w:rsidRPr="003A6487">
        <w:t>cible de ratio de levier fixée par l’établissement ;</w:t>
      </w:r>
    </w:p>
    <w:p w14:paraId="01814ACA" w14:textId="6D23C8F4" w:rsidR="008276E1" w:rsidRPr="003A6487" w:rsidRDefault="009B3ECA" w:rsidP="001D505C">
      <w:pPr>
        <w:pStyle w:val="SGACP-enumerationniveau1"/>
        <w:ind w:left="284" w:hanging="284"/>
      </w:pPr>
      <w:r w:rsidRPr="00210431">
        <w:rPr>
          <w:i/>
        </w:rPr>
        <w:t>s</w:t>
      </w:r>
      <w:r w:rsidR="008276E1" w:rsidRPr="00210431">
        <w:rPr>
          <w:i/>
        </w:rPr>
        <w:t>tress scenarii</w:t>
      </w:r>
      <w:r w:rsidR="008276E1" w:rsidRPr="003A6487">
        <w:t xml:space="preserve"> utilisés pour évaluer la résistance de l’établissement</w:t>
      </w:r>
      <w:r w:rsidR="008B7082" w:rsidRPr="003A6487">
        <w:t> </w:t>
      </w:r>
      <w:r w:rsidR="003A6487" w:rsidRPr="003A6487">
        <w:t xml:space="preserve">en cas de diminution de ses fonds propres en raison de pertes attendues ou réalisées </w:t>
      </w:r>
      <w:r w:rsidR="005D5B71" w:rsidRPr="003A6487">
        <w:t>(cf. article 212 de l’arrêté du 3 novembre 2014</w:t>
      </w:r>
      <w:r w:rsidR="00192F7C">
        <w:t xml:space="preserve"> modifié</w:t>
      </w:r>
      <w:r w:rsidR="005D5B71" w:rsidRPr="003A6487">
        <w:t>)</w:t>
      </w:r>
      <w:r w:rsidR="003A6487" w:rsidRPr="003A6487">
        <w:t>, incluant des plans de renforcement des fonds propres en situation de crise</w:t>
      </w:r>
      <w:r w:rsidR="00EB38C6" w:rsidRPr="003A6487">
        <w:t>.</w:t>
      </w:r>
    </w:p>
    <w:p w14:paraId="581EE3EC" w14:textId="77777777" w:rsidR="0066143C" w:rsidRPr="001D505C" w:rsidRDefault="0066143C" w:rsidP="00460E3D"/>
    <w:p w14:paraId="341ACBF3" w14:textId="77777777" w:rsidR="0066143C" w:rsidRPr="0066143C" w:rsidRDefault="0066143C" w:rsidP="00460E3D"/>
    <w:p w14:paraId="1F994F9D" w14:textId="77777777" w:rsidR="008C04C9" w:rsidRPr="00E40A8F" w:rsidRDefault="008C04C9" w:rsidP="008C04C9">
      <w:pPr>
        <w:pStyle w:val="StyleSGACP-titrederubriqueniveau1CouleurpersonnaliseRVB"/>
        <w:keepNext/>
        <w:keepLines/>
        <w:ind w:left="426" w:hanging="426"/>
        <w:jc w:val="both"/>
        <w:rPr>
          <w:bCs w:val="0"/>
        </w:rPr>
      </w:pPr>
      <w:bookmarkStart w:id="229" w:name="_Toc454203005"/>
      <w:bookmarkStart w:id="230" w:name="_Toc454203006"/>
      <w:bookmarkStart w:id="231" w:name="_Toc454203007"/>
      <w:bookmarkStart w:id="232" w:name="_Toc106958078"/>
      <w:bookmarkEnd w:id="229"/>
      <w:bookmarkEnd w:id="230"/>
      <w:bookmarkEnd w:id="231"/>
      <w:r w:rsidRPr="005B2FBD">
        <w:t xml:space="preserve">Dispositif de contrôle interne des dispositions relatives </w:t>
      </w:r>
      <w:r>
        <w:t xml:space="preserve">à la protection </w:t>
      </w:r>
      <w:r w:rsidRPr="005B2FBD">
        <w:t xml:space="preserve"> </w:t>
      </w:r>
      <w:r>
        <w:br/>
      </w:r>
      <w:r w:rsidRPr="005B2FBD">
        <w:t>des fonds de la clientèle des</w:t>
      </w:r>
      <w:r>
        <w:t xml:space="preserve"> entreprises </w:t>
      </w:r>
      <w:r w:rsidRPr="005B2FBD">
        <w:t>d</w:t>
      </w:r>
      <w:r>
        <w:t>’</w:t>
      </w:r>
      <w:r w:rsidRPr="005B2FBD">
        <w:t>investissement</w:t>
      </w:r>
      <w:bookmarkEnd w:id="232"/>
    </w:p>
    <w:p w14:paraId="6DE116A4" w14:textId="77777777" w:rsidR="0024125E" w:rsidRPr="00935917" w:rsidRDefault="0024125E" w:rsidP="00460E3D"/>
    <w:bookmarkEnd w:id="222"/>
    <w:bookmarkEnd w:id="223"/>
    <w:bookmarkEnd w:id="224"/>
    <w:bookmarkEnd w:id="225"/>
    <w:bookmarkEnd w:id="226"/>
    <w:bookmarkEnd w:id="227"/>
    <w:p w14:paraId="6F2E953A" w14:textId="77777777" w:rsidR="00EC1AA9" w:rsidRDefault="00EC1AA9" w:rsidP="008B49EC">
      <w:pPr>
        <w:pStyle w:val="SGACP-enumerationniveau1"/>
        <w:ind w:left="284" w:hanging="284"/>
      </w:pPr>
      <w:r>
        <w:t>mode d’organisation de la gestion des comptes espèces de la clientèle et articulation (permettant de retracer de manière chronologique les différents flux) avec l’exécution des services d’investissement ou de compensation</w:t>
      </w:r>
      <w:r w:rsidR="008B49EC">
        <w:t> ;</w:t>
      </w:r>
    </w:p>
    <w:p w14:paraId="691FC861" w14:textId="1CB2D432"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w:t>
      </w:r>
      <w:r w:rsidR="00F859E5">
        <w:t>conformément à la règlementation en vigueur (i.e. l’arrêté</w:t>
      </w:r>
      <w:r w:rsidR="00F859E5">
        <w:rPr>
          <w:color w:val="1F497D"/>
        </w:rPr>
        <w:t xml:space="preserve"> </w:t>
      </w:r>
      <w:r w:rsidR="00F859E5" w:rsidRPr="00A85C3C">
        <w:t>du 6 septembre 2017 relatif au cantonnement des fonds de la clientèle des entreprises d’investissement)</w:t>
      </w:r>
      <w:r w:rsidR="00F859E5">
        <w:rPr>
          <w:color w:val="1F497D"/>
        </w:rPr>
        <w:t xml:space="preserve"> </w:t>
      </w:r>
      <w:r w:rsidRPr="008B49EC">
        <w:t xml:space="preserve">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F859E5">
        <w:rPr>
          <w:i/>
          <w:iCs/>
        </w:rPr>
        <w:t> </w:t>
      </w:r>
      <w:r w:rsidR="00BA07CA">
        <w:rPr>
          <w:i/>
          <w:iCs/>
        </w:rPr>
        <w:t> </w:t>
      </w:r>
      <w:r w:rsidR="00BA07CA" w:rsidRPr="00935917">
        <w:rPr>
          <w:iCs/>
        </w:rPr>
        <w:t>;</w:t>
      </w:r>
    </w:p>
    <w:p w14:paraId="03572A40" w14:textId="15FDABD0"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w:t>
      </w:r>
      <w:r w:rsidR="003446DF">
        <w:t xml:space="preserve"> </w:t>
      </w:r>
      <w:r>
        <w:t xml:space="preserve">communication </w:t>
      </w:r>
      <w:r w:rsidR="00F859E5">
        <w:t xml:space="preserve">de la (des) convention(s) de compte(s) de cantonnement ou </w:t>
      </w:r>
      <w:r>
        <w:t>de toute modification apportée à la convention de compte de cantonnement</w:t>
      </w:r>
      <w:r w:rsidR="00F859E5" w:rsidRPr="00F859E5">
        <w:t xml:space="preserve"> </w:t>
      </w:r>
      <w:r w:rsidR="00F859E5">
        <w:t>précédemment transmise</w:t>
      </w:r>
      <w:r>
        <w:t>, description des procédures prévues pour assurer le placement des fonds ;</w:t>
      </w:r>
    </w:p>
    <w:p w14:paraId="18FFA6D8" w14:textId="77777777" w:rsidR="00F859E5" w:rsidRDefault="008B49EC" w:rsidP="008B49EC">
      <w:pPr>
        <w:pStyle w:val="SGACP-enumerationniveau1"/>
        <w:ind w:left="284" w:hanging="284"/>
      </w:pPr>
      <w:r>
        <w:t xml:space="preserve">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 ; </w:t>
      </w:r>
    </w:p>
    <w:p w14:paraId="41FC9A23" w14:textId="086E0C2A" w:rsidR="008B49EC" w:rsidRDefault="00F859E5" w:rsidP="00F859E5">
      <w:pPr>
        <w:pStyle w:val="SGACP-enumerationniveau1"/>
        <w:ind w:left="284" w:hanging="284"/>
      </w:pPr>
      <w:r w:rsidRPr="00F859E5">
        <w:t>pour les établissements assurant la protection des fonds reçus auprès d'un établissement de crédit, d'une banque ou d'un fonds du marché monétaire qualifié appartenant au même groupe qu'eux : communication du montant déposé auprès d'une ou de plusieurs entités du groupe par rapport au montant total des fonds des clients à cantonner, justification de la proportion des fonds cantonnés au sein du groupe</w:t>
      </w:r>
      <w:r>
        <w:t> ;</w:t>
      </w:r>
      <w:r w:rsidRPr="00F859E5">
        <w:t xml:space="preserve">  </w:t>
      </w:r>
    </w:p>
    <w:p w14:paraId="12B21619" w14:textId="77777777"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910362">
        <w:t>à la protection</w:t>
      </w:r>
      <w:r>
        <w:t xml:space="preserve"> des fonds de la clientèle des entreprises, des vérifications associées et présentation des éventuels incidents ou insuffisances mis en évidence par ces vérifications ;</w:t>
      </w:r>
    </w:p>
    <w:p w14:paraId="302B086F" w14:textId="06EA73F7" w:rsidR="00F859E5" w:rsidRDefault="00F859E5" w:rsidP="00990316">
      <w:pPr>
        <w:pStyle w:val="SGACP-enumerationniveau1"/>
        <w:ind w:left="284" w:hanging="284"/>
      </w:pPr>
      <w:r>
        <w:t xml:space="preserve">communication du responsable unique, </w:t>
      </w:r>
      <w:r w:rsidRPr="00504C54">
        <w:t>disposant des compétences et de l'autorité nécessaires, spécialement chargé des questions relatives au respect par l'entreprise de ses obligations concernant la sauvegarde des instruments financiers et des fonds des clients</w:t>
      </w:r>
      <w:r>
        <w:t>, conformément à l’article 9 de l’arrêté du septembre 2017 relatif</w:t>
      </w:r>
      <w:r w:rsidR="00990316">
        <w:t xml:space="preserve"> au cantonnement des fonds de l</w:t>
      </w:r>
      <w:r>
        <w:t>a clientèle des entreprises d’investissement ;</w:t>
      </w:r>
    </w:p>
    <w:p w14:paraId="55066757" w14:textId="77777777" w:rsidR="00110755" w:rsidRDefault="00BA07CA" w:rsidP="001D505C">
      <w:pPr>
        <w:pStyle w:val="SGACP-enumerationniveau1"/>
        <w:ind w:left="284" w:hanging="284"/>
      </w:pPr>
      <w:r>
        <w:t>c</w:t>
      </w:r>
      <w:r w:rsidR="00463A1C" w:rsidRPr="007F2900">
        <w:t>ommunication du rapport des commissaires aux comptes sur l</w:t>
      </w:r>
      <w:r w:rsidR="001224E7">
        <w:t>’</w:t>
      </w:r>
      <w:r w:rsidR="00463A1C" w:rsidRPr="007F2900">
        <w:t>adéquation des dispositions mises en place en application des dispositions réglementaires relatives au cantonnement</w:t>
      </w:r>
      <w:r>
        <w:t>.</w:t>
      </w:r>
    </w:p>
    <w:p w14:paraId="71B75F87" w14:textId="77777777" w:rsidR="00110755" w:rsidRDefault="00110755" w:rsidP="00924745"/>
    <w:p w14:paraId="22D89F9A" w14:textId="77777777" w:rsidR="00110755" w:rsidRDefault="00110755" w:rsidP="00460E3D"/>
    <w:p w14:paraId="6B6F9D9A" w14:textId="77777777" w:rsidR="00110755" w:rsidRDefault="00110755" w:rsidP="00110755">
      <w:pPr>
        <w:pStyle w:val="StyleSGACP-titrederubriqueniveau1CouleurpersonnaliseRVB"/>
        <w:keepNext/>
        <w:keepLines/>
        <w:ind w:left="426" w:hanging="426"/>
      </w:pPr>
      <w:bookmarkStart w:id="233" w:name="_Toc106958079"/>
      <w:r>
        <w:t>Dispositions de séparation bancaire</w:t>
      </w:r>
      <w:bookmarkEnd w:id="233"/>
      <w:r>
        <w:t xml:space="preserve"> </w:t>
      </w:r>
    </w:p>
    <w:p w14:paraId="33FE01CD" w14:textId="77777777" w:rsidR="00110755" w:rsidRDefault="00110755" w:rsidP="00460E3D"/>
    <w:p w14:paraId="3297DBD5" w14:textId="26E626B5" w:rsidR="00FB4BD6" w:rsidRDefault="00FB4BD6" w:rsidP="00FD37C4">
      <w:pPr>
        <w:rPr>
          <w:sz w:val="22"/>
          <w:szCs w:val="22"/>
        </w:rPr>
      </w:pPr>
      <w:r w:rsidRPr="0059239D">
        <w:rPr>
          <w:b/>
          <w:i/>
          <w:iCs/>
          <w:color w:val="003B8E"/>
          <w:sz w:val="22"/>
          <w:szCs w:val="22"/>
        </w:rPr>
        <w:t>Nota bene</w:t>
      </w:r>
      <w:r w:rsidRPr="0059239D">
        <w:rPr>
          <w:i/>
          <w:iCs/>
          <w:sz w:val="22"/>
          <w:szCs w:val="22"/>
        </w:rPr>
        <w:t xml:space="preserve"> : </w:t>
      </w:r>
      <w:r w:rsidR="00F16070" w:rsidRPr="00FD37C4">
        <w:rPr>
          <w:rFonts w:eastAsia="Calibri"/>
          <w:sz w:val="22"/>
          <w:szCs w:val="22"/>
          <w:lang w:eastAsia="en-US"/>
        </w:rPr>
        <w:t>Cette partie concerne l’application du titre Ier de la loi de séparation et de régulation bancaire n°2013-672 du 26 juillet 2013</w:t>
      </w:r>
      <w:r w:rsidR="0059239D">
        <w:rPr>
          <w:rFonts w:eastAsia="Calibri"/>
          <w:sz w:val="22"/>
          <w:szCs w:val="22"/>
          <w:lang w:eastAsia="en-US"/>
        </w:rPr>
        <w:t xml:space="preserve"> (Loi SRAB)</w:t>
      </w:r>
      <w:r w:rsidR="00F16070" w:rsidRPr="00FD37C4">
        <w:rPr>
          <w:rFonts w:eastAsia="Calibri"/>
          <w:sz w:val="22"/>
          <w:szCs w:val="22"/>
          <w:lang w:eastAsia="en-US"/>
        </w:rPr>
        <w:t xml:space="preserve">. </w:t>
      </w:r>
      <w:r w:rsidR="0059239D">
        <w:rPr>
          <w:rFonts w:eastAsia="Calibri"/>
          <w:sz w:val="22"/>
          <w:szCs w:val="22"/>
          <w:lang w:eastAsia="en-US"/>
        </w:rPr>
        <w:t>Il est rappelé que l</w:t>
      </w:r>
      <w:r w:rsidRPr="00FD37C4">
        <w:rPr>
          <w:bCs/>
          <w:sz w:val="22"/>
          <w:szCs w:val="22"/>
        </w:rPr>
        <w:t>es mandats des unités internes mentionnés dans la cartographie doivent être transmis au SGACPR</w:t>
      </w:r>
      <w:r w:rsidRPr="00FD37C4">
        <w:rPr>
          <w:sz w:val="22"/>
          <w:szCs w:val="22"/>
        </w:rPr>
        <w:t xml:space="preserve"> en parallèle de la transmission du rapport de contrôle interne</w:t>
      </w:r>
      <w:r w:rsidR="00793249">
        <w:rPr>
          <w:sz w:val="22"/>
          <w:szCs w:val="22"/>
        </w:rPr>
        <w:t>.</w:t>
      </w:r>
      <w:r w:rsidR="006D5418">
        <w:rPr>
          <w:sz w:val="22"/>
          <w:szCs w:val="22"/>
        </w:rPr>
        <w:t xml:space="preserve"> </w:t>
      </w:r>
      <w:r w:rsidR="00EE2088">
        <w:rPr>
          <w:sz w:val="22"/>
          <w:szCs w:val="22"/>
        </w:rPr>
        <w:t>Cette</w:t>
      </w:r>
      <w:r w:rsidR="006D5418">
        <w:rPr>
          <w:sz w:val="22"/>
          <w:szCs w:val="22"/>
        </w:rPr>
        <w:t xml:space="preserve"> remise, qui peut être effectuée par voie électronique, doit spécifier (i) la liste des unités internes dont l’activité a substantiellement été modifiée depuis la dernière transmission au</w:t>
      </w:r>
      <w:r w:rsidR="00EE2088">
        <w:rPr>
          <w:sz w:val="22"/>
          <w:szCs w:val="22"/>
        </w:rPr>
        <w:t xml:space="preserve"> SGACPR</w:t>
      </w:r>
      <w:r w:rsidR="006D5418">
        <w:rPr>
          <w:sz w:val="22"/>
          <w:szCs w:val="22"/>
        </w:rPr>
        <w:t xml:space="preserve"> (ii) </w:t>
      </w:r>
      <w:r w:rsidR="003E722C">
        <w:rPr>
          <w:sz w:val="22"/>
          <w:szCs w:val="22"/>
        </w:rPr>
        <w:t xml:space="preserve">a minima, </w:t>
      </w:r>
      <w:r w:rsidR="006D5418">
        <w:rPr>
          <w:sz w:val="22"/>
          <w:szCs w:val="22"/>
        </w:rPr>
        <w:t xml:space="preserve">les mandats à jour </w:t>
      </w:r>
      <w:r w:rsidR="00902B3F">
        <w:rPr>
          <w:sz w:val="22"/>
          <w:szCs w:val="22"/>
        </w:rPr>
        <w:t xml:space="preserve">de ces </w:t>
      </w:r>
      <w:r w:rsidR="003E722C">
        <w:rPr>
          <w:sz w:val="22"/>
          <w:szCs w:val="22"/>
        </w:rPr>
        <w:t>mêmes unités internes</w:t>
      </w:r>
      <w:r w:rsidR="006D5418">
        <w:rPr>
          <w:sz w:val="22"/>
          <w:szCs w:val="22"/>
        </w:rPr>
        <w:t>. Il est également possible de transmettre l’intégralité des mandats en mettant en évidence les modifications substantielles depuis la dernière transmission au</w:t>
      </w:r>
      <w:r w:rsidR="00CF4CCE">
        <w:rPr>
          <w:sz w:val="22"/>
          <w:szCs w:val="22"/>
        </w:rPr>
        <w:t xml:space="preserve"> SGACPR</w:t>
      </w:r>
      <w:r w:rsidR="006D5418">
        <w:rPr>
          <w:sz w:val="22"/>
          <w:szCs w:val="22"/>
        </w:rPr>
        <w:t>.</w:t>
      </w:r>
    </w:p>
    <w:p w14:paraId="06D9435D" w14:textId="77777777" w:rsidR="00DF0CE8" w:rsidRDefault="00DF0CE8" w:rsidP="00FD37C4">
      <w:pPr>
        <w:rPr>
          <w:sz w:val="22"/>
          <w:szCs w:val="22"/>
        </w:rPr>
      </w:pPr>
    </w:p>
    <w:p w14:paraId="57F9F71D" w14:textId="77777777" w:rsidR="00DF0CE8" w:rsidRDefault="008F3AF1" w:rsidP="00DF0CE8">
      <w:pPr>
        <w:pStyle w:val="SGACP-sous-titrederubriquenivaeu2"/>
      </w:pPr>
      <w:r>
        <w:t>19</w:t>
      </w:r>
      <w:r w:rsidR="00DF0CE8">
        <w:t>.1.</w:t>
      </w:r>
      <w:r w:rsidR="00DF0CE8">
        <w:tab/>
        <w:t xml:space="preserve">Cartographie des </w:t>
      </w:r>
      <w:r w:rsidR="0059239D" w:rsidRPr="0059239D">
        <w:t>activités de négociation sur instruments financiers</w:t>
      </w:r>
    </w:p>
    <w:p w14:paraId="2B89F372" w14:textId="77777777" w:rsidR="00676039" w:rsidRPr="0059239D" w:rsidRDefault="00DF0CE8" w:rsidP="00FD37C4">
      <w:pPr>
        <w:pStyle w:val="SGACP-enumerationniveau1"/>
        <w:ind w:left="284" w:hanging="284"/>
      </w:pPr>
      <w:r>
        <w:rPr>
          <w:szCs w:val="22"/>
        </w:rPr>
        <w:t xml:space="preserve">communication de la </w:t>
      </w:r>
      <w:r w:rsidRPr="00FD37C4">
        <w:rPr>
          <w:szCs w:val="22"/>
        </w:rPr>
        <w:t>c</w:t>
      </w:r>
      <w:r w:rsidR="00676039" w:rsidRPr="00FD37C4">
        <w:t>artographie actualisée des unités internes chargés des opérations sur instruments financiers telle que mentionnée à l’article 1 de l’arrêté du 9 septembre 2014 au niveau du plus petit échelon organisationnel, avec identification des regroupements réalisés. La cartographie devra mentionner a minima les éléments suivants :</w:t>
      </w:r>
    </w:p>
    <w:p w14:paraId="664D2312" w14:textId="77777777" w:rsidR="00676039" w:rsidRPr="00FD37C4" w:rsidRDefault="00676039" w:rsidP="00460E3D">
      <w:pPr>
        <w:pStyle w:val="Paragraphedeliste"/>
        <w:numPr>
          <w:ilvl w:val="1"/>
          <w:numId w:val="40"/>
        </w:numPr>
        <w:contextualSpacing w:val="0"/>
        <w:rPr>
          <w:iCs/>
        </w:rPr>
      </w:pPr>
      <w:r w:rsidRPr="00FD37C4">
        <w:rPr>
          <w:iCs/>
        </w:rPr>
        <w:t>le nom littéral du plus petit échelon organisationnel,</w:t>
      </w:r>
    </w:p>
    <w:p w14:paraId="38474E65" w14:textId="77777777" w:rsidR="00676039" w:rsidRPr="00FD37C4" w:rsidRDefault="00676039" w:rsidP="00460E3D">
      <w:pPr>
        <w:pStyle w:val="Paragraphedeliste"/>
        <w:numPr>
          <w:ilvl w:val="1"/>
          <w:numId w:val="40"/>
        </w:numPr>
        <w:contextualSpacing w:val="0"/>
        <w:rPr>
          <w:iCs/>
        </w:rPr>
      </w:pPr>
      <w:r w:rsidRPr="00FD37C4">
        <w:rPr>
          <w:iCs/>
        </w:rPr>
        <w:t>une description synthétique des activités menées,</w:t>
      </w:r>
    </w:p>
    <w:p w14:paraId="22973EE7" w14:textId="77777777" w:rsidR="00676039" w:rsidRPr="00FD37C4" w:rsidRDefault="00676039" w:rsidP="00460E3D">
      <w:pPr>
        <w:pStyle w:val="Paragraphedeliste"/>
        <w:numPr>
          <w:ilvl w:val="1"/>
          <w:numId w:val="40"/>
        </w:numPr>
        <w:contextualSpacing w:val="0"/>
        <w:rPr>
          <w:iCs/>
        </w:rPr>
      </w:pPr>
      <w:r w:rsidRPr="00FD37C4">
        <w:rPr>
          <w:iCs/>
        </w:rPr>
        <w:t xml:space="preserve">la (les) catégorie(s) d’exemption de séparation afférente telle que mentionnée à l’article L.511-47 du Code </w:t>
      </w:r>
      <w:r w:rsidR="00F16070" w:rsidRPr="00FD37C4">
        <w:rPr>
          <w:iCs/>
        </w:rPr>
        <w:t>m</w:t>
      </w:r>
      <w:r w:rsidRPr="00FD37C4">
        <w:rPr>
          <w:iCs/>
        </w:rPr>
        <w:t xml:space="preserve">onétaire et </w:t>
      </w:r>
      <w:r w:rsidR="00F16070" w:rsidRPr="00FD37C4">
        <w:rPr>
          <w:iCs/>
        </w:rPr>
        <w:t>f</w:t>
      </w:r>
      <w:r w:rsidRPr="00FD37C4">
        <w:rPr>
          <w:iCs/>
        </w:rPr>
        <w:t>inancier,</w:t>
      </w:r>
    </w:p>
    <w:p w14:paraId="1F54DEF7" w14:textId="77777777" w:rsidR="00676039" w:rsidRPr="00FD37C4" w:rsidRDefault="00676039" w:rsidP="00460E3D">
      <w:pPr>
        <w:pStyle w:val="Paragraphedeliste"/>
        <w:numPr>
          <w:ilvl w:val="1"/>
          <w:numId w:val="40"/>
        </w:numPr>
        <w:contextualSpacing w:val="0"/>
        <w:rPr>
          <w:iCs/>
        </w:rPr>
      </w:pPr>
      <w:r w:rsidRPr="00FD37C4">
        <w:rPr>
          <w:iCs/>
        </w:rPr>
        <w:t>le nombre de traders,</w:t>
      </w:r>
    </w:p>
    <w:p w14:paraId="15FA624E" w14:textId="77777777" w:rsidR="00676039" w:rsidRPr="00FD37C4" w:rsidRDefault="00676039" w:rsidP="00460E3D">
      <w:pPr>
        <w:pStyle w:val="Paragraphedeliste"/>
        <w:numPr>
          <w:ilvl w:val="1"/>
          <w:numId w:val="40"/>
        </w:numPr>
        <w:contextualSpacing w:val="0"/>
        <w:rPr>
          <w:iCs/>
        </w:rPr>
      </w:pPr>
      <w:r w:rsidRPr="00FD37C4">
        <w:rPr>
          <w:iCs/>
        </w:rPr>
        <w:t>le PNB généré sur l’année,</w:t>
      </w:r>
    </w:p>
    <w:p w14:paraId="419A0322" w14:textId="77777777" w:rsidR="00676039" w:rsidRPr="00FD37C4" w:rsidRDefault="00676039" w:rsidP="00460E3D">
      <w:pPr>
        <w:pStyle w:val="Paragraphedeliste"/>
        <w:numPr>
          <w:ilvl w:val="1"/>
          <w:numId w:val="40"/>
        </w:numPr>
        <w:contextualSpacing w:val="0"/>
        <w:rPr>
          <w:iCs/>
        </w:rPr>
      </w:pPr>
      <w:r w:rsidRPr="00FD37C4">
        <w:rPr>
          <w:iCs/>
        </w:rPr>
        <w:t xml:space="preserve">les principales limites de risque (VaR, autres mesures internes), leur consommation </w:t>
      </w:r>
      <w:r w:rsidR="0059239D" w:rsidRPr="0059239D">
        <w:rPr>
          <w:iCs/>
        </w:rPr>
        <w:t>moyenne et maximale sur l’année</w:t>
      </w:r>
      <w:r w:rsidR="00FD37C4">
        <w:rPr>
          <w:iCs/>
        </w:rPr>
        <w:t> ;</w:t>
      </w:r>
    </w:p>
    <w:p w14:paraId="4C76FD0D" w14:textId="77777777" w:rsidR="00676039" w:rsidRPr="00FD37C4" w:rsidRDefault="00676039" w:rsidP="00460E3D">
      <w:pPr>
        <w:pStyle w:val="Paragraphedeliste"/>
        <w:numPr>
          <w:ilvl w:val="1"/>
          <w:numId w:val="39"/>
        </w:numPr>
        <w:spacing w:before="120" w:after="120"/>
        <w:ind w:left="284" w:hanging="284"/>
        <w:contextualSpacing w:val="0"/>
        <w:jc w:val="left"/>
        <w:rPr>
          <w:iCs/>
        </w:rPr>
      </w:pPr>
      <w:r w:rsidRPr="00FD37C4">
        <w:rPr>
          <w:iCs/>
        </w:rPr>
        <w:t>description de</w:t>
      </w:r>
      <w:r w:rsidR="0059239D" w:rsidRPr="0059239D">
        <w:rPr>
          <w:iCs/>
        </w:rPr>
        <w:t>s évolutions de la cartographie</w:t>
      </w:r>
      <w:r w:rsidR="0059239D">
        <w:rPr>
          <w:iCs/>
        </w:rPr>
        <w:t> ;</w:t>
      </w:r>
    </w:p>
    <w:p w14:paraId="0BD6C36D" w14:textId="77777777" w:rsidR="00676039" w:rsidRPr="00FD37C4" w:rsidRDefault="00676039" w:rsidP="00460E3D">
      <w:pPr>
        <w:pStyle w:val="Paragraphedeliste"/>
        <w:numPr>
          <w:ilvl w:val="1"/>
          <w:numId w:val="39"/>
        </w:numPr>
        <w:ind w:left="284" w:hanging="284"/>
        <w:contextualSpacing w:val="0"/>
        <w:jc w:val="left"/>
        <w:rPr>
          <w:i/>
          <w:iCs/>
        </w:rPr>
      </w:pPr>
      <w:r w:rsidRPr="00FD37C4">
        <w:rPr>
          <w:iCs/>
        </w:rPr>
        <w:t>description des principales nouvelles</w:t>
      </w:r>
      <w:r w:rsidRPr="00FD37C4">
        <w:rPr>
          <w:i/>
          <w:iCs/>
        </w:rPr>
        <w:t xml:space="preserve"> </w:t>
      </w:r>
      <w:r w:rsidRPr="00FD37C4">
        <w:rPr>
          <w:iCs/>
        </w:rPr>
        <w:t>activités et des activités arrêtées.</w:t>
      </w:r>
    </w:p>
    <w:p w14:paraId="4913EF0F" w14:textId="77777777" w:rsidR="0059239D" w:rsidRPr="00FD37C4" w:rsidRDefault="0059239D" w:rsidP="00FD37C4">
      <w:pPr>
        <w:pStyle w:val="Paragraphedeliste"/>
        <w:ind w:left="284"/>
        <w:contextualSpacing w:val="0"/>
        <w:jc w:val="left"/>
        <w:rPr>
          <w:iCs/>
        </w:rPr>
      </w:pPr>
    </w:p>
    <w:p w14:paraId="1CC6F0B6" w14:textId="77777777" w:rsidR="0059239D" w:rsidRDefault="008F3AF1" w:rsidP="0059239D">
      <w:pPr>
        <w:pStyle w:val="SGACP-sous-titrederubriquenivaeu2"/>
      </w:pPr>
      <w:r>
        <w:t>19</w:t>
      </w:r>
      <w:r w:rsidR="0059239D">
        <w:t>.2.</w:t>
      </w:r>
      <w:r w:rsidR="0059239D">
        <w:tab/>
        <w:t>Indicateurs de suivi</w:t>
      </w:r>
    </w:p>
    <w:p w14:paraId="170D3CED" w14:textId="77777777" w:rsidR="00110755" w:rsidRDefault="0059239D" w:rsidP="00110755">
      <w:pPr>
        <w:pStyle w:val="SGACP-enumerationniveau1"/>
        <w:ind w:left="284" w:hanging="284"/>
      </w:pPr>
      <w:r>
        <w:t>d</w:t>
      </w:r>
      <w:r w:rsidR="00110755" w:rsidRPr="00FD37C4">
        <w:t>escription des indicateurs mis en place pour</w:t>
      </w:r>
      <w:r w:rsidR="00110755">
        <w:t xml:space="preserve"> permettre le contrôle du respect du titre Ier de la loi n°2013-672 du 26 juillet 2013 de séparation et de régulation bancaire, notamment ceux relatifs aux activités de tenue de marché (</w:t>
      </w:r>
      <w:r w:rsidR="004A6527">
        <w:t xml:space="preserve">cf. </w:t>
      </w:r>
      <w:r w:rsidR="00110755">
        <w:t>article 6 de l’arrêté du 9 septembre 2014 portant application du titre Ier de la loi de séparation bancaire) ;</w:t>
      </w:r>
    </w:p>
    <w:p w14:paraId="71E71C86" w14:textId="77777777" w:rsidR="00F16070" w:rsidRDefault="0059239D" w:rsidP="00FD37C4">
      <w:pPr>
        <w:pStyle w:val="SGACP-enumerationniveau1"/>
        <w:ind w:left="284" w:hanging="284"/>
      </w:pPr>
      <w:r>
        <w:t>d</w:t>
      </w:r>
      <w:r w:rsidR="00676039" w:rsidRPr="00FD37C4">
        <w:t xml:space="preserve">escription </w:t>
      </w:r>
      <w:r w:rsidR="00316D0F" w:rsidRPr="00FD37C4">
        <w:t xml:space="preserve">synthétique des </w:t>
      </w:r>
      <w:r w:rsidR="00110755" w:rsidRPr="00FD37C4">
        <w:t xml:space="preserve">résultats des indicateurs mis </w:t>
      </w:r>
      <w:r w:rsidR="009A6F5A" w:rsidRPr="00FD37C4">
        <w:t xml:space="preserve">en place </w:t>
      </w:r>
      <w:r w:rsidR="00F16070" w:rsidRPr="00FD37C4">
        <w:t>et des analyses réalisées</w:t>
      </w:r>
      <w:r w:rsidR="00F16070" w:rsidRPr="00F16070">
        <w:t xml:space="preserve"> sur l’année écoulée (avec identification des desks atypiques)</w:t>
      </w:r>
      <w:r w:rsidR="00FD37C4">
        <w:t>.</w:t>
      </w:r>
    </w:p>
    <w:p w14:paraId="4A3E2502" w14:textId="77777777" w:rsidR="00FD37C4" w:rsidRDefault="00FD37C4" w:rsidP="00FD37C4">
      <w:pPr>
        <w:pStyle w:val="SGACP-enumerationniveau1"/>
        <w:numPr>
          <w:ilvl w:val="0"/>
          <w:numId w:val="0"/>
        </w:numPr>
        <w:spacing w:before="0"/>
        <w:ind w:left="284"/>
      </w:pPr>
    </w:p>
    <w:p w14:paraId="4D1E9FF5" w14:textId="77777777" w:rsidR="00934639" w:rsidRPr="0059239D" w:rsidRDefault="008F3AF1" w:rsidP="00FD37C4">
      <w:pPr>
        <w:pStyle w:val="SGACP-sous-titrederubriquenivaeu2"/>
      </w:pPr>
      <w:r>
        <w:t>19</w:t>
      </w:r>
      <w:r w:rsidR="0059239D">
        <w:t xml:space="preserve">.3. </w:t>
      </w:r>
      <w:r w:rsidR="00934639" w:rsidRPr="00FD37C4">
        <w:t>Bilan des activités avec les fonds à effet de levier au sens de la loi SRAB :</w:t>
      </w:r>
      <w:r w:rsidR="00934639" w:rsidRPr="0059239D">
        <w:t xml:space="preserve"> </w:t>
      </w:r>
    </w:p>
    <w:p w14:paraId="2AEB58DD" w14:textId="6F0A467B" w:rsidR="00934639" w:rsidRDefault="00FD37C4" w:rsidP="00FD37C4">
      <w:pPr>
        <w:pStyle w:val="SGACP-enumerationniveau1"/>
        <w:ind w:left="284" w:hanging="284"/>
      </w:pPr>
      <w:r>
        <w:t>d</w:t>
      </w:r>
      <w:r w:rsidR="00934639" w:rsidRPr="00FD37C4">
        <w:t>escription des activités</w:t>
      </w:r>
      <w:r w:rsidR="00301F2E">
        <w:t xml:space="preserve">, détaillant notamment les </w:t>
      </w:r>
      <w:r w:rsidR="003E722C">
        <w:rPr>
          <w:iCs/>
        </w:rPr>
        <w:t>ligne</w:t>
      </w:r>
      <w:r w:rsidR="00301F2E" w:rsidRPr="00E269BB">
        <w:rPr>
          <w:iCs/>
        </w:rPr>
        <w:t>s</w:t>
      </w:r>
      <w:r w:rsidR="003E722C">
        <w:rPr>
          <w:iCs/>
        </w:rPr>
        <w:t xml:space="preserve"> d’activité</w:t>
      </w:r>
      <w:r w:rsidR="00301F2E" w:rsidRPr="00E269BB">
        <w:rPr>
          <w:iCs/>
        </w:rPr>
        <w:t xml:space="preserve"> retenues en interne par l'établissement pour classifier les </w:t>
      </w:r>
      <w:r w:rsidR="00301F2E">
        <w:rPr>
          <w:iCs/>
        </w:rPr>
        <w:t>opérations réalisées</w:t>
      </w:r>
      <w:r w:rsidR="00301F2E" w:rsidRPr="00E269BB">
        <w:rPr>
          <w:iCs/>
        </w:rPr>
        <w:t xml:space="preserve"> avec les </w:t>
      </w:r>
      <w:r w:rsidR="0093721C">
        <w:rPr>
          <w:iCs/>
        </w:rPr>
        <w:t>organismes de placement collectif (</w:t>
      </w:r>
      <w:r w:rsidR="00301F2E" w:rsidRPr="00E269BB">
        <w:rPr>
          <w:iCs/>
        </w:rPr>
        <w:t>OPC</w:t>
      </w:r>
      <w:r w:rsidR="0093721C">
        <w:rPr>
          <w:iCs/>
        </w:rPr>
        <w:t>)</w:t>
      </w:r>
      <w:r w:rsidR="00301F2E" w:rsidRPr="00E269BB">
        <w:rPr>
          <w:iCs/>
        </w:rPr>
        <w:t xml:space="preserve"> et autres véhicules similaires ayant recours à l'effet de levier de manière substantielle</w:t>
      </w:r>
      <w:r w:rsidR="003E722C">
        <w:t> ;</w:t>
      </w:r>
    </w:p>
    <w:p w14:paraId="4A51A61B" w14:textId="6372F48E" w:rsidR="003333DA" w:rsidRDefault="003F396B" w:rsidP="00890013">
      <w:pPr>
        <w:pStyle w:val="SGACP-enumerationniveau1"/>
        <w:spacing w:after="120"/>
        <w:ind w:left="284" w:hanging="284"/>
      </w:pPr>
      <w:r>
        <w:t>r</w:t>
      </w:r>
      <w:r w:rsidR="003333DA">
        <w:t>ecensement des fonds à effet de levier</w:t>
      </w:r>
      <w:r w:rsidR="00301F2E">
        <w:t> :</w:t>
      </w:r>
    </w:p>
    <w:tbl>
      <w:tblPr>
        <w:tblStyle w:val="Grilledutableau"/>
        <w:tblW w:w="9351" w:type="dxa"/>
        <w:tblLook w:val="04A0" w:firstRow="1" w:lastRow="0" w:firstColumn="1" w:lastColumn="0" w:noHBand="0" w:noVBand="1"/>
      </w:tblPr>
      <w:tblGrid>
        <w:gridCol w:w="6658"/>
        <w:gridCol w:w="2693"/>
      </w:tblGrid>
      <w:tr w:rsidR="003333DA" w:rsidRPr="003333DA" w14:paraId="72A68A54" w14:textId="77777777" w:rsidTr="00E15624">
        <w:tc>
          <w:tcPr>
            <w:tcW w:w="6658" w:type="dxa"/>
          </w:tcPr>
          <w:p w14:paraId="23DC0CE6" w14:textId="77777777" w:rsidR="003333DA" w:rsidRPr="003333DA" w:rsidRDefault="003333DA" w:rsidP="003333DA">
            <w:pPr>
              <w:pStyle w:val="SGACP-enumerationniveau1"/>
              <w:numPr>
                <w:ilvl w:val="0"/>
                <w:numId w:val="0"/>
              </w:numPr>
              <w:rPr>
                <w:szCs w:val="22"/>
              </w:rPr>
            </w:pPr>
          </w:p>
        </w:tc>
        <w:tc>
          <w:tcPr>
            <w:tcW w:w="2693" w:type="dxa"/>
            <w:vAlign w:val="center"/>
          </w:tcPr>
          <w:p w14:paraId="11869248" w14:textId="24B80A4F" w:rsidR="003333DA" w:rsidRPr="00435247" w:rsidRDefault="003333DA" w:rsidP="00E15624">
            <w:pPr>
              <w:pStyle w:val="SGACP-enumerationniveau1"/>
              <w:numPr>
                <w:ilvl w:val="0"/>
                <w:numId w:val="0"/>
              </w:numPr>
              <w:spacing w:before="0"/>
              <w:jc w:val="center"/>
              <w:rPr>
                <w:szCs w:val="22"/>
              </w:rPr>
            </w:pPr>
            <w:r w:rsidRPr="00435247">
              <w:rPr>
                <w:szCs w:val="22"/>
              </w:rPr>
              <w:t>Nombre de fonds</w:t>
            </w:r>
          </w:p>
        </w:tc>
      </w:tr>
      <w:tr w:rsidR="003333DA" w:rsidRPr="003333DA" w14:paraId="7B4934E3" w14:textId="77777777" w:rsidTr="00E15624">
        <w:tc>
          <w:tcPr>
            <w:tcW w:w="6658" w:type="dxa"/>
            <w:vAlign w:val="center"/>
          </w:tcPr>
          <w:p w14:paraId="7A159EDD" w14:textId="2CE383EC" w:rsidR="003333DA" w:rsidRPr="003333DA" w:rsidRDefault="003333DA" w:rsidP="00E15624">
            <w:pPr>
              <w:pStyle w:val="SGACP-enumerationniveau1"/>
              <w:numPr>
                <w:ilvl w:val="0"/>
                <w:numId w:val="0"/>
              </w:numPr>
              <w:spacing w:before="0"/>
              <w:jc w:val="left"/>
              <w:rPr>
                <w:szCs w:val="22"/>
              </w:rPr>
            </w:pPr>
            <w:r w:rsidRPr="00E15624">
              <w:rPr>
                <w:b/>
                <w:bCs/>
                <w:szCs w:val="22"/>
                <w:u w:val="single"/>
              </w:rPr>
              <w:t>A. OPC ou véhicules étrangers similaires sur lesquels l'établissement est exposé au risque de crédit ou de contrepartie</w:t>
            </w:r>
          </w:p>
        </w:tc>
        <w:tc>
          <w:tcPr>
            <w:tcW w:w="2693" w:type="dxa"/>
          </w:tcPr>
          <w:p w14:paraId="06AB78E2" w14:textId="77777777" w:rsidR="003333DA" w:rsidRPr="003333DA" w:rsidRDefault="003333DA" w:rsidP="003333DA">
            <w:pPr>
              <w:pStyle w:val="SGACP-enumerationniveau1"/>
              <w:numPr>
                <w:ilvl w:val="0"/>
                <w:numId w:val="0"/>
              </w:numPr>
              <w:rPr>
                <w:szCs w:val="22"/>
              </w:rPr>
            </w:pPr>
          </w:p>
        </w:tc>
      </w:tr>
      <w:tr w:rsidR="003333DA" w:rsidRPr="003333DA" w14:paraId="3260500E" w14:textId="77777777" w:rsidTr="00E15624">
        <w:tc>
          <w:tcPr>
            <w:tcW w:w="6658" w:type="dxa"/>
            <w:vAlign w:val="center"/>
          </w:tcPr>
          <w:p w14:paraId="63290B58" w14:textId="54AED9EE" w:rsidR="003333DA" w:rsidRPr="003333DA" w:rsidRDefault="003333DA" w:rsidP="00E15624">
            <w:pPr>
              <w:pStyle w:val="SGACP-enumerationniveau1"/>
              <w:numPr>
                <w:ilvl w:val="0"/>
                <w:numId w:val="0"/>
              </w:numPr>
              <w:spacing w:before="0"/>
              <w:jc w:val="left"/>
              <w:rPr>
                <w:szCs w:val="22"/>
              </w:rPr>
            </w:pPr>
            <w:r w:rsidRPr="00E15624">
              <w:rPr>
                <w:b/>
                <w:bCs/>
                <w:szCs w:val="22"/>
              </w:rPr>
              <w:t>A.1. ayant recours directement ou indirectement à un effet de levier de manière substantielle</w:t>
            </w:r>
            <w:r w:rsidR="003E722C">
              <w:rPr>
                <w:b/>
                <w:bCs/>
                <w:szCs w:val="22"/>
              </w:rPr>
              <w:t xml:space="preserve"> et non explicitement exclus</w:t>
            </w:r>
          </w:p>
        </w:tc>
        <w:tc>
          <w:tcPr>
            <w:tcW w:w="2693" w:type="dxa"/>
          </w:tcPr>
          <w:p w14:paraId="38A523EF" w14:textId="77777777" w:rsidR="003333DA" w:rsidRPr="003333DA" w:rsidRDefault="003333DA" w:rsidP="003333DA">
            <w:pPr>
              <w:pStyle w:val="SGACP-enumerationniveau1"/>
              <w:numPr>
                <w:ilvl w:val="0"/>
                <w:numId w:val="0"/>
              </w:numPr>
              <w:rPr>
                <w:szCs w:val="22"/>
              </w:rPr>
            </w:pPr>
          </w:p>
        </w:tc>
      </w:tr>
      <w:tr w:rsidR="003333DA" w:rsidRPr="003333DA" w14:paraId="2E22494D" w14:textId="77777777" w:rsidTr="00E15624">
        <w:tc>
          <w:tcPr>
            <w:tcW w:w="6658" w:type="dxa"/>
            <w:vAlign w:val="center"/>
          </w:tcPr>
          <w:p w14:paraId="558506B2" w14:textId="5AD94EB8" w:rsidR="003333DA" w:rsidRPr="003333DA" w:rsidRDefault="003333DA" w:rsidP="00E15624">
            <w:pPr>
              <w:pStyle w:val="SGACP-enumerationniveau1"/>
              <w:numPr>
                <w:ilvl w:val="0"/>
                <w:numId w:val="0"/>
              </w:numPr>
              <w:spacing w:before="0"/>
              <w:jc w:val="left"/>
              <w:rPr>
                <w:szCs w:val="22"/>
              </w:rPr>
            </w:pPr>
            <w:r w:rsidRPr="00E15624">
              <w:rPr>
                <w:szCs w:val="22"/>
              </w:rPr>
              <w:t>A.1.a. ayant recours à l'effet de levier de manière substantielle</w:t>
            </w:r>
            <w:r>
              <w:rPr>
                <w:rStyle w:val="Appelnotedebasdep"/>
                <w:szCs w:val="22"/>
              </w:rPr>
              <w:footnoteReference w:id="11"/>
            </w:r>
          </w:p>
        </w:tc>
        <w:tc>
          <w:tcPr>
            <w:tcW w:w="2693" w:type="dxa"/>
          </w:tcPr>
          <w:p w14:paraId="6B5EC7C2" w14:textId="77777777" w:rsidR="003333DA" w:rsidRPr="003333DA" w:rsidRDefault="003333DA" w:rsidP="003333DA">
            <w:pPr>
              <w:pStyle w:val="SGACP-enumerationniveau1"/>
              <w:numPr>
                <w:ilvl w:val="0"/>
                <w:numId w:val="0"/>
              </w:numPr>
              <w:rPr>
                <w:szCs w:val="22"/>
              </w:rPr>
            </w:pPr>
          </w:p>
        </w:tc>
      </w:tr>
      <w:tr w:rsidR="003333DA" w:rsidRPr="003333DA" w14:paraId="0F9AF4CC" w14:textId="77777777" w:rsidTr="00E15624">
        <w:tc>
          <w:tcPr>
            <w:tcW w:w="6658" w:type="dxa"/>
            <w:vAlign w:val="center"/>
          </w:tcPr>
          <w:p w14:paraId="5B62AA66" w14:textId="372C3372" w:rsidR="003333DA" w:rsidRPr="003333DA" w:rsidRDefault="003333DA" w:rsidP="00E15624">
            <w:pPr>
              <w:pStyle w:val="SGACP-enumerationniveau1"/>
              <w:numPr>
                <w:ilvl w:val="0"/>
                <w:numId w:val="0"/>
              </w:numPr>
              <w:spacing w:before="0"/>
              <w:jc w:val="left"/>
              <w:rPr>
                <w:szCs w:val="22"/>
              </w:rPr>
            </w:pPr>
            <w:r w:rsidRPr="00E15624">
              <w:rPr>
                <w:szCs w:val="22"/>
              </w:rPr>
              <w:t>A.1.b. investi</w:t>
            </w:r>
            <w:r w:rsidRPr="003333DA">
              <w:rPr>
                <w:szCs w:val="22"/>
              </w:rPr>
              <w:t>s ou exposés significativement</w:t>
            </w:r>
            <w:r>
              <w:rPr>
                <w:rStyle w:val="Appelnotedebasdep"/>
                <w:szCs w:val="22"/>
              </w:rPr>
              <w:footnoteReference w:id="12"/>
            </w:r>
            <w:r w:rsidRPr="00E15624">
              <w:rPr>
                <w:szCs w:val="22"/>
              </w:rPr>
              <w:t xml:space="preserve"> dans les OPC ou autres véhicules similaires ayant recours à l'effet de levier de manière substantielle </w:t>
            </w:r>
          </w:p>
        </w:tc>
        <w:tc>
          <w:tcPr>
            <w:tcW w:w="2693" w:type="dxa"/>
          </w:tcPr>
          <w:p w14:paraId="732FE617" w14:textId="77777777" w:rsidR="003333DA" w:rsidRPr="003333DA" w:rsidRDefault="003333DA" w:rsidP="003333DA">
            <w:pPr>
              <w:pStyle w:val="SGACP-enumerationniveau1"/>
              <w:numPr>
                <w:ilvl w:val="0"/>
                <w:numId w:val="0"/>
              </w:numPr>
              <w:rPr>
                <w:szCs w:val="22"/>
              </w:rPr>
            </w:pPr>
          </w:p>
        </w:tc>
      </w:tr>
      <w:tr w:rsidR="003333DA" w:rsidRPr="003333DA" w14:paraId="6A6F3F22" w14:textId="77777777" w:rsidTr="00E15624">
        <w:tc>
          <w:tcPr>
            <w:tcW w:w="6658" w:type="dxa"/>
            <w:vAlign w:val="center"/>
          </w:tcPr>
          <w:p w14:paraId="427EF0E9" w14:textId="4EB0626C" w:rsidR="003333DA" w:rsidRPr="003333DA" w:rsidRDefault="003333DA" w:rsidP="00E15624">
            <w:pPr>
              <w:pStyle w:val="SGACP-enumerationniveau1"/>
              <w:numPr>
                <w:ilvl w:val="0"/>
                <w:numId w:val="0"/>
              </w:numPr>
              <w:spacing w:before="0"/>
              <w:jc w:val="left"/>
              <w:rPr>
                <w:szCs w:val="22"/>
              </w:rPr>
            </w:pPr>
            <w:r w:rsidRPr="00E15624">
              <w:rPr>
                <w:b/>
                <w:bCs/>
                <w:szCs w:val="22"/>
              </w:rPr>
              <w:t>A.2. n'ayant pas recours à un effet de levier de manière substantielle</w:t>
            </w:r>
            <w:r w:rsidR="003E722C">
              <w:rPr>
                <w:b/>
                <w:bCs/>
                <w:szCs w:val="22"/>
              </w:rPr>
              <w:t xml:space="preserve"> ou explicitement exclus</w:t>
            </w:r>
          </w:p>
        </w:tc>
        <w:tc>
          <w:tcPr>
            <w:tcW w:w="2693" w:type="dxa"/>
          </w:tcPr>
          <w:p w14:paraId="0E18D9FC" w14:textId="77777777" w:rsidR="003333DA" w:rsidRPr="003333DA" w:rsidRDefault="003333DA" w:rsidP="003333DA">
            <w:pPr>
              <w:pStyle w:val="SGACP-enumerationniveau1"/>
              <w:numPr>
                <w:ilvl w:val="0"/>
                <w:numId w:val="0"/>
              </w:numPr>
              <w:rPr>
                <w:szCs w:val="22"/>
              </w:rPr>
            </w:pPr>
          </w:p>
        </w:tc>
      </w:tr>
      <w:tr w:rsidR="003333DA" w:rsidRPr="003333DA" w14:paraId="6C771620" w14:textId="77777777" w:rsidTr="00E15624">
        <w:tc>
          <w:tcPr>
            <w:tcW w:w="6658" w:type="dxa"/>
            <w:vAlign w:val="center"/>
          </w:tcPr>
          <w:p w14:paraId="48D5EA18" w14:textId="60CE8623" w:rsidR="003333DA" w:rsidRPr="003333DA" w:rsidRDefault="003333DA" w:rsidP="00E15624">
            <w:pPr>
              <w:pStyle w:val="SGACP-enumerationniveau1"/>
              <w:numPr>
                <w:ilvl w:val="0"/>
                <w:numId w:val="0"/>
              </w:numPr>
              <w:spacing w:before="0"/>
              <w:jc w:val="left"/>
              <w:rPr>
                <w:szCs w:val="22"/>
              </w:rPr>
            </w:pPr>
            <w:r w:rsidRPr="00E15624">
              <w:rPr>
                <w:i/>
                <w:iCs/>
                <w:szCs w:val="22"/>
              </w:rPr>
              <w:t xml:space="preserve">dont: </w:t>
            </w:r>
            <w:r w:rsidR="003E722C" w:rsidRPr="003E722C">
              <w:rPr>
                <w:i/>
                <w:iCs/>
                <w:szCs w:val="22"/>
              </w:rPr>
              <w:t>explicitement exclus au titre de l'article 7, paragraphe I, points 1 à 4 de l'arrêté du 9 septembre 2014</w:t>
            </w:r>
          </w:p>
        </w:tc>
        <w:tc>
          <w:tcPr>
            <w:tcW w:w="2693" w:type="dxa"/>
          </w:tcPr>
          <w:p w14:paraId="176A84D8" w14:textId="77777777" w:rsidR="003333DA" w:rsidRPr="003333DA" w:rsidRDefault="003333DA" w:rsidP="003333DA">
            <w:pPr>
              <w:pStyle w:val="SGACP-enumerationniveau1"/>
              <w:numPr>
                <w:ilvl w:val="0"/>
                <w:numId w:val="0"/>
              </w:numPr>
              <w:rPr>
                <w:szCs w:val="22"/>
              </w:rPr>
            </w:pPr>
          </w:p>
        </w:tc>
      </w:tr>
    </w:tbl>
    <w:p w14:paraId="70E3C580" w14:textId="4C664C2D" w:rsidR="003333DA" w:rsidRPr="003333DA" w:rsidRDefault="003B4A79" w:rsidP="00890013">
      <w:pPr>
        <w:pStyle w:val="Paragraphedeliste"/>
        <w:numPr>
          <w:ilvl w:val="1"/>
          <w:numId w:val="40"/>
        </w:numPr>
        <w:spacing w:before="120" w:after="120"/>
        <w:ind w:left="1434" w:hanging="357"/>
        <w:contextualSpacing w:val="0"/>
        <w:rPr>
          <w:iCs/>
        </w:rPr>
      </w:pPr>
      <w:r>
        <w:rPr>
          <w:iCs/>
        </w:rPr>
        <w:t>préciser selon</w:t>
      </w:r>
      <w:r w:rsidR="003333DA" w:rsidRPr="003333DA">
        <w:rPr>
          <w:iCs/>
        </w:rPr>
        <w:t xml:space="preserve"> quelle fréquence les OPC et les véhicules similaires sont recensés et catégorisés dans les classes susmentionnées</w:t>
      </w:r>
      <w:r>
        <w:rPr>
          <w:iCs/>
        </w:rPr>
        <w:t> ;</w:t>
      </w:r>
    </w:p>
    <w:p w14:paraId="21BCEE7A" w14:textId="181AB955" w:rsidR="00934639" w:rsidRDefault="00FD37C4" w:rsidP="00FD37C4">
      <w:pPr>
        <w:pStyle w:val="SGACP-enumerationniveau1"/>
        <w:ind w:left="284" w:hanging="284"/>
      </w:pPr>
      <w:r>
        <w:t>b</w:t>
      </w:r>
      <w:r w:rsidR="00934639" w:rsidRPr="00FD37C4">
        <w:t>ilan des résultats et des risques générés (risques de crédit et de contrepartie)</w:t>
      </w:r>
      <w:r w:rsidR="00301F2E">
        <w:t> :</w:t>
      </w:r>
    </w:p>
    <w:p w14:paraId="341C51EC" w14:textId="77777777" w:rsidR="008E03C1" w:rsidRDefault="008E03C1" w:rsidP="002F6550">
      <w:pPr>
        <w:rPr>
          <w:b/>
          <w:i/>
          <w:iCs/>
          <w:color w:val="003B8E"/>
          <w:szCs w:val="22"/>
        </w:rPr>
      </w:pPr>
    </w:p>
    <w:p w14:paraId="36D72621" w14:textId="2060940C" w:rsidR="00246EC8" w:rsidRPr="002F6550" w:rsidRDefault="00EE2088" w:rsidP="002F6550">
      <w:pPr>
        <w:rPr>
          <w:b/>
          <w:iCs/>
        </w:rPr>
      </w:pPr>
      <w:r w:rsidRPr="002F6550">
        <w:rPr>
          <w:b/>
          <w:i/>
          <w:iCs/>
          <w:color w:val="003B8E"/>
          <w:sz w:val="22"/>
          <w:szCs w:val="22"/>
        </w:rPr>
        <w:t>Nota bene :</w:t>
      </w:r>
      <w:r w:rsidRPr="00A509C0">
        <w:rPr>
          <w:i/>
          <w:iCs/>
        </w:rPr>
        <w:t> </w:t>
      </w:r>
      <w:r w:rsidRPr="00EE2088">
        <w:rPr>
          <w:b/>
          <w:iCs/>
        </w:rPr>
        <w:t xml:space="preserve"> </w:t>
      </w:r>
      <w:r w:rsidR="00246EC8" w:rsidRPr="002F6550">
        <w:rPr>
          <w:b/>
          <w:iCs/>
          <w:sz w:val="22"/>
          <w:szCs w:val="22"/>
        </w:rPr>
        <w:t xml:space="preserve">Les tableaux et questions </w:t>
      </w:r>
      <w:r w:rsidR="00301F2E" w:rsidRPr="002F6550">
        <w:rPr>
          <w:b/>
          <w:iCs/>
          <w:sz w:val="22"/>
          <w:szCs w:val="22"/>
        </w:rPr>
        <w:t xml:space="preserve">ci-dessous précédant la section 19.4 </w:t>
      </w:r>
      <w:r w:rsidR="00246EC8" w:rsidRPr="002F6550">
        <w:rPr>
          <w:b/>
          <w:iCs/>
          <w:sz w:val="22"/>
          <w:szCs w:val="22"/>
        </w:rPr>
        <w:t xml:space="preserve">se réfèrent uniquement aux opérations exposant à un risque de crédit ou de contrepartie sur les OPC ou autres véhicules étrangers similaires </w:t>
      </w:r>
      <w:r w:rsidR="003E722C" w:rsidRPr="002F6550">
        <w:rPr>
          <w:b/>
          <w:bCs/>
          <w:sz w:val="22"/>
          <w:szCs w:val="22"/>
        </w:rPr>
        <w:t>ayant recours directement ou indirectement à un effet de levier de manière substantielle et non explicitement exclus au titre de l'article 7, paragraphe I, points 1 à 4 de l'arrêté du 9 septembre 2014.</w:t>
      </w:r>
    </w:p>
    <w:p w14:paraId="3ABEB8A0" w14:textId="4E92D459" w:rsidR="003F396B" w:rsidRPr="003B4A79" w:rsidRDefault="00A42E8A" w:rsidP="002F6550">
      <w:pPr>
        <w:pStyle w:val="SGACP-enumerationniveau1"/>
        <w:numPr>
          <w:ilvl w:val="1"/>
          <w:numId w:val="39"/>
        </w:numPr>
        <w:ind w:left="284" w:hanging="284"/>
      </w:pPr>
      <w:r>
        <w:t>s</w:t>
      </w:r>
      <w:r w:rsidR="003F396B">
        <w:t>ynthèse des expositions par nature d’opérations :</w:t>
      </w:r>
    </w:p>
    <w:p w14:paraId="6B2F62F9" w14:textId="77777777" w:rsidR="00246EC8" w:rsidRDefault="00246EC8" w:rsidP="006914B8">
      <w:pPr>
        <w:pStyle w:val="SGACP-enumerationniveau1"/>
        <w:numPr>
          <w:ilvl w:val="0"/>
          <w:numId w:val="0"/>
        </w:numPr>
        <w:ind w:left="1069" w:hanging="360"/>
      </w:pPr>
    </w:p>
    <w:tbl>
      <w:tblPr>
        <w:tblStyle w:val="Grilledutableau"/>
        <w:tblW w:w="8783" w:type="dxa"/>
        <w:tblInd w:w="284" w:type="dxa"/>
        <w:tblLayout w:type="fixed"/>
        <w:tblLook w:val="04A0" w:firstRow="1" w:lastRow="0" w:firstColumn="1" w:lastColumn="0" w:noHBand="0" w:noVBand="1"/>
      </w:tblPr>
      <w:tblGrid>
        <w:gridCol w:w="2323"/>
        <w:gridCol w:w="1292"/>
        <w:gridCol w:w="1292"/>
        <w:gridCol w:w="1292"/>
        <w:gridCol w:w="1292"/>
        <w:gridCol w:w="1292"/>
      </w:tblGrid>
      <w:tr w:rsidR="00246EC8" w14:paraId="1186E25B" w14:textId="77777777" w:rsidTr="002F6550">
        <w:tc>
          <w:tcPr>
            <w:tcW w:w="2323" w:type="dxa"/>
            <w:vAlign w:val="center"/>
          </w:tcPr>
          <w:p w14:paraId="71CA00A6" w14:textId="63218DA6" w:rsidR="003333DA" w:rsidRPr="002F6550" w:rsidRDefault="001A5F8B" w:rsidP="002F6550">
            <w:pPr>
              <w:pStyle w:val="SGACP-enumerationniveau1"/>
              <w:numPr>
                <w:ilvl w:val="0"/>
                <w:numId w:val="0"/>
              </w:numPr>
              <w:spacing w:before="0"/>
              <w:jc w:val="center"/>
              <w:rPr>
                <w:i/>
              </w:rPr>
            </w:pPr>
            <w:r>
              <w:rPr>
                <w:i/>
              </w:rPr>
              <w:t>KEUR</w:t>
            </w:r>
          </w:p>
        </w:tc>
        <w:tc>
          <w:tcPr>
            <w:tcW w:w="1292" w:type="dxa"/>
            <w:vAlign w:val="center"/>
          </w:tcPr>
          <w:p w14:paraId="6D87C289" w14:textId="3D8A5E68" w:rsidR="003333DA" w:rsidRPr="00435247" w:rsidRDefault="003333DA" w:rsidP="00E15624">
            <w:pPr>
              <w:pStyle w:val="SGACP-enumerationniveau1"/>
              <w:numPr>
                <w:ilvl w:val="0"/>
                <w:numId w:val="0"/>
              </w:numPr>
              <w:spacing w:before="0"/>
              <w:jc w:val="center"/>
            </w:pPr>
            <w:r w:rsidRPr="00435247">
              <w:t>Valeur comptable brut</w:t>
            </w:r>
            <w:r w:rsidRPr="006914B8">
              <w:t>e</w:t>
            </w:r>
            <w:r w:rsidRPr="00435247">
              <w:t xml:space="preserve"> IFRS</w:t>
            </w:r>
          </w:p>
        </w:tc>
        <w:tc>
          <w:tcPr>
            <w:tcW w:w="1292" w:type="dxa"/>
            <w:vAlign w:val="center"/>
          </w:tcPr>
          <w:p w14:paraId="0C3EE0B5" w14:textId="01858A06" w:rsidR="003333DA" w:rsidRPr="00301F2E" w:rsidRDefault="003333DA" w:rsidP="00E15624">
            <w:pPr>
              <w:pStyle w:val="SGACP-enumerationniveau1"/>
              <w:numPr>
                <w:ilvl w:val="0"/>
                <w:numId w:val="0"/>
              </w:numPr>
              <w:spacing w:before="0"/>
              <w:jc w:val="center"/>
            </w:pPr>
            <w:r w:rsidRPr="00301F2E">
              <w:t>Montant nominal IFRS</w:t>
            </w:r>
          </w:p>
        </w:tc>
        <w:tc>
          <w:tcPr>
            <w:tcW w:w="1292" w:type="dxa"/>
            <w:vAlign w:val="center"/>
          </w:tcPr>
          <w:p w14:paraId="633F389F" w14:textId="7B0CCC70" w:rsidR="003333DA" w:rsidRPr="00301F2E" w:rsidRDefault="003333DA" w:rsidP="00E15624">
            <w:pPr>
              <w:pStyle w:val="SGACP-enumerationniveau1"/>
              <w:numPr>
                <w:ilvl w:val="0"/>
                <w:numId w:val="0"/>
              </w:numPr>
              <w:spacing w:before="0"/>
              <w:jc w:val="center"/>
            </w:pPr>
            <w:r w:rsidRPr="00301F2E">
              <w:t>Notionnel IFRS</w:t>
            </w:r>
          </w:p>
        </w:tc>
        <w:tc>
          <w:tcPr>
            <w:tcW w:w="1292" w:type="dxa"/>
            <w:vAlign w:val="center"/>
          </w:tcPr>
          <w:p w14:paraId="0B6C26CC" w14:textId="350BD0BC" w:rsidR="003333DA" w:rsidRPr="00301F2E" w:rsidRDefault="003333DA" w:rsidP="00E15624">
            <w:pPr>
              <w:pStyle w:val="SGACP-enumerationniveau1"/>
              <w:numPr>
                <w:ilvl w:val="0"/>
                <w:numId w:val="0"/>
              </w:numPr>
              <w:spacing w:before="0"/>
              <w:jc w:val="center"/>
            </w:pPr>
            <w:r w:rsidRPr="00301F2E">
              <w:t>Valeur exposée au risque avant prise en compte des sûretés</w:t>
            </w:r>
          </w:p>
        </w:tc>
        <w:tc>
          <w:tcPr>
            <w:tcW w:w="1292" w:type="dxa"/>
            <w:vAlign w:val="center"/>
          </w:tcPr>
          <w:p w14:paraId="4F191D53" w14:textId="21539ED4" w:rsidR="003333DA" w:rsidRPr="00301F2E" w:rsidRDefault="003333DA" w:rsidP="00E15624">
            <w:pPr>
              <w:pStyle w:val="SGACP-enumerationniveau1"/>
              <w:numPr>
                <w:ilvl w:val="0"/>
                <w:numId w:val="0"/>
              </w:numPr>
              <w:spacing w:before="0"/>
              <w:jc w:val="center"/>
            </w:pPr>
            <w:r w:rsidRPr="00301F2E">
              <w:t>Actifs pondérés en risque pour risque de crédit et de contrepartie</w:t>
            </w:r>
          </w:p>
        </w:tc>
      </w:tr>
      <w:tr w:rsidR="00246EC8" w14:paraId="29B6B673" w14:textId="77777777" w:rsidTr="006914B8">
        <w:tc>
          <w:tcPr>
            <w:tcW w:w="2323" w:type="dxa"/>
            <w:vAlign w:val="center"/>
          </w:tcPr>
          <w:p w14:paraId="7CC87155" w14:textId="3C42D84D" w:rsidR="003333DA" w:rsidRPr="003333DA" w:rsidRDefault="003333DA" w:rsidP="00E15624">
            <w:pPr>
              <w:pStyle w:val="SGACP-enumerationniveau1"/>
              <w:numPr>
                <w:ilvl w:val="0"/>
                <w:numId w:val="0"/>
              </w:numPr>
              <w:spacing w:before="0"/>
              <w:rPr>
                <w:szCs w:val="22"/>
              </w:rPr>
            </w:pPr>
            <w:r w:rsidRPr="00E15624">
              <w:rPr>
                <w:b/>
                <w:bCs/>
                <w:szCs w:val="22"/>
                <w:u w:val="single"/>
              </w:rPr>
              <w:t>A. Opérations ayant pour contrepartie des OPC ou des véhicules similaires</w:t>
            </w:r>
          </w:p>
        </w:tc>
        <w:tc>
          <w:tcPr>
            <w:tcW w:w="1292" w:type="dxa"/>
          </w:tcPr>
          <w:p w14:paraId="30B0CCC8" w14:textId="77777777" w:rsidR="003333DA" w:rsidRDefault="003333DA" w:rsidP="00E15624">
            <w:pPr>
              <w:pStyle w:val="SGACP-enumerationniveau1"/>
              <w:numPr>
                <w:ilvl w:val="0"/>
                <w:numId w:val="0"/>
              </w:numPr>
              <w:spacing w:before="0"/>
            </w:pPr>
          </w:p>
        </w:tc>
        <w:tc>
          <w:tcPr>
            <w:tcW w:w="1292" w:type="dxa"/>
          </w:tcPr>
          <w:p w14:paraId="09ACD4B9" w14:textId="77777777" w:rsidR="003333DA" w:rsidRDefault="003333DA" w:rsidP="00E15624">
            <w:pPr>
              <w:pStyle w:val="SGACP-enumerationniveau1"/>
              <w:numPr>
                <w:ilvl w:val="0"/>
                <w:numId w:val="0"/>
              </w:numPr>
              <w:spacing w:before="0"/>
            </w:pPr>
          </w:p>
        </w:tc>
        <w:tc>
          <w:tcPr>
            <w:tcW w:w="1292" w:type="dxa"/>
          </w:tcPr>
          <w:p w14:paraId="46697C4C" w14:textId="77777777" w:rsidR="003333DA" w:rsidRDefault="003333DA" w:rsidP="00E15624">
            <w:pPr>
              <w:pStyle w:val="SGACP-enumerationniveau1"/>
              <w:numPr>
                <w:ilvl w:val="0"/>
                <w:numId w:val="0"/>
              </w:numPr>
              <w:spacing w:before="0"/>
            </w:pPr>
          </w:p>
        </w:tc>
        <w:tc>
          <w:tcPr>
            <w:tcW w:w="1292" w:type="dxa"/>
          </w:tcPr>
          <w:p w14:paraId="57D24733" w14:textId="77777777" w:rsidR="003333DA" w:rsidRDefault="003333DA" w:rsidP="00E15624">
            <w:pPr>
              <w:pStyle w:val="SGACP-enumerationniveau1"/>
              <w:numPr>
                <w:ilvl w:val="0"/>
                <w:numId w:val="0"/>
              </w:numPr>
              <w:spacing w:before="0"/>
            </w:pPr>
          </w:p>
        </w:tc>
        <w:tc>
          <w:tcPr>
            <w:tcW w:w="1292" w:type="dxa"/>
          </w:tcPr>
          <w:p w14:paraId="39025654" w14:textId="77777777" w:rsidR="003333DA" w:rsidRDefault="003333DA" w:rsidP="00E15624">
            <w:pPr>
              <w:pStyle w:val="SGACP-enumerationniveau1"/>
              <w:numPr>
                <w:ilvl w:val="0"/>
                <w:numId w:val="0"/>
              </w:numPr>
              <w:spacing w:before="0"/>
            </w:pPr>
          </w:p>
        </w:tc>
      </w:tr>
      <w:tr w:rsidR="00246EC8" w14:paraId="4A40E647" w14:textId="77777777" w:rsidTr="006914B8">
        <w:tc>
          <w:tcPr>
            <w:tcW w:w="2323" w:type="dxa"/>
            <w:vAlign w:val="center"/>
          </w:tcPr>
          <w:p w14:paraId="3AE5C839" w14:textId="6B70E0FB" w:rsidR="003333DA" w:rsidRPr="003333DA" w:rsidRDefault="003333DA" w:rsidP="006914B8">
            <w:pPr>
              <w:pStyle w:val="SGACP-enumerationniveau1"/>
              <w:numPr>
                <w:ilvl w:val="0"/>
                <w:numId w:val="0"/>
              </w:numPr>
              <w:spacing w:before="0"/>
              <w:rPr>
                <w:szCs w:val="22"/>
              </w:rPr>
            </w:pPr>
            <w:r w:rsidRPr="00E15624">
              <w:rPr>
                <w:b/>
                <w:bCs/>
                <w:szCs w:val="22"/>
              </w:rPr>
              <w:t>A.1. Activités de financement hors opérations de marché</w:t>
            </w:r>
          </w:p>
        </w:tc>
        <w:tc>
          <w:tcPr>
            <w:tcW w:w="1292" w:type="dxa"/>
          </w:tcPr>
          <w:p w14:paraId="1C3EF732" w14:textId="77777777" w:rsidR="003333DA" w:rsidRDefault="003333DA" w:rsidP="006914B8">
            <w:pPr>
              <w:pStyle w:val="SGACP-enumerationniveau1"/>
              <w:numPr>
                <w:ilvl w:val="0"/>
                <w:numId w:val="0"/>
              </w:numPr>
              <w:spacing w:before="0"/>
            </w:pPr>
          </w:p>
        </w:tc>
        <w:tc>
          <w:tcPr>
            <w:tcW w:w="1292" w:type="dxa"/>
          </w:tcPr>
          <w:p w14:paraId="369DED64"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63A8DFF4" w14:textId="77777777" w:rsidR="003333DA" w:rsidRDefault="003333DA" w:rsidP="006914B8">
            <w:pPr>
              <w:pStyle w:val="SGACP-enumerationniveau1"/>
              <w:numPr>
                <w:ilvl w:val="0"/>
                <w:numId w:val="0"/>
              </w:numPr>
              <w:spacing w:before="0"/>
            </w:pPr>
          </w:p>
        </w:tc>
        <w:tc>
          <w:tcPr>
            <w:tcW w:w="1292" w:type="dxa"/>
          </w:tcPr>
          <w:p w14:paraId="60A4908B" w14:textId="77777777" w:rsidR="003333DA" w:rsidRDefault="003333DA" w:rsidP="006914B8">
            <w:pPr>
              <w:pStyle w:val="SGACP-enumerationniveau1"/>
              <w:numPr>
                <w:ilvl w:val="0"/>
                <w:numId w:val="0"/>
              </w:numPr>
              <w:spacing w:before="0"/>
            </w:pPr>
          </w:p>
        </w:tc>
        <w:tc>
          <w:tcPr>
            <w:tcW w:w="1292" w:type="dxa"/>
          </w:tcPr>
          <w:p w14:paraId="244A1CD5" w14:textId="77777777" w:rsidR="003333DA" w:rsidRDefault="003333DA" w:rsidP="006914B8">
            <w:pPr>
              <w:pStyle w:val="SGACP-enumerationniveau1"/>
              <w:numPr>
                <w:ilvl w:val="0"/>
                <w:numId w:val="0"/>
              </w:numPr>
              <w:spacing w:before="0"/>
            </w:pPr>
          </w:p>
        </w:tc>
      </w:tr>
      <w:tr w:rsidR="00246EC8" w14:paraId="168CC801" w14:textId="77777777" w:rsidTr="006914B8">
        <w:tc>
          <w:tcPr>
            <w:tcW w:w="2323" w:type="dxa"/>
            <w:vAlign w:val="center"/>
          </w:tcPr>
          <w:p w14:paraId="0C4EE9AF" w14:textId="6473E34F" w:rsidR="003333DA" w:rsidRPr="003333DA" w:rsidRDefault="003333DA" w:rsidP="006914B8">
            <w:pPr>
              <w:pStyle w:val="SGACP-enumerationniveau1"/>
              <w:numPr>
                <w:ilvl w:val="0"/>
                <w:numId w:val="0"/>
              </w:numPr>
              <w:spacing w:before="0"/>
              <w:rPr>
                <w:szCs w:val="22"/>
              </w:rPr>
            </w:pPr>
            <w:r w:rsidRPr="00E15624">
              <w:rPr>
                <w:szCs w:val="22"/>
              </w:rPr>
              <w:t>A.1.a. Avances, dont comptes débiteurs</w:t>
            </w:r>
          </w:p>
        </w:tc>
        <w:tc>
          <w:tcPr>
            <w:tcW w:w="1292" w:type="dxa"/>
          </w:tcPr>
          <w:p w14:paraId="4A678563"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00750441"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2430EA90" w14:textId="77777777" w:rsidR="003333DA" w:rsidRDefault="003333DA" w:rsidP="006914B8">
            <w:pPr>
              <w:pStyle w:val="SGACP-enumerationniveau1"/>
              <w:numPr>
                <w:ilvl w:val="0"/>
                <w:numId w:val="0"/>
              </w:numPr>
              <w:spacing w:before="0"/>
            </w:pPr>
          </w:p>
        </w:tc>
        <w:tc>
          <w:tcPr>
            <w:tcW w:w="1292" w:type="dxa"/>
          </w:tcPr>
          <w:p w14:paraId="03A34B97" w14:textId="77777777" w:rsidR="003333DA" w:rsidRDefault="003333DA" w:rsidP="006914B8">
            <w:pPr>
              <w:pStyle w:val="SGACP-enumerationniveau1"/>
              <w:numPr>
                <w:ilvl w:val="0"/>
                <w:numId w:val="0"/>
              </w:numPr>
              <w:spacing w:before="0"/>
            </w:pPr>
          </w:p>
        </w:tc>
        <w:tc>
          <w:tcPr>
            <w:tcW w:w="1292" w:type="dxa"/>
          </w:tcPr>
          <w:p w14:paraId="2A97A474" w14:textId="77777777" w:rsidR="003333DA" w:rsidRDefault="003333DA" w:rsidP="006914B8">
            <w:pPr>
              <w:pStyle w:val="SGACP-enumerationniveau1"/>
              <w:numPr>
                <w:ilvl w:val="0"/>
                <w:numId w:val="0"/>
              </w:numPr>
              <w:spacing w:before="0"/>
            </w:pPr>
          </w:p>
        </w:tc>
      </w:tr>
      <w:tr w:rsidR="00246EC8" w14:paraId="586BDA78" w14:textId="77777777" w:rsidTr="006914B8">
        <w:tc>
          <w:tcPr>
            <w:tcW w:w="2323" w:type="dxa"/>
            <w:vAlign w:val="center"/>
          </w:tcPr>
          <w:p w14:paraId="53210AAF" w14:textId="4CE43DB7" w:rsidR="003333DA" w:rsidRPr="003333DA" w:rsidRDefault="003333DA" w:rsidP="006914B8">
            <w:pPr>
              <w:pStyle w:val="SGACP-enumerationniveau1"/>
              <w:numPr>
                <w:ilvl w:val="0"/>
                <w:numId w:val="0"/>
              </w:numPr>
              <w:spacing w:before="0"/>
              <w:rPr>
                <w:szCs w:val="22"/>
              </w:rPr>
            </w:pPr>
            <w:r w:rsidRPr="006914B8">
              <w:rPr>
                <w:szCs w:val="22"/>
              </w:rPr>
              <w:t>A.1.b. Prêts hors prises en pension</w:t>
            </w:r>
          </w:p>
        </w:tc>
        <w:tc>
          <w:tcPr>
            <w:tcW w:w="1292" w:type="dxa"/>
          </w:tcPr>
          <w:p w14:paraId="35A3B125"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63CF9C8D"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2EB5AB55" w14:textId="77777777" w:rsidR="003333DA" w:rsidRDefault="003333DA" w:rsidP="006914B8">
            <w:pPr>
              <w:pStyle w:val="SGACP-enumerationniveau1"/>
              <w:numPr>
                <w:ilvl w:val="0"/>
                <w:numId w:val="0"/>
              </w:numPr>
              <w:spacing w:before="0"/>
            </w:pPr>
          </w:p>
        </w:tc>
        <w:tc>
          <w:tcPr>
            <w:tcW w:w="1292" w:type="dxa"/>
          </w:tcPr>
          <w:p w14:paraId="0A7ABB1E" w14:textId="77777777" w:rsidR="003333DA" w:rsidRDefault="003333DA" w:rsidP="006914B8">
            <w:pPr>
              <w:pStyle w:val="SGACP-enumerationniveau1"/>
              <w:numPr>
                <w:ilvl w:val="0"/>
                <w:numId w:val="0"/>
              </w:numPr>
              <w:spacing w:before="0"/>
            </w:pPr>
          </w:p>
        </w:tc>
        <w:tc>
          <w:tcPr>
            <w:tcW w:w="1292" w:type="dxa"/>
          </w:tcPr>
          <w:p w14:paraId="21691C35" w14:textId="77777777" w:rsidR="003333DA" w:rsidRDefault="003333DA" w:rsidP="006914B8">
            <w:pPr>
              <w:pStyle w:val="SGACP-enumerationniveau1"/>
              <w:numPr>
                <w:ilvl w:val="0"/>
                <w:numId w:val="0"/>
              </w:numPr>
              <w:spacing w:before="0"/>
            </w:pPr>
          </w:p>
        </w:tc>
      </w:tr>
      <w:tr w:rsidR="00246EC8" w14:paraId="3083D7D0" w14:textId="77777777" w:rsidTr="006914B8">
        <w:tc>
          <w:tcPr>
            <w:tcW w:w="2323" w:type="dxa"/>
            <w:vAlign w:val="center"/>
          </w:tcPr>
          <w:p w14:paraId="7B907165" w14:textId="6B208486" w:rsidR="003333DA" w:rsidRPr="003333DA" w:rsidRDefault="003333DA" w:rsidP="006914B8">
            <w:pPr>
              <w:pStyle w:val="SGACP-enumerationniveau1"/>
              <w:numPr>
                <w:ilvl w:val="0"/>
                <w:numId w:val="0"/>
              </w:numPr>
              <w:spacing w:before="0"/>
              <w:rPr>
                <w:szCs w:val="22"/>
              </w:rPr>
            </w:pPr>
            <w:r w:rsidRPr="006914B8">
              <w:rPr>
                <w:szCs w:val="22"/>
              </w:rPr>
              <w:t>A.1.c. Engagements de financement non utilisés</w:t>
            </w:r>
          </w:p>
        </w:tc>
        <w:tc>
          <w:tcPr>
            <w:tcW w:w="1292" w:type="dxa"/>
            <w:shd w:val="clear" w:color="auto" w:fill="D9D9D9" w:themeFill="background1" w:themeFillShade="D9"/>
          </w:tcPr>
          <w:p w14:paraId="6F5B19A3" w14:textId="77777777" w:rsidR="003333DA" w:rsidRDefault="003333DA" w:rsidP="006914B8">
            <w:pPr>
              <w:pStyle w:val="SGACP-enumerationniveau1"/>
              <w:numPr>
                <w:ilvl w:val="0"/>
                <w:numId w:val="0"/>
              </w:numPr>
              <w:spacing w:before="0"/>
            </w:pPr>
          </w:p>
        </w:tc>
        <w:tc>
          <w:tcPr>
            <w:tcW w:w="1292" w:type="dxa"/>
          </w:tcPr>
          <w:p w14:paraId="14F37C6D"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5BF91EF6" w14:textId="77777777" w:rsidR="003333DA" w:rsidRDefault="003333DA" w:rsidP="006914B8">
            <w:pPr>
              <w:pStyle w:val="SGACP-enumerationniveau1"/>
              <w:numPr>
                <w:ilvl w:val="0"/>
                <w:numId w:val="0"/>
              </w:numPr>
              <w:spacing w:before="0"/>
            </w:pPr>
          </w:p>
        </w:tc>
        <w:tc>
          <w:tcPr>
            <w:tcW w:w="1292" w:type="dxa"/>
          </w:tcPr>
          <w:p w14:paraId="7F25BA80" w14:textId="77777777" w:rsidR="003333DA" w:rsidRDefault="003333DA" w:rsidP="006914B8">
            <w:pPr>
              <w:pStyle w:val="SGACP-enumerationniveau1"/>
              <w:numPr>
                <w:ilvl w:val="0"/>
                <w:numId w:val="0"/>
              </w:numPr>
              <w:spacing w:before="0"/>
            </w:pPr>
          </w:p>
        </w:tc>
        <w:tc>
          <w:tcPr>
            <w:tcW w:w="1292" w:type="dxa"/>
          </w:tcPr>
          <w:p w14:paraId="6570B95B" w14:textId="77777777" w:rsidR="003333DA" w:rsidRDefault="003333DA" w:rsidP="006914B8">
            <w:pPr>
              <w:pStyle w:val="SGACP-enumerationniveau1"/>
              <w:numPr>
                <w:ilvl w:val="0"/>
                <w:numId w:val="0"/>
              </w:numPr>
              <w:spacing w:before="0"/>
            </w:pPr>
          </w:p>
        </w:tc>
      </w:tr>
      <w:tr w:rsidR="00246EC8" w14:paraId="5099A3BB" w14:textId="77777777" w:rsidTr="006914B8">
        <w:tc>
          <w:tcPr>
            <w:tcW w:w="2323" w:type="dxa"/>
            <w:vAlign w:val="center"/>
          </w:tcPr>
          <w:p w14:paraId="3A60E754" w14:textId="5988E9DC" w:rsidR="003333DA" w:rsidRPr="003333DA" w:rsidRDefault="003333DA" w:rsidP="006914B8">
            <w:pPr>
              <w:pStyle w:val="SGACP-enumerationniveau1"/>
              <w:numPr>
                <w:ilvl w:val="0"/>
                <w:numId w:val="0"/>
              </w:numPr>
              <w:spacing w:before="0"/>
              <w:rPr>
                <w:szCs w:val="22"/>
              </w:rPr>
            </w:pPr>
            <w:r w:rsidRPr="006914B8">
              <w:rPr>
                <w:szCs w:val="22"/>
              </w:rPr>
              <w:t>A.1.d. Engagements de garantie</w:t>
            </w:r>
          </w:p>
        </w:tc>
        <w:tc>
          <w:tcPr>
            <w:tcW w:w="1292" w:type="dxa"/>
            <w:shd w:val="clear" w:color="auto" w:fill="D9D9D9" w:themeFill="background1" w:themeFillShade="D9"/>
          </w:tcPr>
          <w:p w14:paraId="32974D45" w14:textId="77777777" w:rsidR="003333DA" w:rsidRDefault="003333DA" w:rsidP="006914B8">
            <w:pPr>
              <w:pStyle w:val="SGACP-enumerationniveau1"/>
              <w:numPr>
                <w:ilvl w:val="0"/>
                <w:numId w:val="0"/>
              </w:numPr>
              <w:spacing w:before="0"/>
            </w:pPr>
          </w:p>
        </w:tc>
        <w:tc>
          <w:tcPr>
            <w:tcW w:w="1292" w:type="dxa"/>
          </w:tcPr>
          <w:p w14:paraId="717C1C0A"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414CB2E1" w14:textId="77777777" w:rsidR="003333DA" w:rsidRDefault="003333DA" w:rsidP="006914B8">
            <w:pPr>
              <w:pStyle w:val="SGACP-enumerationniveau1"/>
              <w:numPr>
                <w:ilvl w:val="0"/>
                <w:numId w:val="0"/>
              </w:numPr>
              <w:spacing w:before="0"/>
            </w:pPr>
          </w:p>
        </w:tc>
        <w:tc>
          <w:tcPr>
            <w:tcW w:w="1292" w:type="dxa"/>
          </w:tcPr>
          <w:p w14:paraId="36773655" w14:textId="77777777" w:rsidR="003333DA" w:rsidRDefault="003333DA" w:rsidP="006914B8">
            <w:pPr>
              <w:pStyle w:val="SGACP-enumerationniveau1"/>
              <w:numPr>
                <w:ilvl w:val="0"/>
                <w:numId w:val="0"/>
              </w:numPr>
              <w:spacing w:before="0"/>
            </w:pPr>
          </w:p>
        </w:tc>
        <w:tc>
          <w:tcPr>
            <w:tcW w:w="1292" w:type="dxa"/>
          </w:tcPr>
          <w:p w14:paraId="166C377E" w14:textId="77777777" w:rsidR="003333DA" w:rsidRDefault="003333DA" w:rsidP="006914B8">
            <w:pPr>
              <w:pStyle w:val="SGACP-enumerationniveau1"/>
              <w:numPr>
                <w:ilvl w:val="0"/>
                <w:numId w:val="0"/>
              </w:numPr>
              <w:spacing w:before="0"/>
            </w:pPr>
          </w:p>
        </w:tc>
      </w:tr>
      <w:tr w:rsidR="00246EC8" w14:paraId="715725B8" w14:textId="77777777" w:rsidTr="006914B8">
        <w:tc>
          <w:tcPr>
            <w:tcW w:w="2323" w:type="dxa"/>
            <w:vAlign w:val="center"/>
          </w:tcPr>
          <w:p w14:paraId="5C092086" w14:textId="74808D63" w:rsidR="003333DA" w:rsidRPr="003333DA" w:rsidRDefault="003333DA" w:rsidP="006914B8">
            <w:pPr>
              <w:pStyle w:val="SGACP-enumerationniveau1"/>
              <w:numPr>
                <w:ilvl w:val="0"/>
                <w:numId w:val="0"/>
              </w:numPr>
              <w:spacing w:before="0"/>
              <w:rPr>
                <w:szCs w:val="22"/>
              </w:rPr>
            </w:pPr>
            <w:r w:rsidRPr="006914B8">
              <w:rPr>
                <w:b/>
                <w:bCs/>
                <w:szCs w:val="22"/>
              </w:rPr>
              <w:t>A.2. Opérations de marché</w:t>
            </w:r>
          </w:p>
        </w:tc>
        <w:tc>
          <w:tcPr>
            <w:tcW w:w="1292" w:type="dxa"/>
          </w:tcPr>
          <w:p w14:paraId="6531A479"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3C7F9019" w14:textId="77777777" w:rsidR="003333DA" w:rsidRDefault="003333DA" w:rsidP="006914B8">
            <w:pPr>
              <w:pStyle w:val="SGACP-enumerationniveau1"/>
              <w:numPr>
                <w:ilvl w:val="0"/>
                <w:numId w:val="0"/>
              </w:numPr>
              <w:spacing w:before="0"/>
            </w:pPr>
          </w:p>
        </w:tc>
        <w:tc>
          <w:tcPr>
            <w:tcW w:w="1292" w:type="dxa"/>
          </w:tcPr>
          <w:p w14:paraId="04C7D645" w14:textId="77777777" w:rsidR="003333DA" w:rsidRDefault="003333DA" w:rsidP="006914B8">
            <w:pPr>
              <w:pStyle w:val="SGACP-enumerationniveau1"/>
              <w:numPr>
                <w:ilvl w:val="0"/>
                <w:numId w:val="0"/>
              </w:numPr>
              <w:spacing w:before="0"/>
            </w:pPr>
          </w:p>
        </w:tc>
        <w:tc>
          <w:tcPr>
            <w:tcW w:w="1292" w:type="dxa"/>
          </w:tcPr>
          <w:p w14:paraId="0173B79D" w14:textId="77777777" w:rsidR="003333DA" w:rsidRDefault="003333DA" w:rsidP="006914B8">
            <w:pPr>
              <w:pStyle w:val="SGACP-enumerationniveau1"/>
              <w:numPr>
                <w:ilvl w:val="0"/>
                <w:numId w:val="0"/>
              </w:numPr>
              <w:spacing w:before="0"/>
            </w:pPr>
          </w:p>
        </w:tc>
        <w:tc>
          <w:tcPr>
            <w:tcW w:w="1292" w:type="dxa"/>
          </w:tcPr>
          <w:p w14:paraId="4F57AB65" w14:textId="77777777" w:rsidR="003333DA" w:rsidRDefault="003333DA" w:rsidP="006914B8">
            <w:pPr>
              <w:pStyle w:val="SGACP-enumerationniveau1"/>
              <w:numPr>
                <w:ilvl w:val="0"/>
                <w:numId w:val="0"/>
              </w:numPr>
              <w:spacing w:before="0"/>
            </w:pPr>
          </w:p>
        </w:tc>
      </w:tr>
      <w:tr w:rsidR="00246EC8" w14:paraId="7710A005" w14:textId="77777777" w:rsidTr="006914B8">
        <w:tc>
          <w:tcPr>
            <w:tcW w:w="2323" w:type="dxa"/>
            <w:vAlign w:val="center"/>
          </w:tcPr>
          <w:p w14:paraId="524E001F" w14:textId="02BD0176" w:rsidR="003333DA" w:rsidRPr="003333DA" w:rsidRDefault="003333DA" w:rsidP="006914B8">
            <w:pPr>
              <w:pStyle w:val="SGACP-enumerationniveau1"/>
              <w:numPr>
                <w:ilvl w:val="0"/>
                <w:numId w:val="0"/>
              </w:numPr>
              <w:spacing w:before="0"/>
              <w:rPr>
                <w:szCs w:val="22"/>
              </w:rPr>
            </w:pPr>
            <w:r w:rsidRPr="006914B8">
              <w:rPr>
                <w:szCs w:val="22"/>
              </w:rPr>
              <w:t>A.2.a. Pensions de titres et prêts-emprunts de titres</w:t>
            </w:r>
          </w:p>
        </w:tc>
        <w:tc>
          <w:tcPr>
            <w:tcW w:w="1292" w:type="dxa"/>
          </w:tcPr>
          <w:p w14:paraId="15679176"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41441A6F"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6CB6E17F" w14:textId="77777777" w:rsidR="003333DA" w:rsidRDefault="003333DA" w:rsidP="006914B8">
            <w:pPr>
              <w:pStyle w:val="SGACP-enumerationniveau1"/>
              <w:numPr>
                <w:ilvl w:val="0"/>
                <w:numId w:val="0"/>
              </w:numPr>
              <w:spacing w:before="0"/>
            </w:pPr>
          </w:p>
        </w:tc>
        <w:tc>
          <w:tcPr>
            <w:tcW w:w="1292" w:type="dxa"/>
          </w:tcPr>
          <w:p w14:paraId="3EF5C8C9" w14:textId="77777777" w:rsidR="003333DA" w:rsidRDefault="003333DA" w:rsidP="006914B8">
            <w:pPr>
              <w:pStyle w:val="SGACP-enumerationniveau1"/>
              <w:numPr>
                <w:ilvl w:val="0"/>
                <w:numId w:val="0"/>
              </w:numPr>
              <w:spacing w:before="0"/>
            </w:pPr>
          </w:p>
        </w:tc>
        <w:tc>
          <w:tcPr>
            <w:tcW w:w="1292" w:type="dxa"/>
          </w:tcPr>
          <w:p w14:paraId="7624A666" w14:textId="77777777" w:rsidR="003333DA" w:rsidRDefault="003333DA" w:rsidP="006914B8">
            <w:pPr>
              <w:pStyle w:val="SGACP-enumerationniveau1"/>
              <w:numPr>
                <w:ilvl w:val="0"/>
                <w:numId w:val="0"/>
              </w:numPr>
              <w:spacing w:before="0"/>
            </w:pPr>
          </w:p>
        </w:tc>
      </w:tr>
      <w:tr w:rsidR="00246EC8" w14:paraId="1B380623" w14:textId="77777777" w:rsidTr="006914B8">
        <w:tc>
          <w:tcPr>
            <w:tcW w:w="2323" w:type="dxa"/>
            <w:vAlign w:val="center"/>
          </w:tcPr>
          <w:p w14:paraId="54FF07C1" w14:textId="27EDADF6" w:rsidR="003333DA" w:rsidRPr="003333DA" w:rsidRDefault="003333DA" w:rsidP="00E15624">
            <w:pPr>
              <w:pStyle w:val="SGACP-enumerationniveau1"/>
              <w:numPr>
                <w:ilvl w:val="0"/>
                <w:numId w:val="0"/>
              </w:numPr>
              <w:spacing w:before="0"/>
              <w:rPr>
                <w:szCs w:val="22"/>
              </w:rPr>
            </w:pPr>
            <w:r w:rsidRPr="006914B8">
              <w:rPr>
                <w:szCs w:val="22"/>
              </w:rPr>
              <w:t>A.2.b. Dérivés</w:t>
            </w:r>
          </w:p>
        </w:tc>
        <w:tc>
          <w:tcPr>
            <w:tcW w:w="1292" w:type="dxa"/>
          </w:tcPr>
          <w:p w14:paraId="56D95E4A" w14:textId="77777777" w:rsidR="003333DA" w:rsidRDefault="003333DA" w:rsidP="00E15624">
            <w:pPr>
              <w:pStyle w:val="SGACP-enumerationniveau1"/>
              <w:numPr>
                <w:ilvl w:val="0"/>
                <w:numId w:val="0"/>
              </w:numPr>
              <w:spacing w:before="0"/>
            </w:pPr>
          </w:p>
        </w:tc>
        <w:tc>
          <w:tcPr>
            <w:tcW w:w="1292" w:type="dxa"/>
            <w:shd w:val="clear" w:color="auto" w:fill="D9D9D9" w:themeFill="background1" w:themeFillShade="D9"/>
          </w:tcPr>
          <w:p w14:paraId="6C031B4A" w14:textId="77777777" w:rsidR="003333DA" w:rsidRDefault="003333DA" w:rsidP="00E15624">
            <w:pPr>
              <w:pStyle w:val="SGACP-enumerationniveau1"/>
              <w:numPr>
                <w:ilvl w:val="0"/>
                <w:numId w:val="0"/>
              </w:numPr>
              <w:spacing w:before="0"/>
            </w:pPr>
          </w:p>
        </w:tc>
        <w:tc>
          <w:tcPr>
            <w:tcW w:w="1292" w:type="dxa"/>
          </w:tcPr>
          <w:p w14:paraId="4E3AE0FD" w14:textId="77777777" w:rsidR="003333DA" w:rsidRDefault="003333DA" w:rsidP="00E15624">
            <w:pPr>
              <w:pStyle w:val="SGACP-enumerationniveau1"/>
              <w:numPr>
                <w:ilvl w:val="0"/>
                <w:numId w:val="0"/>
              </w:numPr>
              <w:spacing w:before="0"/>
            </w:pPr>
          </w:p>
        </w:tc>
        <w:tc>
          <w:tcPr>
            <w:tcW w:w="1292" w:type="dxa"/>
          </w:tcPr>
          <w:p w14:paraId="43D63489" w14:textId="77777777" w:rsidR="003333DA" w:rsidRDefault="003333DA" w:rsidP="00E15624">
            <w:pPr>
              <w:pStyle w:val="SGACP-enumerationniveau1"/>
              <w:numPr>
                <w:ilvl w:val="0"/>
                <w:numId w:val="0"/>
              </w:numPr>
              <w:spacing w:before="0"/>
            </w:pPr>
          </w:p>
        </w:tc>
        <w:tc>
          <w:tcPr>
            <w:tcW w:w="1292" w:type="dxa"/>
          </w:tcPr>
          <w:p w14:paraId="0BAA3175" w14:textId="77777777" w:rsidR="003333DA" w:rsidRDefault="003333DA" w:rsidP="00E15624">
            <w:pPr>
              <w:pStyle w:val="SGACP-enumerationniveau1"/>
              <w:numPr>
                <w:ilvl w:val="0"/>
                <w:numId w:val="0"/>
              </w:numPr>
              <w:spacing w:before="0"/>
            </w:pPr>
          </w:p>
        </w:tc>
      </w:tr>
      <w:tr w:rsidR="00246EC8" w14:paraId="636DBA77" w14:textId="77777777" w:rsidTr="006914B8">
        <w:tc>
          <w:tcPr>
            <w:tcW w:w="2323" w:type="dxa"/>
            <w:vAlign w:val="center"/>
          </w:tcPr>
          <w:p w14:paraId="1F5EB6DB" w14:textId="643782A5" w:rsidR="003333DA" w:rsidRPr="003333DA" w:rsidRDefault="003333DA" w:rsidP="006914B8">
            <w:pPr>
              <w:pStyle w:val="SGACP-enumerationniveau1"/>
              <w:numPr>
                <w:ilvl w:val="0"/>
                <w:numId w:val="0"/>
              </w:numPr>
              <w:spacing w:before="0"/>
              <w:rPr>
                <w:szCs w:val="22"/>
              </w:rPr>
            </w:pPr>
            <w:r w:rsidRPr="006914B8">
              <w:rPr>
                <w:i/>
                <w:iCs/>
                <w:szCs w:val="22"/>
              </w:rPr>
              <w:t>A.2.b.i. Dérivés à des visées de financement de positions</w:t>
            </w:r>
          </w:p>
        </w:tc>
        <w:tc>
          <w:tcPr>
            <w:tcW w:w="1292" w:type="dxa"/>
          </w:tcPr>
          <w:p w14:paraId="0F99A489"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1449DF5C" w14:textId="77777777" w:rsidR="003333DA" w:rsidRDefault="003333DA" w:rsidP="006914B8">
            <w:pPr>
              <w:pStyle w:val="SGACP-enumerationniveau1"/>
              <w:numPr>
                <w:ilvl w:val="0"/>
                <w:numId w:val="0"/>
              </w:numPr>
              <w:spacing w:before="0"/>
            </w:pPr>
          </w:p>
        </w:tc>
        <w:tc>
          <w:tcPr>
            <w:tcW w:w="1292" w:type="dxa"/>
          </w:tcPr>
          <w:p w14:paraId="710A79C0" w14:textId="77777777" w:rsidR="003333DA" w:rsidRDefault="003333DA" w:rsidP="006914B8">
            <w:pPr>
              <w:pStyle w:val="SGACP-enumerationniveau1"/>
              <w:numPr>
                <w:ilvl w:val="0"/>
                <w:numId w:val="0"/>
              </w:numPr>
              <w:spacing w:before="0"/>
            </w:pPr>
          </w:p>
        </w:tc>
        <w:tc>
          <w:tcPr>
            <w:tcW w:w="1292" w:type="dxa"/>
          </w:tcPr>
          <w:p w14:paraId="39EDB6D5" w14:textId="77777777" w:rsidR="003333DA" w:rsidRDefault="003333DA" w:rsidP="006914B8">
            <w:pPr>
              <w:pStyle w:val="SGACP-enumerationniveau1"/>
              <w:numPr>
                <w:ilvl w:val="0"/>
                <w:numId w:val="0"/>
              </w:numPr>
              <w:spacing w:before="0"/>
            </w:pPr>
          </w:p>
        </w:tc>
        <w:tc>
          <w:tcPr>
            <w:tcW w:w="1292" w:type="dxa"/>
          </w:tcPr>
          <w:p w14:paraId="6F8BDB6C" w14:textId="77777777" w:rsidR="003333DA" w:rsidRDefault="003333DA" w:rsidP="006914B8">
            <w:pPr>
              <w:pStyle w:val="SGACP-enumerationniveau1"/>
              <w:numPr>
                <w:ilvl w:val="0"/>
                <w:numId w:val="0"/>
              </w:numPr>
              <w:spacing w:before="0"/>
            </w:pPr>
          </w:p>
        </w:tc>
      </w:tr>
      <w:tr w:rsidR="00246EC8" w14:paraId="228B3F9A" w14:textId="77777777" w:rsidTr="006914B8">
        <w:tc>
          <w:tcPr>
            <w:tcW w:w="2323" w:type="dxa"/>
            <w:vAlign w:val="center"/>
          </w:tcPr>
          <w:p w14:paraId="73A01020" w14:textId="409BE156" w:rsidR="003333DA" w:rsidRPr="003333DA" w:rsidRDefault="003333DA" w:rsidP="006914B8">
            <w:pPr>
              <w:pStyle w:val="SGACP-enumerationniveau1"/>
              <w:numPr>
                <w:ilvl w:val="0"/>
                <w:numId w:val="0"/>
              </w:numPr>
              <w:spacing w:before="0"/>
              <w:rPr>
                <w:szCs w:val="22"/>
              </w:rPr>
            </w:pPr>
            <w:r w:rsidRPr="006914B8">
              <w:rPr>
                <w:i/>
                <w:iCs/>
                <w:szCs w:val="22"/>
              </w:rPr>
              <w:t>A.2.b.ii. Autres dérivés</w:t>
            </w:r>
          </w:p>
        </w:tc>
        <w:tc>
          <w:tcPr>
            <w:tcW w:w="1292" w:type="dxa"/>
          </w:tcPr>
          <w:p w14:paraId="5E978F2A"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775C1BB1" w14:textId="77777777" w:rsidR="003333DA" w:rsidRDefault="003333DA" w:rsidP="006914B8">
            <w:pPr>
              <w:pStyle w:val="SGACP-enumerationniveau1"/>
              <w:numPr>
                <w:ilvl w:val="0"/>
                <w:numId w:val="0"/>
              </w:numPr>
              <w:spacing w:before="0"/>
            </w:pPr>
          </w:p>
        </w:tc>
        <w:tc>
          <w:tcPr>
            <w:tcW w:w="1292" w:type="dxa"/>
          </w:tcPr>
          <w:p w14:paraId="239F428C" w14:textId="77777777" w:rsidR="003333DA" w:rsidRDefault="003333DA" w:rsidP="006914B8">
            <w:pPr>
              <w:pStyle w:val="SGACP-enumerationniveau1"/>
              <w:numPr>
                <w:ilvl w:val="0"/>
                <w:numId w:val="0"/>
              </w:numPr>
              <w:spacing w:before="0"/>
            </w:pPr>
          </w:p>
        </w:tc>
        <w:tc>
          <w:tcPr>
            <w:tcW w:w="1292" w:type="dxa"/>
          </w:tcPr>
          <w:p w14:paraId="2FC8C868" w14:textId="77777777" w:rsidR="003333DA" w:rsidRDefault="003333DA" w:rsidP="006914B8">
            <w:pPr>
              <w:pStyle w:val="SGACP-enumerationniveau1"/>
              <w:numPr>
                <w:ilvl w:val="0"/>
                <w:numId w:val="0"/>
              </w:numPr>
              <w:spacing w:before="0"/>
            </w:pPr>
          </w:p>
        </w:tc>
        <w:tc>
          <w:tcPr>
            <w:tcW w:w="1292" w:type="dxa"/>
          </w:tcPr>
          <w:p w14:paraId="44BD0590" w14:textId="77777777" w:rsidR="003333DA" w:rsidRDefault="003333DA" w:rsidP="006914B8">
            <w:pPr>
              <w:pStyle w:val="SGACP-enumerationniveau1"/>
              <w:numPr>
                <w:ilvl w:val="0"/>
                <w:numId w:val="0"/>
              </w:numPr>
              <w:spacing w:before="0"/>
            </w:pPr>
          </w:p>
        </w:tc>
      </w:tr>
      <w:tr w:rsidR="00246EC8" w14:paraId="716DA93C" w14:textId="77777777" w:rsidTr="006914B8">
        <w:tc>
          <w:tcPr>
            <w:tcW w:w="2323" w:type="dxa"/>
            <w:vAlign w:val="center"/>
          </w:tcPr>
          <w:p w14:paraId="1488F504" w14:textId="37208193" w:rsidR="003333DA" w:rsidRPr="003333DA" w:rsidRDefault="003333DA" w:rsidP="006914B8">
            <w:pPr>
              <w:pStyle w:val="SGACP-enumerationniveau1"/>
              <w:numPr>
                <w:ilvl w:val="0"/>
                <w:numId w:val="0"/>
              </w:numPr>
              <w:spacing w:before="0"/>
              <w:rPr>
                <w:szCs w:val="22"/>
              </w:rPr>
            </w:pPr>
            <w:r w:rsidRPr="006914B8">
              <w:rPr>
                <w:b/>
                <w:bCs/>
                <w:szCs w:val="22"/>
              </w:rPr>
              <w:t>A.3. Autres</w:t>
            </w:r>
          </w:p>
        </w:tc>
        <w:tc>
          <w:tcPr>
            <w:tcW w:w="1292" w:type="dxa"/>
          </w:tcPr>
          <w:p w14:paraId="652C5053" w14:textId="77777777" w:rsidR="003333DA" w:rsidRDefault="003333DA" w:rsidP="006914B8">
            <w:pPr>
              <w:pStyle w:val="SGACP-enumerationniveau1"/>
              <w:numPr>
                <w:ilvl w:val="0"/>
                <w:numId w:val="0"/>
              </w:numPr>
              <w:spacing w:before="0"/>
            </w:pPr>
          </w:p>
        </w:tc>
        <w:tc>
          <w:tcPr>
            <w:tcW w:w="1292" w:type="dxa"/>
          </w:tcPr>
          <w:p w14:paraId="701270FE" w14:textId="77777777" w:rsidR="003333DA" w:rsidRDefault="003333DA" w:rsidP="006914B8">
            <w:pPr>
              <w:pStyle w:val="SGACP-enumerationniveau1"/>
              <w:numPr>
                <w:ilvl w:val="0"/>
                <w:numId w:val="0"/>
              </w:numPr>
              <w:spacing w:before="0"/>
            </w:pPr>
          </w:p>
        </w:tc>
        <w:tc>
          <w:tcPr>
            <w:tcW w:w="1292" w:type="dxa"/>
          </w:tcPr>
          <w:p w14:paraId="0E85AF3F" w14:textId="77777777" w:rsidR="003333DA" w:rsidRDefault="003333DA" w:rsidP="006914B8">
            <w:pPr>
              <w:pStyle w:val="SGACP-enumerationniveau1"/>
              <w:numPr>
                <w:ilvl w:val="0"/>
                <w:numId w:val="0"/>
              </w:numPr>
              <w:spacing w:before="0"/>
            </w:pPr>
          </w:p>
        </w:tc>
        <w:tc>
          <w:tcPr>
            <w:tcW w:w="1292" w:type="dxa"/>
          </w:tcPr>
          <w:p w14:paraId="39A0B7D0" w14:textId="77777777" w:rsidR="003333DA" w:rsidRDefault="003333DA" w:rsidP="006914B8">
            <w:pPr>
              <w:pStyle w:val="SGACP-enumerationniveau1"/>
              <w:numPr>
                <w:ilvl w:val="0"/>
                <w:numId w:val="0"/>
              </w:numPr>
              <w:spacing w:before="0"/>
            </w:pPr>
          </w:p>
        </w:tc>
        <w:tc>
          <w:tcPr>
            <w:tcW w:w="1292" w:type="dxa"/>
          </w:tcPr>
          <w:p w14:paraId="65B87BAE" w14:textId="77777777" w:rsidR="003333DA" w:rsidRDefault="003333DA" w:rsidP="006914B8">
            <w:pPr>
              <w:pStyle w:val="SGACP-enumerationniveau1"/>
              <w:numPr>
                <w:ilvl w:val="0"/>
                <w:numId w:val="0"/>
              </w:numPr>
              <w:spacing w:before="0"/>
            </w:pPr>
          </w:p>
        </w:tc>
      </w:tr>
      <w:tr w:rsidR="00246EC8" w14:paraId="08BCE2F9" w14:textId="77777777" w:rsidTr="006914B8">
        <w:tc>
          <w:tcPr>
            <w:tcW w:w="2323" w:type="dxa"/>
            <w:vAlign w:val="center"/>
          </w:tcPr>
          <w:p w14:paraId="422965C0" w14:textId="7517BC5E" w:rsidR="003333DA" w:rsidRPr="003333DA" w:rsidRDefault="003333DA" w:rsidP="006914B8">
            <w:pPr>
              <w:pStyle w:val="SGACP-enumerationniveau1"/>
              <w:numPr>
                <w:ilvl w:val="0"/>
                <w:numId w:val="0"/>
              </w:numPr>
              <w:spacing w:before="0"/>
              <w:rPr>
                <w:szCs w:val="22"/>
              </w:rPr>
            </w:pPr>
            <w:r w:rsidRPr="006914B8">
              <w:rPr>
                <w:b/>
                <w:bCs/>
                <w:szCs w:val="22"/>
                <w:u w:val="single"/>
              </w:rPr>
              <w:t>B. Investissements dans des OPC ou de véhicules similaires</w:t>
            </w:r>
          </w:p>
        </w:tc>
        <w:tc>
          <w:tcPr>
            <w:tcW w:w="1292" w:type="dxa"/>
          </w:tcPr>
          <w:p w14:paraId="49315D54" w14:textId="77777777" w:rsidR="003333DA" w:rsidRDefault="003333DA" w:rsidP="006914B8">
            <w:pPr>
              <w:pStyle w:val="SGACP-enumerationniveau1"/>
              <w:numPr>
                <w:ilvl w:val="0"/>
                <w:numId w:val="0"/>
              </w:numPr>
              <w:spacing w:before="0"/>
            </w:pPr>
          </w:p>
        </w:tc>
        <w:tc>
          <w:tcPr>
            <w:tcW w:w="1292" w:type="dxa"/>
          </w:tcPr>
          <w:p w14:paraId="05D62C8C" w14:textId="77777777" w:rsidR="003333DA" w:rsidRDefault="003333DA" w:rsidP="006914B8">
            <w:pPr>
              <w:pStyle w:val="SGACP-enumerationniveau1"/>
              <w:numPr>
                <w:ilvl w:val="0"/>
                <w:numId w:val="0"/>
              </w:numPr>
              <w:spacing w:before="0"/>
            </w:pPr>
          </w:p>
        </w:tc>
        <w:tc>
          <w:tcPr>
            <w:tcW w:w="1292" w:type="dxa"/>
          </w:tcPr>
          <w:p w14:paraId="04779FD9" w14:textId="77777777" w:rsidR="003333DA" w:rsidRDefault="003333DA" w:rsidP="006914B8">
            <w:pPr>
              <w:pStyle w:val="SGACP-enumerationniveau1"/>
              <w:numPr>
                <w:ilvl w:val="0"/>
                <w:numId w:val="0"/>
              </w:numPr>
              <w:spacing w:before="0"/>
            </w:pPr>
          </w:p>
        </w:tc>
        <w:tc>
          <w:tcPr>
            <w:tcW w:w="1292" w:type="dxa"/>
          </w:tcPr>
          <w:p w14:paraId="7C3C0904" w14:textId="77777777" w:rsidR="003333DA" w:rsidRDefault="003333DA" w:rsidP="006914B8">
            <w:pPr>
              <w:pStyle w:val="SGACP-enumerationniveau1"/>
              <w:numPr>
                <w:ilvl w:val="0"/>
                <w:numId w:val="0"/>
              </w:numPr>
              <w:spacing w:before="0"/>
            </w:pPr>
          </w:p>
        </w:tc>
        <w:tc>
          <w:tcPr>
            <w:tcW w:w="1292" w:type="dxa"/>
          </w:tcPr>
          <w:p w14:paraId="2632DFB5" w14:textId="77777777" w:rsidR="003333DA" w:rsidRDefault="003333DA" w:rsidP="006914B8">
            <w:pPr>
              <w:pStyle w:val="SGACP-enumerationniveau1"/>
              <w:numPr>
                <w:ilvl w:val="0"/>
                <w:numId w:val="0"/>
              </w:numPr>
              <w:spacing w:before="0"/>
            </w:pPr>
          </w:p>
        </w:tc>
      </w:tr>
      <w:tr w:rsidR="00246EC8" w14:paraId="73FE0518" w14:textId="77777777" w:rsidTr="006914B8">
        <w:tc>
          <w:tcPr>
            <w:tcW w:w="2323" w:type="dxa"/>
            <w:vAlign w:val="center"/>
          </w:tcPr>
          <w:p w14:paraId="0776D889" w14:textId="2AA2456E" w:rsidR="003333DA" w:rsidRPr="003333DA" w:rsidRDefault="003333DA" w:rsidP="006914B8">
            <w:pPr>
              <w:pStyle w:val="SGACP-enumerationniveau1"/>
              <w:numPr>
                <w:ilvl w:val="0"/>
                <w:numId w:val="0"/>
              </w:numPr>
              <w:spacing w:before="0"/>
              <w:rPr>
                <w:szCs w:val="22"/>
              </w:rPr>
            </w:pPr>
            <w:r w:rsidRPr="006914B8">
              <w:rPr>
                <w:b/>
                <w:bCs/>
                <w:color w:val="000000"/>
                <w:szCs w:val="22"/>
              </w:rPr>
              <w:t>B.1. Détention de parts d'OPC ou de véhicules similaires</w:t>
            </w:r>
          </w:p>
        </w:tc>
        <w:tc>
          <w:tcPr>
            <w:tcW w:w="1292" w:type="dxa"/>
          </w:tcPr>
          <w:p w14:paraId="755DAE26"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25EED25B"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5608ABEC" w14:textId="77777777" w:rsidR="003333DA" w:rsidRDefault="003333DA" w:rsidP="006914B8">
            <w:pPr>
              <w:pStyle w:val="SGACP-enumerationniveau1"/>
              <w:numPr>
                <w:ilvl w:val="0"/>
                <w:numId w:val="0"/>
              </w:numPr>
              <w:spacing w:before="0"/>
            </w:pPr>
          </w:p>
        </w:tc>
        <w:tc>
          <w:tcPr>
            <w:tcW w:w="1292" w:type="dxa"/>
          </w:tcPr>
          <w:p w14:paraId="25B865C9" w14:textId="77777777" w:rsidR="003333DA" w:rsidRDefault="003333DA" w:rsidP="006914B8">
            <w:pPr>
              <w:pStyle w:val="SGACP-enumerationniveau1"/>
              <w:numPr>
                <w:ilvl w:val="0"/>
                <w:numId w:val="0"/>
              </w:numPr>
              <w:spacing w:before="0"/>
            </w:pPr>
          </w:p>
        </w:tc>
        <w:tc>
          <w:tcPr>
            <w:tcW w:w="1292" w:type="dxa"/>
          </w:tcPr>
          <w:p w14:paraId="2E259CD3" w14:textId="77777777" w:rsidR="003333DA" w:rsidRDefault="003333DA" w:rsidP="006914B8">
            <w:pPr>
              <w:pStyle w:val="SGACP-enumerationniveau1"/>
              <w:numPr>
                <w:ilvl w:val="0"/>
                <w:numId w:val="0"/>
              </w:numPr>
              <w:spacing w:before="0"/>
            </w:pPr>
          </w:p>
        </w:tc>
      </w:tr>
      <w:tr w:rsidR="00246EC8" w14:paraId="2C6B213D" w14:textId="77777777" w:rsidTr="006914B8">
        <w:tc>
          <w:tcPr>
            <w:tcW w:w="2323" w:type="dxa"/>
            <w:vAlign w:val="center"/>
          </w:tcPr>
          <w:p w14:paraId="73165DA1" w14:textId="2E4E5A5D" w:rsidR="003333DA" w:rsidRPr="003333DA" w:rsidRDefault="003333DA" w:rsidP="006914B8">
            <w:pPr>
              <w:pStyle w:val="SGACP-enumerationniveau1"/>
              <w:numPr>
                <w:ilvl w:val="0"/>
                <w:numId w:val="0"/>
              </w:numPr>
              <w:spacing w:before="0"/>
              <w:rPr>
                <w:szCs w:val="22"/>
              </w:rPr>
            </w:pPr>
            <w:r w:rsidRPr="006914B8">
              <w:rPr>
                <w:b/>
                <w:bCs/>
                <w:szCs w:val="22"/>
              </w:rPr>
              <w:t>B.2. Autres</w:t>
            </w:r>
          </w:p>
        </w:tc>
        <w:tc>
          <w:tcPr>
            <w:tcW w:w="1292" w:type="dxa"/>
          </w:tcPr>
          <w:p w14:paraId="3C12E9B1" w14:textId="77777777" w:rsidR="003333DA" w:rsidRDefault="003333DA" w:rsidP="006914B8">
            <w:pPr>
              <w:pStyle w:val="SGACP-enumerationniveau1"/>
              <w:numPr>
                <w:ilvl w:val="0"/>
                <w:numId w:val="0"/>
              </w:numPr>
              <w:spacing w:before="0"/>
            </w:pPr>
          </w:p>
        </w:tc>
        <w:tc>
          <w:tcPr>
            <w:tcW w:w="1292" w:type="dxa"/>
          </w:tcPr>
          <w:p w14:paraId="3C9BFD0C" w14:textId="77777777" w:rsidR="003333DA" w:rsidRDefault="003333DA" w:rsidP="006914B8">
            <w:pPr>
              <w:pStyle w:val="SGACP-enumerationniveau1"/>
              <w:numPr>
                <w:ilvl w:val="0"/>
                <w:numId w:val="0"/>
              </w:numPr>
              <w:spacing w:before="0"/>
            </w:pPr>
          </w:p>
        </w:tc>
        <w:tc>
          <w:tcPr>
            <w:tcW w:w="1292" w:type="dxa"/>
          </w:tcPr>
          <w:p w14:paraId="474795B8" w14:textId="77777777" w:rsidR="003333DA" w:rsidRDefault="003333DA" w:rsidP="006914B8">
            <w:pPr>
              <w:pStyle w:val="SGACP-enumerationniveau1"/>
              <w:numPr>
                <w:ilvl w:val="0"/>
                <w:numId w:val="0"/>
              </w:numPr>
              <w:spacing w:before="0"/>
            </w:pPr>
          </w:p>
        </w:tc>
        <w:tc>
          <w:tcPr>
            <w:tcW w:w="1292" w:type="dxa"/>
          </w:tcPr>
          <w:p w14:paraId="20477DF3" w14:textId="77777777" w:rsidR="003333DA" w:rsidRDefault="003333DA" w:rsidP="006914B8">
            <w:pPr>
              <w:pStyle w:val="SGACP-enumerationniveau1"/>
              <w:numPr>
                <w:ilvl w:val="0"/>
                <w:numId w:val="0"/>
              </w:numPr>
              <w:spacing w:before="0"/>
            </w:pPr>
          </w:p>
        </w:tc>
        <w:tc>
          <w:tcPr>
            <w:tcW w:w="1292" w:type="dxa"/>
          </w:tcPr>
          <w:p w14:paraId="71B79F67" w14:textId="77777777" w:rsidR="003333DA" w:rsidRDefault="003333DA" w:rsidP="006914B8">
            <w:pPr>
              <w:pStyle w:val="SGACP-enumerationniveau1"/>
              <w:numPr>
                <w:ilvl w:val="0"/>
                <w:numId w:val="0"/>
              </w:numPr>
              <w:spacing w:before="0"/>
            </w:pPr>
          </w:p>
        </w:tc>
      </w:tr>
      <w:tr w:rsidR="00246EC8" w14:paraId="4EBA6F71" w14:textId="77777777" w:rsidTr="006914B8">
        <w:tc>
          <w:tcPr>
            <w:tcW w:w="2323" w:type="dxa"/>
            <w:vAlign w:val="center"/>
          </w:tcPr>
          <w:p w14:paraId="24E6ED84" w14:textId="0EED6D9E" w:rsidR="003333DA" w:rsidRPr="003333DA" w:rsidRDefault="003333DA" w:rsidP="006914B8">
            <w:pPr>
              <w:pStyle w:val="SGACP-enumerationniveau1"/>
              <w:numPr>
                <w:ilvl w:val="0"/>
                <w:numId w:val="0"/>
              </w:numPr>
              <w:spacing w:before="0"/>
              <w:rPr>
                <w:szCs w:val="22"/>
              </w:rPr>
            </w:pPr>
            <w:r w:rsidRPr="006914B8">
              <w:rPr>
                <w:b/>
                <w:bCs/>
                <w:szCs w:val="22"/>
                <w:u w:val="single"/>
              </w:rPr>
              <w:t>Total (A+B)</w:t>
            </w:r>
          </w:p>
        </w:tc>
        <w:tc>
          <w:tcPr>
            <w:tcW w:w="1292" w:type="dxa"/>
          </w:tcPr>
          <w:p w14:paraId="4A3297F3" w14:textId="77777777" w:rsidR="003333DA" w:rsidRDefault="003333DA" w:rsidP="006914B8">
            <w:pPr>
              <w:pStyle w:val="SGACP-enumerationniveau1"/>
              <w:numPr>
                <w:ilvl w:val="0"/>
                <w:numId w:val="0"/>
              </w:numPr>
              <w:spacing w:before="0"/>
            </w:pPr>
          </w:p>
        </w:tc>
        <w:tc>
          <w:tcPr>
            <w:tcW w:w="1292" w:type="dxa"/>
          </w:tcPr>
          <w:p w14:paraId="11FC2B8F" w14:textId="77777777" w:rsidR="003333DA" w:rsidRDefault="003333DA" w:rsidP="006914B8">
            <w:pPr>
              <w:pStyle w:val="SGACP-enumerationniveau1"/>
              <w:numPr>
                <w:ilvl w:val="0"/>
                <w:numId w:val="0"/>
              </w:numPr>
              <w:spacing w:before="0"/>
            </w:pPr>
          </w:p>
        </w:tc>
        <w:tc>
          <w:tcPr>
            <w:tcW w:w="1292" w:type="dxa"/>
          </w:tcPr>
          <w:p w14:paraId="121FBE1B" w14:textId="77777777" w:rsidR="003333DA" w:rsidRDefault="003333DA" w:rsidP="006914B8">
            <w:pPr>
              <w:pStyle w:val="SGACP-enumerationniveau1"/>
              <w:numPr>
                <w:ilvl w:val="0"/>
                <w:numId w:val="0"/>
              </w:numPr>
              <w:spacing w:before="0"/>
            </w:pPr>
          </w:p>
        </w:tc>
        <w:tc>
          <w:tcPr>
            <w:tcW w:w="1292" w:type="dxa"/>
          </w:tcPr>
          <w:p w14:paraId="66CCCB47" w14:textId="77777777" w:rsidR="003333DA" w:rsidRDefault="003333DA" w:rsidP="006914B8">
            <w:pPr>
              <w:pStyle w:val="SGACP-enumerationniveau1"/>
              <w:numPr>
                <w:ilvl w:val="0"/>
                <w:numId w:val="0"/>
              </w:numPr>
              <w:spacing w:before="0"/>
            </w:pPr>
          </w:p>
        </w:tc>
        <w:tc>
          <w:tcPr>
            <w:tcW w:w="1292" w:type="dxa"/>
          </w:tcPr>
          <w:p w14:paraId="599F48D8" w14:textId="77777777" w:rsidR="003333DA" w:rsidRDefault="003333DA" w:rsidP="006914B8">
            <w:pPr>
              <w:pStyle w:val="SGACP-enumerationniveau1"/>
              <w:numPr>
                <w:ilvl w:val="0"/>
                <w:numId w:val="0"/>
              </w:numPr>
              <w:spacing w:before="0"/>
            </w:pPr>
          </w:p>
        </w:tc>
      </w:tr>
    </w:tbl>
    <w:p w14:paraId="5CD1E481" w14:textId="3C58CEE1" w:rsidR="003333DA" w:rsidRDefault="003333DA" w:rsidP="006914B8">
      <w:pPr>
        <w:pStyle w:val="SGACP-enumerationniveau1"/>
        <w:numPr>
          <w:ilvl w:val="0"/>
          <w:numId w:val="0"/>
        </w:numPr>
        <w:ind w:left="284"/>
      </w:pPr>
    </w:p>
    <w:p w14:paraId="3605597E" w14:textId="594B0E82" w:rsidR="00246EC8" w:rsidRPr="00E15624" w:rsidRDefault="00A42E8A" w:rsidP="006914B8">
      <w:pPr>
        <w:pStyle w:val="SGACP-enumerationniveau1"/>
        <w:numPr>
          <w:ilvl w:val="1"/>
          <w:numId w:val="39"/>
        </w:numPr>
        <w:ind w:left="284" w:hanging="284"/>
      </w:pPr>
      <w:r w:rsidRPr="00E15624">
        <w:t xml:space="preserve"> p</w:t>
      </w:r>
      <w:r w:rsidR="00CE54CC" w:rsidRPr="00E15624">
        <w:t xml:space="preserve">our les </w:t>
      </w:r>
      <w:r w:rsidR="00246EC8" w:rsidRPr="00E15624">
        <w:t>établissement</w:t>
      </w:r>
      <w:r w:rsidR="00CE54CC" w:rsidRPr="00E15624">
        <w:t xml:space="preserve">s respectant </w:t>
      </w:r>
      <w:r w:rsidR="00301F2E" w:rsidRPr="00E15624">
        <w:t xml:space="preserve">l'une des conditions suivantes à la date d'arrêté </w:t>
      </w:r>
      <w:r w:rsidR="00246EC8" w:rsidRPr="00E15624">
        <w:t>:</w:t>
      </w:r>
    </w:p>
    <w:p w14:paraId="30258DB9" w14:textId="508C392E" w:rsidR="00246EC8" w:rsidRDefault="00246EC8" w:rsidP="006914B8">
      <w:pPr>
        <w:pStyle w:val="Paragraphedeliste"/>
        <w:ind w:left="851"/>
        <w:contextualSpacing w:val="0"/>
        <w:rPr>
          <w:iCs/>
        </w:rPr>
      </w:pPr>
      <w:r w:rsidRPr="00246EC8">
        <w:rPr>
          <w:iCs/>
        </w:rPr>
        <w:t xml:space="preserve">- </w:t>
      </w:r>
      <w:r w:rsidR="003F396B">
        <w:rPr>
          <w:iCs/>
        </w:rPr>
        <w:t>la valeur</w:t>
      </w:r>
      <w:r w:rsidRPr="00246EC8">
        <w:rPr>
          <w:iCs/>
        </w:rPr>
        <w:t xml:space="preserve"> comptable brut</w:t>
      </w:r>
      <w:r w:rsidR="003F396B">
        <w:rPr>
          <w:iCs/>
        </w:rPr>
        <w:t>e</w:t>
      </w:r>
      <w:r w:rsidRPr="00246EC8">
        <w:rPr>
          <w:iCs/>
        </w:rPr>
        <w:t xml:space="preserve"> IFRS </w:t>
      </w:r>
      <w:r w:rsidR="003F396B">
        <w:rPr>
          <w:iCs/>
        </w:rPr>
        <w:t>de la ligne « T</w:t>
      </w:r>
      <w:r w:rsidRPr="00246EC8">
        <w:rPr>
          <w:iCs/>
        </w:rPr>
        <w:t>otal</w:t>
      </w:r>
      <w:r w:rsidR="003F396B">
        <w:rPr>
          <w:iCs/>
        </w:rPr>
        <w:t xml:space="preserve"> (A+B) »</w:t>
      </w:r>
      <w:r w:rsidRPr="00246EC8">
        <w:rPr>
          <w:iCs/>
        </w:rPr>
        <w:t xml:space="preserve"> est supérieur à 300 MEUR </w:t>
      </w:r>
    </w:p>
    <w:p w14:paraId="63ADF43C" w14:textId="78C3499D" w:rsidR="00246EC8" w:rsidRDefault="00246EC8" w:rsidP="006914B8">
      <w:pPr>
        <w:pStyle w:val="Paragraphedeliste"/>
        <w:ind w:left="851"/>
        <w:contextualSpacing w:val="0"/>
        <w:rPr>
          <w:iCs/>
        </w:rPr>
      </w:pPr>
      <w:r w:rsidRPr="00246EC8">
        <w:rPr>
          <w:iCs/>
        </w:rPr>
        <w:t xml:space="preserve">- la valeur exposée au risque avant prise en compte des sûretés </w:t>
      </w:r>
      <w:r w:rsidR="003F396B">
        <w:rPr>
          <w:iCs/>
        </w:rPr>
        <w:t xml:space="preserve">de la ligne « Total (A+B) » </w:t>
      </w:r>
      <w:r w:rsidRPr="00246EC8">
        <w:rPr>
          <w:iCs/>
        </w:rPr>
        <w:t xml:space="preserve">est supérieure à 300 MEUR </w:t>
      </w:r>
    </w:p>
    <w:p w14:paraId="53A237FC" w14:textId="6E7CE23B" w:rsidR="00246EC8" w:rsidRDefault="00246EC8" w:rsidP="006914B8">
      <w:pPr>
        <w:pStyle w:val="Paragraphedeliste"/>
        <w:ind w:left="851"/>
        <w:contextualSpacing w:val="0"/>
        <w:rPr>
          <w:iCs/>
        </w:rPr>
      </w:pPr>
      <w:r w:rsidRPr="00246EC8">
        <w:rPr>
          <w:iCs/>
        </w:rPr>
        <w:t>- la valeur exposée au risque avant prise en compte des sûretés</w:t>
      </w:r>
      <w:r w:rsidR="003F396B">
        <w:rPr>
          <w:iCs/>
        </w:rPr>
        <w:t xml:space="preserve"> de la ligne « Total (A+B) » </w:t>
      </w:r>
      <w:r w:rsidRPr="00246EC8">
        <w:rPr>
          <w:iCs/>
        </w:rPr>
        <w:t>est supérieure à 5% des fonds propres prudentiels</w:t>
      </w:r>
      <w:r w:rsidR="00E15624">
        <w:rPr>
          <w:iCs/>
        </w:rPr>
        <w:t> :</w:t>
      </w:r>
    </w:p>
    <w:p w14:paraId="5C2EC63B" w14:textId="42D8A42D" w:rsidR="003F396B" w:rsidRPr="003F396B" w:rsidRDefault="00E15624" w:rsidP="00E15624">
      <w:pPr>
        <w:keepNext/>
        <w:numPr>
          <w:ilvl w:val="1"/>
          <w:numId w:val="40"/>
        </w:numPr>
        <w:spacing w:before="120"/>
      </w:pPr>
      <w:r>
        <w:rPr>
          <w:sz w:val="22"/>
        </w:rPr>
        <w:t>compléter le tableau ci-dessous :</w:t>
      </w:r>
    </w:p>
    <w:p w14:paraId="5F77FB60" w14:textId="77777777" w:rsidR="00246EC8" w:rsidRDefault="00246EC8" w:rsidP="00E15624">
      <w:pPr>
        <w:pStyle w:val="Paragraphedeliste"/>
        <w:ind w:left="1440"/>
        <w:contextualSpacing w:val="0"/>
        <w:rPr>
          <w:iCs/>
        </w:rPr>
      </w:pPr>
    </w:p>
    <w:tbl>
      <w:tblPr>
        <w:tblStyle w:val="Grilledutableau"/>
        <w:tblW w:w="9351" w:type="dxa"/>
        <w:tblLook w:val="04A0" w:firstRow="1" w:lastRow="0" w:firstColumn="1" w:lastColumn="0" w:noHBand="0" w:noVBand="1"/>
      </w:tblPr>
      <w:tblGrid>
        <w:gridCol w:w="6658"/>
        <w:gridCol w:w="2693"/>
      </w:tblGrid>
      <w:tr w:rsidR="00246EC8" w:rsidRPr="00E269BB" w14:paraId="366B0829" w14:textId="77777777" w:rsidTr="002F6550">
        <w:tc>
          <w:tcPr>
            <w:tcW w:w="6658" w:type="dxa"/>
            <w:vAlign w:val="center"/>
          </w:tcPr>
          <w:p w14:paraId="066A91F5" w14:textId="584546B2" w:rsidR="00246EC8" w:rsidRPr="003333DA" w:rsidRDefault="001A5F8B" w:rsidP="002F6550">
            <w:pPr>
              <w:pStyle w:val="SGACP-enumerationniveau1"/>
              <w:numPr>
                <w:ilvl w:val="0"/>
                <w:numId w:val="0"/>
              </w:numPr>
              <w:spacing w:before="0"/>
              <w:jc w:val="center"/>
              <w:rPr>
                <w:szCs w:val="22"/>
              </w:rPr>
            </w:pPr>
            <w:r>
              <w:rPr>
                <w:i/>
              </w:rPr>
              <w:t xml:space="preserve"> KEUR</w:t>
            </w:r>
          </w:p>
        </w:tc>
        <w:tc>
          <w:tcPr>
            <w:tcW w:w="2693" w:type="dxa"/>
            <w:vAlign w:val="center"/>
          </w:tcPr>
          <w:p w14:paraId="416E1010" w14:textId="19CE8E64" w:rsidR="00246EC8" w:rsidRPr="00E15624" w:rsidRDefault="00246EC8" w:rsidP="003E722C">
            <w:pPr>
              <w:pStyle w:val="SGACP-enumerationniveau1"/>
              <w:numPr>
                <w:ilvl w:val="0"/>
                <w:numId w:val="0"/>
              </w:numPr>
              <w:spacing w:before="0"/>
              <w:jc w:val="center"/>
              <w:rPr>
                <w:szCs w:val="22"/>
              </w:rPr>
            </w:pPr>
            <w:r w:rsidRPr="00E15624">
              <w:rPr>
                <w:szCs w:val="22"/>
              </w:rPr>
              <w:t>Produit net bancaire</w:t>
            </w:r>
          </w:p>
        </w:tc>
      </w:tr>
      <w:tr w:rsidR="00246EC8" w:rsidRPr="00E269BB" w14:paraId="7B54AD95" w14:textId="77777777" w:rsidTr="003E722C">
        <w:tc>
          <w:tcPr>
            <w:tcW w:w="6658" w:type="dxa"/>
            <w:vAlign w:val="center"/>
          </w:tcPr>
          <w:p w14:paraId="4324D846" w14:textId="0C879BE3" w:rsidR="00246EC8" w:rsidRPr="00435247" w:rsidRDefault="00246EC8" w:rsidP="00246EC8">
            <w:pPr>
              <w:pStyle w:val="SGACP-enumerationniveau1"/>
              <w:numPr>
                <w:ilvl w:val="0"/>
                <w:numId w:val="0"/>
              </w:numPr>
              <w:spacing w:before="0"/>
              <w:jc w:val="left"/>
              <w:rPr>
                <w:szCs w:val="22"/>
              </w:rPr>
            </w:pPr>
            <w:r w:rsidRPr="00E15624">
              <w:rPr>
                <w:b/>
                <w:bCs/>
                <w:szCs w:val="22"/>
                <w:u w:val="single"/>
              </w:rPr>
              <w:t>A. Opérations ayant pour contrepartie des OPC ou des véhicules similaires</w:t>
            </w:r>
          </w:p>
        </w:tc>
        <w:tc>
          <w:tcPr>
            <w:tcW w:w="2693" w:type="dxa"/>
          </w:tcPr>
          <w:p w14:paraId="7789C4ED" w14:textId="77777777" w:rsidR="00246EC8" w:rsidRPr="003333DA" w:rsidRDefault="00246EC8" w:rsidP="00246EC8">
            <w:pPr>
              <w:pStyle w:val="SGACP-enumerationniveau1"/>
              <w:numPr>
                <w:ilvl w:val="0"/>
                <w:numId w:val="0"/>
              </w:numPr>
              <w:rPr>
                <w:szCs w:val="22"/>
              </w:rPr>
            </w:pPr>
          </w:p>
        </w:tc>
      </w:tr>
      <w:tr w:rsidR="00246EC8" w:rsidRPr="00E269BB" w14:paraId="1AAA100F" w14:textId="77777777" w:rsidTr="003E722C">
        <w:tc>
          <w:tcPr>
            <w:tcW w:w="6658" w:type="dxa"/>
            <w:vAlign w:val="center"/>
          </w:tcPr>
          <w:p w14:paraId="7A942623" w14:textId="030FFF2B" w:rsidR="00246EC8" w:rsidRPr="00435247" w:rsidRDefault="00246EC8" w:rsidP="00246EC8">
            <w:pPr>
              <w:pStyle w:val="SGACP-enumerationniveau1"/>
              <w:numPr>
                <w:ilvl w:val="0"/>
                <w:numId w:val="0"/>
              </w:numPr>
              <w:spacing w:before="0"/>
              <w:jc w:val="left"/>
              <w:rPr>
                <w:szCs w:val="22"/>
              </w:rPr>
            </w:pPr>
            <w:r w:rsidRPr="00E15624">
              <w:rPr>
                <w:b/>
                <w:bCs/>
                <w:szCs w:val="22"/>
              </w:rPr>
              <w:t>A.1. Activités de financement hors opérations de marché</w:t>
            </w:r>
          </w:p>
        </w:tc>
        <w:tc>
          <w:tcPr>
            <w:tcW w:w="2693" w:type="dxa"/>
          </w:tcPr>
          <w:p w14:paraId="2087F40B" w14:textId="77777777" w:rsidR="00246EC8" w:rsidRPr="003333DA" w:rsidRDefault="00246EC8" w:rsidP="00246EC8">
            <w:pPr>
              <w:pStyle w:val="SGACP-enumerationniveau1"/>
              <w:numPr>
                <w:ilvl w:val="0"/>
                <w:numId w:val="0"/>
              </w:numPr>
              <w:rPr>
                <w:szCs w:val="22"/>
              </w:rPr>
            </w:pPr>
          </w:p>
        </w:tc>
      </w:tr>
      <w:tr w:rsidR="00246EC8" w:rsidRPr="00E269BB" w14:paraId="722E693F" w14:textId="77777777" w:rsidTr="003E722C">
        <w:tc>
          <w:tcPr>
            <w:tcW w:w="6658" w:type="dxa"/>
            <w:vAlign w:val="center"/>
          </w:tcPr>
          <w:p w14:paraId="0936BC8F" w14:textId="3E07F345" w:rsidR="00246EC8" w:rsidRPr="00435247" w:rsidRDefault="00246EC8" w:rsidP="00246EC8">
            <w:pPr>
              <w:pStyle w:val="SGACP-enumerationniveau1"/>
              <w:numPr>
                <w:ilvl w:val="0"/>
                <w:numId w:val="0"/>
              </w:numPr>
              <w:spacing w:before="0"/>
              <w:jc w:val="left"/>
              <w:rPr>
                <w:szCs w:val="22"/>
              </w:rPr>
            </w:pPr>
            <w:r w:rsidRPr="00E15624">
              <w:rPr>
                <w:b/>
                <w:bCs/>
                <w:szCs w:val="22"/>
              </w:rPr>
              <w:t>A.2. Opérations de marché</w:t>
            </w:r>
          </w:p>
        </w:tc>
        <w:tc>
          <w:tcPr>
            <w:tcW w:w="2693" w:type="dxa"/>
          </w:tcPr>
          <w:p w14:paraId="13EC7AC4" w14:textId="77777777" w:rsidR="00246EC8" w:rsidRPr="003333DA" w:rsidRDefault="00246EC8" w:rsidP="00246EC8">
            <w:pPr>
              <w:pStyle w:val="SGACP-enumerationniveau1"/>
              <w:numPr>
                <w:ilvl w:val="0"/>
                <w:numId w:val="0"/>
              </w:numPr>
              <w:rPr>
                <w:szCs w:val="22"/>
              </w:rPr>
            </w:pPr>
          </w:p>
        </w:tc>
      </w:tr>
      <w:tr w:rsidR="00246EC8" w:rsidRPr="00E269BB" w14:paraId="3C591F50" w14:textId="77777777" w:rsidTr="003E722C">
        <w:tc>
          <w:tcPr>
            <w:tcW w:w="6658" w:type="dxa"/>
            <w:vAlign w:val="center"/>
          </w:tcPr>
          <w:p w14:paraId="798890FE" w14:textId="4121EAD2" w:rsidR="00246EC8" w:rsidRPr="00435247" w:rsidRDefault="00246EC8" w:rsidP="00246EC8">
            <w:pPr>
              <w:pStyle w:val="SGACP-enumerationniveau1"/>
              <w:numPr>
                <w:ilvl w:val="0"/>
                <w:numId w:val="0"/>
              </w:numPr>
              <w:spacing w:before="0"/>
              <w:jc w:val="left"/>
              <w:rPr>
                <w:szCs w:val="22"/>
              </w:rPr>
            </w:pPr>
            <w:r w:rsidRPr="00E15624">
              <w:rPr>
                <w:b/>
                <w:bCs/>
                <w:szCs w:val="22"/>
              </w:rPr>
              <w:t>A.3. Autres</w:t>
            </w:r>
          </w:p>
        </w:tc>
        <w:tc>
          <w:tcPr>
            <w:tcW w:w="2693" w:type="dxa"/>
          </w:tcPr>
          <w:p w14:paraId="072F4AE6" w14:textId="77777777" w:rsidR="00246EC8" w:rsidRPr="003333DA" w:rsidRDefault="00246EC8" w:rsidP="00246EC8">
            <w:pPr>
              <w:pStyle w:val="SGACP-enumerationniveau1"/>
              <w:numPr>
                <w:ilvl w:val="0"/>
                <w:numId w:val="0"/>
              </w:numPr>
              <w:rPr>
                <w:szCs w:val="22"/>
              </w:rPr>
            </w:pPr>
          </w:p>
        </w:tc>
      </w:tr>
      <w:tr w:rsidR="00246EC8" w:rsidRPr="00E269BB" w14:paraId="586D2E3B" w14:textId="77777777" w:rsidTr="003E722C">
        <w:tc>
          <w:tcPr>
            <w:tcW w:w="6658" w:type="dxa"/>
            <w:vAlign w:val="center"/>
          </w:tcPr>
          <w:p w14:paraId="42131E06" w14:textId="4EB22A94" w:rsidR="00246EC8" w:rsidRPr="00435247" w:rsidRDefault="00246EC8" w:rsidP="00246EC8">
            <w:pPr>
              <w:pStyle w:val="SGACP-enumerationniveau1"/>
              <w:numPr>
                <w:ilvl w:val="0"/>
                <w:numId w:val="0"/>
              </w:numPr>
              <w:spacing w:before="0"/>
              <w:jc w:val="left"/>
              <w:rPr>
                <w:szCs w:val="22"/>
              </w:rPr>
            </w:pPr>
            <w:r w:rsidRPr="00E15624">
              <w:rPr>
                <w:b/>
                <w:bCs/>
                <w:szCs w:val="22"/>
                <w:u w:val="single"/>
              </w:rPr>
              <w:t>B. Investissements dans des OPC ou de véhicules similaires</w:t>
            </w:r>
          </w:p>
        </w:tc>
        <w:tc>
          <w:tcPr>
            <w:tcW w:w="2693" w:type="dxa"/>
          </w:tcPr>
          <w:p w14:paraId="72739D79" w14:textId="77777777" w:rsidR="00246EC8" w:rsidRPr="003333DA" w:rsidRDefault="00246EC8" w:rsidP="00246EC8">
            <w:pPr>
              <w:pStyle w:val="SGACP-enumerationniveau1"/>
              <w:numPr>
                <w:ilvl w:val="0"/>
                <w:numId w:val="0"/>
              </w:numPr>
              <w:rPr>
                <w:szCs w:val="22"/>
              </w:rPr>
            </w:pPr>
          </w:p>
        </w:tc>
      </w:tr>
      <w:tr w:rsidR="00246EC8" w:rsidRPr="00E269BB" w14:paraId="600AF3DD" w14:textId="77777777" w:rsidTr="003E722C">
        <w:tc>
          <w:tcPr>
            <w:tcW w:w="6658" w:type="dxa"/>
            <w:vAlign w:val="center"/>
          </w:tcPr>
          <w:p w14:paraId="6F937043" w14:textId="52C1117F" w:rsidR="00246EC8" w:rsidRPr="00435247" w:rsidRDefault="00246EC8" w:rsidP="00246EC8">
            <w:pPr>
              <w:pStyle w:val="SGACP-enumerationniveau1"/>
              <w:numPr>
                <w:ilvl w:val="0"/>
                <w:numId w:val="0"/>
              </w:numPr>
              <w:spacing w:before="0"/>
              <w:jc w:val="left"/>
              <w:rPr>
                <w:szCs w:val="22"/>
              </w:rPr>
            </w:pPr>
            <w:r w:rsidRPr="00E15624">
              <w:rPr>
                <w:b/>
                <w:bCs/>
                <w:color w:val="000000"/>
                <w:szCs w:val="22"/>
              </w:rPr>
              <w:t>B.1. Détention de parts d'OPC ou de véhicules similaires</w:t>
            </w:r>
          </w:p>
        </w:tc>
        <w:tc>
          <w:tcPr>
            <w:tcW w:w="2693" w:type="dxa"/>
          </w:tcPr>
          <w:p w14:paraId="0646AA96" w14:textId="77777777" w:rsidR="00246EC8" w:rsidRPr="003333DA" w:rsidRDefault="00246EC8" w:rsidP="00246EC8">
            <w:pPr>
              <w:pStyle w:val="SGACP-enumerationniveau1"/>
              <w:numPr>
                <w:ilvl w:val="0"/>
                <w:numId w:val="0"/>
              </w:numPr>
              <w:rPr>
                <w:szCs w:val="22"/>
              </w:rPr>
            </w:pPr>
          </w:p>
        </w:tc>
      </w:tr>
      <w:tr w:rsidR="00246EC8" w:rsidRPr="00E269BB" w14:paraId="64D54138" w14:textId="77777777" w:rsidTr="003E722C">
        <w:tc>
          <w:tcPr>
            <w:tcW w:w="6658" w:type="dxa"/>
            <w:vAlign w:val="center"/>
          </w:tcPr>
          <w:p w14:paraId="00134AF8" w14:textId="65B782D0" w:rsidR="00246EC8" w:rsidRPr="00435247" w:rsidRDefault="00246EC8" w:rsidP="00246EC8">
            <w:pPr>
              <w:pStyle w:val="SGACP-enumerationniveau1"/>
              <w:numPr>
                <w:ilvl w:val="0"/>
                <w:numId w:val="0"/>
              </w:numPr>
              <w:spacing w:before="0"/>
              <w:jc w:val="left"/>
              <w:rPr>
                <w:i/>
                <w:iCs/>
                <w:szCs w:val="22"/>
              </w:rPr>
            </w:pPr>
            <w:r w:rsidRPr="00E15624">
              <w:rPr>
                <w:b/>
                <w:bCs/>
                <w:szCs w:val="22"/>
              </w:rPr>
              <w:t>B.2. Autres</w:t>
            </w:r>
          </w:p>
        </w:tc>
        <w:tc>
          <w:tcPr>
            <w:tcW w:w="2693" w:type="dxa"/>
          </w:tcPr>
          <w:p w14:paraId="7F2FB8E6" w14:textId="77777777" w:rsidR="00246EC8" w:rsidRPr="003333DA" w:rsidRDefault="00246EC8" w:rsidP="00246EC8">
            <w:pPr>
              <w:pStyle w:val="SGACP-enumerationniveau1"/>
              <w:numPr>
                <w:ilvl w:val="0"/>
                <w:numId w:val="0"/>
              </w:numPr>
              <w:rPr>
                <w:szCs w:val="22"/>
              </w:rPr>
            </w:pPr>
          </w:p>
        </w:tc>
      </w:tr>
      <w:tr w:rsidR="00246EC8" w:rsidRPr="00E269BB" w14:paraId="67FB1D45" w14:textId="77777777" w:rsidTr="003E722C">
        <w:tc>
          <w:tcPr>
            <w:tcW w:w="6658" w:type="dxa"/>
            <w:vAlign w:val="center"/>
          </w:tcPr>
          <w:p w14:paraId="2B98C530" w14:textId="433427C4" w:rsidR="00246EC8" w:rsidRPr="00435247" w:rsidRDefault="00246EC8" w:rsidP="00246EC8">
            <w:pPr>
              <w:pStyle w:val="SGACP-enumerationniveau1"/>
              <w:numPr>
                <w:ilvl w:val="0"/>
                <w:numId w:val="0"/>
              </w:numPr>
              <w:spacing w:before="0"/>
              <w:jc w:val="left"/>
              <w:rPr>
                <w:i/>
                <w:iCs/>
                <w:szCs w:val="22"/>
              </w:rPr>
            </w:pPr>
            <w:r w:rsidRPr="00E15624">
              <w:rPr>
                <w:b/>
                <w:bCs/>
                <w:szCs w:val="22"/>
                <w:u w:val="single"/>
              </w:rPr>
              <w:t>C. Autres activités ne générant pas de risque de crédit ou de contrepartie</w:t>
            </w:r>
          </w:p>
        </w:tc>
        <w:tc>
          <w:tcPr>
            <w:tcW w:w="2693" w:type="dxa"/>
          </w:tcPr>
          <w:p w14:paraId="1ED18C2B" w14:textId="77777777" w:rsidR="00246EC8" w:rsidRPr="003333DA" w:rsidRDefault="00246EC8" w:rsidP="00246EC8">
            <w:pPr>
              <w:pStyle w:val="SGACP-enumerationniveau1"/>
              <w:numPr>
                <w:ilvl w:val="0"/>
                <w:numId w:val="0"/>
              </w:numPr>
              <w:rPr>
                <w:szCs w:val="22"/>
              </w:rPr>
            </w:pPr>
          </w:p>
        </w:tc>
      </w:tr>
      <w:tr w:rsidR="00246EC8" w:rsidRPr="00E269BB" w14:paraId="6B2B220B" w14:textId="77777777" w:rsidTr="003E722C">
        <w:tc>
          <w:tcPr>
            <w:tcW w:w="6658" w:type="dxa"/>
            <w:vAlign w:val="center"/>
          </w:tcPr>
          <w:p w14:paraId="01DC0236" w14:textId="42E6586E" w:rsidR="00246EC8" w:rsidRPr="00435247" w:rsidRDefault="00246EC8" w:rsidP="00246EC8">
            <w:pPr>
              <w:pStyle w:val="SGACP-enumerationniveau1"/>
              <w:numPr>
                <w:ilvl w:val="0"/>
                <w:numId w:val="0"/>
              </w:numPr>
              <w:spacing w:before="0"/>
              <w:jc w:val="left"/>
              <w:rPr>
                <w:i/>
                <w:iCs/>
                <w:szCs w:val="22"/>
              </w:rPr>
            </w:pPr>
            <w:r w:rsidRPr="00E15624">
              <w:rPr>
                <w:b/>
                <w:bCs/>
                <w:szCs w:val="22"/>
                <w:u w:val="single"/>
              </w:rPr>
              <w:t>Total (A+B+C)</w:t>
            </w:r>
          </w:p>
        </w:tc>
        <w:tc>
          <w:tcPr>
            <w:tcW w:w="2693" w:type="dxa"/>
          </w:tcPr>
          <w:p w14:paraId="704D93C7" w14:textId="77777777" w:rsidR="00246EC8" w:rsidRPr="003333DA" w:rsidRDefault="00246EC8" w:rsidP="00246EC8">
            <w:pPr>
              <w:pStyle w:val="SGACP-enumerationniveau1"/>
              <w:numPr>
                <w:ilvl w:val="0"/>
                <w:numId w:val="0"/>
              </w:numPr>
              <w:rPr>
                <w:szCs w:val="22"/>
              </w:rPr>
            </w:pPr>
          </w:p>
        </w:tc>
      </w:tr>
    </w:tbl>
    <w:p w14:paraId="12F9F867" w14:textId="497BDA9C" w:rsidR="00246EC8" w:rsidRDefault="00246EC8" w:rsidP="00E15624">
      <w:pPr>
        <w:pStyle w:val="Paragraphedeliste"/>
        <w:ind w:left="1440"/>
        <w:contextualSpacing w:val="0"/>
        <w:rPr>
          <w:iCs/>
        </w:rPr>
      </w:pPr>
    </w:p>
    <w:p w14:paraId="0CD30CEC" w14:textId="3C47E05F" w:rsidR="00301F2E" w:rsidRPr="00301F2E" w:rsidRDefault="00E15624" w:rsidP="00E15624">
      <w:pPr>
        <w:pStyle w:val="Paragraphedeliste"/>
        <w:numPr>
          <w:ilvl w:val="1"/>
          <w:numId w:val="40"/>
        </w:numPr>
        <w:contextualSpacing w:val="0"/>
        <w:rPr>
          <w:iCs/>
        </w:rPr>
      </w:pPr>
      <w:r>
        <w:rPr>
          <w:iCs/>
        </w:rPr>
        <w:t>p</w:t>
      </w:r>
      <w:r w:rsidR="00CE54CC">
        <w:rPr>
          <w:iCs/>
        </w:rPr>
        <w:t>réciser les</w:t>
      </w:r>
      <w:r w:rsidR="00301F2E" w:rsidRPr="00301F2E">
        <w:rPr>
          <w:iCs/>
        </w:rPr>
        <w:t xml:space="preserve"> indicateurs utilisés pour mesurer le couple rendement-risques des différentes activités</w:t>
      </w:r>
      <w:r w:rsidR="00CE54CC">
        <w:rPr>
          <w:iCs/>
        </w:rPr>
        <w:t> ;</w:t>
      </w:r>
    </w:p>
    <w:p w14:paraId="17A37BE6" w14:textId="72B19D04" w:rsidR="00301F2E" w:rsidRPr="00301F2E" w:rsidRDefault="00E15624" w:rsidP="00E15624">
      <w:pPr>
        <w:pStyle w:val="Paragraphedeliste"/>
        <w:numPr>
          <w:ilvl w:val="1"/>
          <w:numId w:val="40"/>
        </w:numPr>
        <w:contextualSpacing w:val="0"/>
        <w:rPr>
          <w:iCs/>
        </w:rPr>
      </w:pPr>
      <w:r>
        <w:rPr>
          <w:iCs/>
        </w:rPr>
        <w:t>i</w:t>
      </w:r>
      <w:r w:rsidR="00CE54CC">
        <w:rPr>
          <w:iCs/>
        </w:rPr>
        <w:t xml:space="preserve">ndiquer </w:t>
      </w:r>
      <w:r w:rsidR="003F396B">
        <w:rPr>
          <w:iCs/>
        </w:rPr>
        <w:t>à</w:t>
      </w:r>
      <w:r w:rsidR="00301F2E" w:rsidRPr="00301F2E">
        <w:rPr>
          <w:iCs/>
        </w:rPr>
        <w:t xml:space="preserve"> quelle granularité et à quelle fréquence les indicateurs sont</w:t>
      </w:r>
      <w:r w:rsidR="00CE54CC">
        <w:rPr>
          <w:iCs/>
        </w:rPr>
        <w:t xml:space="preserve"> </w:t>
      </w:r>
      <w:r w:rsidR="00301F2E" w:rsidRPr="00301F2E">
        <w:rPr>
          <w:iCs/>
        </w:rPr>
        <w:t>calculés et suivis</w:t>
      </w:r>
      <w:r w:rsidR="00CE54CC">
        <w:rPr>
          <w:iCs/>
        </w:rPr>
        <w:t> ;</w:t>
      </w:r>
      <w:r w:rsidR="00301F2E" w:rsidRPr="00301F2E">
        <w:rPr>
          <w:iCs/>
        </w:rPr>
        <w:t xml:space="preserve"> </w:t>
      </w:r>
    </w:p>
    <w:p w14:paraId="2F7E80F8" w14:textId="29F688CE" w:rsidR="00301F2E" w:rsidRDefault="003E4058" w:rsidP="002F6550">
      <w:pPr>
        <w:pStyle w:val="Paragraphedeliste"/>
        <w:numPr>
          <w:ilvl w:val="1"/>
          <w:numId w:val="40"/>
        </w:numPr>
        <w:contextualSpacing w:val="0"/>
        <w:rPr>
          <w:iCs/>
        </w:rPr>
      </w:pPr>
      <w:r>
        <w:rPr>
          <w:iCs/>
        </w:rPr>
        <w:t xml:space="preserve">préciser les éventuels </w:t>
      </w:r>
      <w:r w:rsidR="00301F2E" w:rsidRPr="00301F2E">
        <w:rPr>
          <w:iCs/>
        </w:rPr>
        <w:t xml:space="preserve">objectifs quantitatifs ou limites </w:t>
      </w:r>
      <w:r>
        <w:rPr>
          <w:iCs/>
        </w:rPr>
        <w:t>assortis aux</w:t>
      </w:r>
      <w:r w:rsidRPr="00301F2E">
        <w:rPr>
          <w:iCs/>
        </w:rPr>
        <w:t xml:space="preserve"> indicateurs</w:t>
      </w:r>
      <w:r>
        <w:rPr>
          <w:iCs/>
        </w:rPr>
        <w:t>;</w:t>
      </w:r>
    </w:p>
    <w:p w14:paraId="24FB2978" w14:textId="7A15E9DA" w:rsidR="00246EC8" w:rsidRPr="00435247" w:rsidRDefault="00246EC8" w:rsidP="002F6550">
      <w:pPr>
        <w:rPr>
          <w:iCs/>
        </w:rPr>
      </w:pPr>
    </w:p>
    <w:p w14:paraId="746FCB98" w14:textId="7DEBFB0E" w:rsidR="00301F2E" w:rsidRDefault="00FD37C4" w:rsidP="002F6550">
      <w:pPr>
        <w:pStyle w:val="SGACP-enumerationniveau1"/>
        <w:spacing w:before="0"/>
        <w:ind w:left="284" w:hanging="284"/>
      </w:pPr>
      <w:r>
        <w:t>d</w:t>
      </w:r>
      <w:r w:rsidR="00934639" w:rsidRPr="00FD37C4">
        <w:t>escription des dispositifs de maîtrise des risques précités et contrôles afférents</w:t>
      </w:r>
      <w:r w:rsidR="003F396B">
        <w:t> ;</w:t>
      </w:r>
    </w:p>
    <w:p w14:paraId="5857B9D9" w14:textId="4AF0D618" w:rsidR="003F396B" w:rsidRDefault="00C72ECA" w:rsidP="002F6550">
      <w:pPr>
        <w:pStyle w:val="SGACP-enumerationniveau1"/>
        <w:ind w:left="284" w:hanging="284"/>
        <w:rPr>
          <w:iCs/>
        </w:rPr>
      </w:pPr>
      <w:r w:rsidRPr="00262482">
        <w:t xml:space="preserve">préciser </w:t>
      </w:r>
      <w:r w:rsidR="003F396B" w:rsidRPr="00262482">
        <w:t>p</w:t>
      </w:r>
      <w:r w:rsidR="00301F2E" w:rsidRPr="00262482">
        <w:t xml:space="preserve">armi les </w:t>
      </w:r>
      <w:r w:rsidR="003F396B" w:rsidRPr="00262482">
        <w:t>lignes d’activité internes</w:t>
      </w:r>
      <w:r w:rsidR="00301F2E" w:rsidRPr="00262482">
        <w:t xml:space="preserve"> présentées dans la description générale des activités,</w:t>
      </w:r>
      <w:r w:rsidR="00301F2E" w:rsidRPr="00435247">
        <w:rPr>
          <w:iCs/>
        </w:rPr>
        <w:t xml:space="preserve"> lesquelles sont encadrées par une politique de collatéralisation</w:t>
      </w:r>
      <w:r>
        <w:rPr>
          <w:iCs/>
        </w:rPr>
        <w:t> ;</w:t>
      </w:r>
      <w:r w:rsidR="00301F2E" w:rsidRPr="00435247">
        <w:rPr>
          <w:iCs/>
        </w:rPr>
        <w:tab/>
      </w:r>
    </w:p>
    <w:p w14:paraId="438A0D81" w14:textId="636F0910" w:rsidR="00301F2E" w:rsidRPr="00262482" w:rsidRDefault="00262482" w:rsidP="002F6550">
      <w:pPr>
        <w:pStyle w:val="SGACP-enumerationniveau1"/>
        <w:ind w:left="284" w:hanging="284"/>
      </w:pPr>
      <w:r>
        <w:t>p</w:t>
      </w:r>
      <w:r w:rsidR="003F396B" w:rsidRPr="00262482">
        <w:t>our chaque ligne d’activité encadrée par une politique de collatéralisation :</w:t>
      </w:r>
    </w:p>
    <w:p w14:paraId="2234F378" w14:textId="559E9D2C" w:rsidR="00301F2E" w:rsidRPr="003B4A79" w:rsidRDefault="00301F2E" w:rsidP="002F6550">
      <w:pPr>
        <w:pStyle w:val="Paragraphedeliste"/>
        <w:numPr>
          <w:ilvl w:val="1"/>
          <w:numId w:val="133"/>
        </w:numPr>
        <w:contextualSpacing w:val="0"/>
        <w:rPr>
          <w:iCs/>
        </w:rPr>
      </w:pPr>
      <w:r w:rsidRPr="003E722C">
        <w:rPr>
          <w:iCs/>
        </w:rPr>
        <w:t>résumer ses principes</w:t>
      </w:r>
      <w:r w:rsidR="0032595D">
        <w:rPr>
          <w:iCs/>
        </w:rPr>
        <w:t> ;</w:t>
      </w:r>
    </w:p>
    <w:p w14:paraId="646D01C2" w14:textId="37CD4546" w:rsidR="00301F2E" w:rsidRPr="00262482" w:rsidRDefault="0032595D" w:rsidP="002F6550">
      <w:pPr>
        <w:pStyle w:val="Paragraphedeliste"/>
        <w:numPr>
          <w:ilvl w:val="1"/>
          <w:numId w:val="133"/>
        </w:numPr>
        <w:contextualSpacing w:val="0"/>
        <w:rPr>
          <w:iCs/>
        </w:rPr>
      </w:pPr>
      <w:r>
        <w:rPr>
          <w:iCs/>
        </w:rPr>
        <w:t xml:space="preserve">présenter </w:t>
      </w:r>
      <w:r w:rsidR="003F396B">
        <w:rPr>
          <w:iCs/>
        </w:rPr>
        <w:t>l</w:t>
      </w:r>
      <w:r w:rsidR="00301F2E" w:rsidRPr="003B4A79">
        <w:rPr>
          <w:iCs/>
        </w:rPr>
        <w:t>es critères d'éligibilité, de disponibilité et de quantité des sûretés permettant de s'assurer que ces sûretés protègent les expositions générées par ces opérations, conformément aux dispositions de l'article 7 de l'arrêté portan</w:t>
      </w:r>
      <w:r w:rsidR="003F396B">
        <w:rPr>
          <w:iCs/>
        </w:rPr>
        <w:t>t application de la loi SRAB</w:t>
      </w:r>
      <w:r>
        <w:rPr>
          <w:iCs/>
        </w:rPr>
        <w:t>;</w:t>
      </w:r>
    </w:p>
    <w:p w14:paraId="4BAF8084" w14:textId="36D62616" w:rsidR="003F396B" w:rsidRPr="00262482" w:rsidRDefault="002C6CC7" w:rsidP="002F6550">
      <w:pPr>
        <w:pStyle w:val="Paragraphedeliste"/>
        <w:numPr>
          <w:ilvl w:val="1"/>
          <w:numId w:val="133"/>
        </w:numPr>
        <w:contextualSpacing w:val="0"/>
        <w:rPr>
          <w:iCs/>
        </w:rPr>
      </w:pPr>
      <w:r>
        <w:rPr>
          <w:iCs/>
        </w:rPr>
        <w:t xml:space="preserve">préciser </w:t>
      </w:r>
      <w:r w:rsidR="003F396B">
        <w:rPr>
          <w:iCs/>
        </w:rPr>
        <w:t>c</w:t>
      </w:r>
      <w:r w:rsidR="00301F2E" w:rsidRPr="003B4A79">
        <w:rPr>
          <w:iCs/>
        </w:rPr>
        <w:t>omment les critères de quantité et de disponibilité des sûretés sont adaptés à leur qualité et au niveau des risques induits par les opérati</w:t>
      </w:r>
      <w:r w:rsidR="00301F2E">
        <w:rPr>
          <w:iCs/>
        </w:rPr>
        <w:t>ons garanties par ces sûretés</w:t>
      </w:r>
      <w:r>
        <w:rPr>
          <w:iCs/>
        </w:rPr>
        <w:t> ;</w:t>
      </w:r>
    </w:p>
    <w:p w14:paraId="77E67B50" w14:textId="6708C513" w:rsidR="003F396B" w:rsidRPr="00262482" w:rsidRDefault="003F396B" w:rsidP="002F6550">
      <w:pPr>
        <w:pStyle w:val="Paragraphedeliste"/>
        <w:numPr>
          <w:ilvl w:val="1"/>
          <w:numId w:val="133"/>
        </w:numPr>
        <w:contextualSpacing w:val="0"/>
        <w:rPr>
          <w:iCs/>
        </w:rPr>
      </w:pPr>
      <w:r>
        <w:rPr>
          <w:iCs/>
        </w:rPr>
        <w:t>l</w:t>
      </w:r>
      <w:r w:rsidR="00301F2E" w:rsidRPr="003E722C">
        <w:rPr>
          <w:iCs/>
        </w:rPr>
        <w:t xml:space="preserve">orsque les critères de qualité et de disponibilité ne sont pas respectés, </w:t>
      </w:r>
      <w:r w:rsidR="003E4058">
        <w:rPr>
          <w:iCs/>
        </w:rPr>
        <w:t xml:space="preserve">indiquer si </w:t>
      </w:r>
      <w:r w:rsidR="00301F2E" w:rsidRPr="003E722C">
        <w:rPr>
          <w:iCs/>
        </w:rPr>
        <w:t>la mise en place d'une exigence de quantité plus importante</w:t>
      </w:r>
      <w:r>
        <w:rPr>
          <w:iCs/>
        </w:rPr>
        <w:t xml:space="preserve"> </w:t>
      </w:r>
      <w:r w:rsidR="00301F2E" w:rsidRPr="003E722C">
        <w:rPr>
          <w:iCs/>
        </w:rPr>
        <w:t xml:space="preserve">est </w:t>
      </w:r>
      <w:r w:rsidR="00301F2E">
        <w:rPr>
          <w:iCs/>
        </w:rPr>
        <w:t>prévue</w:t>
      </w:r>
      <w:r w:rsidR="003E4058">
        <w:rPr>
          <w:iCs/>
        </w:rPr>
        <w:t xml:space="preserve"> et si oui d</w:t>
      </w:r>
      <w:r w:rsidR="00301F2E">
        <w:rPr>
          <w:iCs/>
        </w:rPr>
        <w:t>ans quelle mesure</w:t>
      </w:r>
      <w:r w:rsidR="003E4058">
        <w:rPr>
          <w:iCs/>
        </w:rPr>
        <w:t> ;</w:t>
      </w:r>
      <w:r w:rsidR="00301F2E">
        <w:rPr>
          <w:iCs/>
        </w:rPr>
        <w:t xml:space="preserve"> </w:t>
      </w:r>
    </w:p>
    <w:p w14:paraId="29F6035B" w14:textId="18DBE2FD" w:rsidR="003F396B" w:rsidRPr="00262482" w:rsidRDefault="006914B8" w:rsidP="002F6550">
      <w:pPr>
        <w:pStyle w:val="Paragraphedeliste"/>
        <w:numPr>
          <w:ilvl w:val="1"/>
          <w:numId w:val="133"/>
        </w:numPr>
        <w:contextualSpacing w:val="0"/>
        <w:rPr>
          <w:iCs/>
        </w:rPr>
      </w:pPr>
      <w:r>
        <w:rPr>
          <w:iCs/>
        </w:rPr>
        <w:t xml:space="preserve">indiquer si </w:t>
      </w:r>
      <w:r w:rsidR="003F396B">
        <w:rPr>
          <w:iCs/>
        </w:rPr>
        <w:t>l</w:t>
      </w:r>
      <w:r w:rsidR="00301F2E" w:rsidRPr="00435247">
        <w:rPr>
          <w:iCs/>
        </w:rPr>
        <w:t>a politique prévoit des dérogations éventuelles à son application</w:t>
      </w:r>
      <w:r>
        <w:rPr>
          <w:iCs/>
        </w:rPr>
        <w:t>.</w:t>
      </w:r>
      <w:r w:rsidR="00301F2E" w:rsidRPr="00435247">
        <w:rPr>
          <w:iCs/>
        </w:rPr>
        <w:t xml:space="preserve"> Le cas échéant, </w:t>
      </w:r>
      <w:r>
        <w:rPr>
          <w:iCs/>
        </w:rPr>
        <w:t xml:space="preserve">décrire </w:t>
      </w:r>
      <w:r w:rsidR="00301F2E" w:rsidRPr="00435247">
        <w:rPr>
          <w:iCs/>
        </w:rPr>
        <w:t xml:space="preserve">comment elles </w:t>
      </w:r>
      <w:r>
        <w:rPr>
          <w:iCs/>
        </w:rPr>
        <w:t xml:space="preserve">sont </w:t>
      </w:r>
      <w:r w:rsidR="00301F2E" w:rsidRPr="00435247">
        <w:rPr>
          <w:iCs/>
        </w:rPr>
        <w:t>encadrées</w:t>
      </w:r>
      <w:r>
        <w:rPr>
          <w:iCs/>
        </w:rPr>
        <w:t> ;</w:t>
      </w:r>
    </w:p>
    <w:p w14:paraId="3F33A175" w14:textId="01D23D1F" w:rsidR="00301F2E" w:rsidRDefault="00C72ECA" w:rsidP="002F6550">
      <w:pPr>
        <w:pStyle w:val="Paragraphedeliste"/>
        <w:numPr>
          <w:ilvl w:val="1"/>
          <w:numId w:val="133"/>
        </w:numPr>
        <w:contextualSpacing w:val="0"/>
        <w:rPr>
          <w:iCs/>
        </w:rPr>
      </w:pPr>
      <w:r>
        <w:rPr>
          <w:iCs/>
        </w:rPr>
        <w:t xml:space="preserve">préciser si </w:t>
      </w:r>
      <w:r w:rsidR="003F396B">
        <w:rPr>
          <w:iCs/>
        </w:rPr>
        <w:t>d</w:t>
      </w:r>
      <w:r w:rsidR="00301F2E" w:rsidRPr="00435247">
        <w:rPr>
          <w:iCs/>
        </w:rPr>
        <w:t>es indicateurs sont utilisés pour mesurer le degré de collatéralisation des opérations</w:t>
      </w:r>
      <w:r>
        <w:rPr>
          <w:iCs/>
        </w:rPr>
        <w:t xml:space="preserve">. Si oui, </w:t>
      </w:r>
      <w:r w:rsidR="00301F2E" w:rsidRPr="00435247">
        <w:rPr>
          <w:iCs/>
        </w:rPr>
        <w:t>les définir et commenter leur utilisation opérationnelle</w:t>
      </w:r>
      <w:r>
        <w:rPr>
          <w:iCs/>
        </w:rPr>
        <w:t> ;</w:t>
      </w:r>
    </w:p>
    <w:p w14:paraId="133A121A" w14:textId="77777777" w:rsidR="00301F2E" w:rsidRPr="00435247" w:rsidRDefault="00301F2E" w:rsidP="002F6550">
      <w:pPr>
        <w:pStyle w:val="Paragraphedeliste"/>
        <w:ind w:left="1440"/>
        <w:contextualSpacing w:val="0"/>
        <w:rPr>
          <w:iCs/>
        </w:rPr>
      </w:pPr>
    </w:p>
    <w:p w14:paraId="6F3A1BFD" w14:textId="75A9690B" w:rsidR="00301F2E" w:rsidRPr="00262482" w:rsidRDefault="00301F2E" w:rsidP="002F6550">
      <w:pPr>
        <w:pStyle w:val="Paragraphedeliste"/>
        <w:numPr>
          <w:ilvl w:val="1"/>
          <w:numId w:val="39"/>
        </w:numPr>
        <w:ind w:left="284" w:hanging="284"/>
        <w:rPr>
          <w:iCs/>
        </w:rPr>
      </w:pPr>
      <w:r w:rsidRPr="00262482">
        <w:t>résumer les principes retenus pour encadrer les degrés de concentration (i) des</w:t>
      </w:r>
      <w:r w:rsidRPr="00262482">
        <w:rPr>
          <w:iCs/>
        </w:rPr>
        <w:t xml:space="preserve"> expositions individuelles sur un OPC ou un autre véhicule similaire ayant recours à l'effet de levier de manière substantielle, et (ii) des sûretés obtenues de la part de cette contrepartie</w:t>
      </w:r>
      <w:r w:rsidR="00A42E8A" w:rsidRPr="00262482">
        <w:rPr>
          <w:iCs/>
        </w:rPr>
        <w:t>.</w:t>
      </w:r>
      <w:r w:rsidRPr="00262482">
        <w:rPr>
          <w:iCs/>
        </w:rPr>
        <w:tab/>
      </w:r>
    </w:p>
    <w:p w14:paraId="6243AFCE" w14:textId="77777777" w:rsidR="008E03C1" w:rsidRDefault="008E03C1" w:rsidP="00FD37C4">
      <w:pPr>
        <w:pStyle w:val="SGACP-enumerationniveau1"/>
        <w:numPr>
          <w:ilvl w:val="0"/>
          <w:numId w:val="0"/>
        </w:numPr>
        <w:spacing w:before="0"/>
        <w:ind w:left="284"/>
      </w:pPr>
    </w:p>
    <w:p w14:paraId="3C4807C4" w14:textId="77777777" w:rsidR="00110755" w:rsidRDefault="008F3AF1" w:rsidP="00FD37C4">
      <w:pPr>
        <w:pStyle w:val="SGACP-sous-titrederubriquenivaeu2"/>
        <w:spacing w:after="120"/>
      </w:pPr>
      <w:r>
        <w:t>19</w:t>
      </w:r>
      <w:r w:rsidR="00FD37C4">
        <w:t>.4. Résultats des contrôles</w:t>
      </w:r>
    </w:p>
    <w:p w14:paraId="325EB6B5" w14:textId="77777777" w:rsidR="00110755" w:rsidRPr="00FD37C4" w:rsidRDefault="00FD37C4" w:rsidP="00FD37C4">
      <w:pPr>
        <w:pStyle w:val="SGACP-enumerationniveau1"/>
        <w:spacing w:before="0"/>
        <w:ind w:left="284" w:hanging="284"/>
      </w:pPr>
      <w:r w:rsidRPr="00FD37C4">
        <w:t>r</w:t>
      </w:r>
      <w:r w:rsidR="00110755" w:rsidRPr="00FD37C4">
        <w:t>ésultats du contrôle permanent relatif aux exigences prévues à l’article 2</w:t>
      </w:r>
      <w:r w:rsidR="009A6F5A" w:rsidRPr="00FD37C4">
        <w:t xml:space="preserve"> de l’arrêté du 9 septembre 2014 portant application du titre Ier de la loi n°2013-672 du 26 juillet 2013 de séparation et de régulation des activités bancaires</w:t>
      </w:r>
      <w:r w:rsidR="00316D0F" w:rsidRPr="00FD37C4">
        <w:t xml:space="preserve">, </w:t>
      </w:r>
      <w:r w:rsidR="009A6F5A" w:rsidRPr="00FD37C4">
        <w:t>action</w:t>
      </w:r>
      <w:r w:rsidR="00110755" w:rsidRPr="00FD37C4">
        <w:t>s et mesures correctives engagées pour remédier aux insuffisances relevées ;</w:t>
      </w:r>
    </w:p>
    <w:p w14:paraId="769402AF" w14:textId="77777777" w:rsidR="00110755" w:rsidRDefault="00FD37C4" w:rsidP="001D505C">
      <w:pPr>
        <w:pStyle w:val="SGACP-enumerationniveau1"/>
        <w:ind w:left="284" w:hanging="284"/>
      </w:pPr>
      <w:r w:rsidRPr="00FD37C4">
        <w:t>r</w:t>
      </w:r>
      <w:r w:rsidR="00110755" w:rsidRPr="00FD37C4">
        <w:t>ésultats du contrôle périodique du</w:t>
      </w:r>
      <w:r w:rsidR="00110755">
        <w:t xml:space="preserve"> respect du titre Ier de la loi n°2013-672 du 26 juillet 2013 de séparation et de régulation bancaire, </w:t>
      </w:r>
      <w:r w:rsidR="009A6F5A">
        <w:t>ac</w:t>
      </w:r>
      <w:r w:rsidR="00110755">
        <w:t>tions et mesures correctives engagées pour remédier aux insuffisances relevées.</w:t>
      </w:r>
    </w:p>
    <w:p w14:paraId="2737F7F9" w14:textId="77777777" w:rsidR="00ED286C" w:rsidRDefault="00ED286C" w:rsidP="00ED286C">
      <w:pPr>
        <w:pStyle w:val="SGACP-enumerationniveau1"/>
        <w:numPr>
          <w:ilvl w:val="0"/>
          <w:numId w:val="0"/>
        </w:numPr>
        <w:spacing w:before="0"/>
        <w:ind w:left="284"/>
      </w:pPr>
    </w:p>
    <w:p w14:paraId="2930E3CD" w14:textId="77777777" w:rsidR="00703C4B" w:rsidRDefault="00703C4B" w:rsidP="00463A1C">
      <w:bookmarkStart w:id="234" w:name="_Toc244576480"/>
      <w:bookmarkStart w:id="235" w:name="_Toc244598010"/>
      <w:bookmarkStart w:id="236" w:name="_Toc244601064"/>
      <w:bookmarkStart w:id="237" w:name="_Toc244692482"/>
      <w:bookmarkStart w:id="238" w:name="_Toc244692551"/>
      <w:bookmarkStart w:id="239" w:name="_Toc244938471"/>
      <w:bookmarkStart w:id="240" w:name="_Toc244938704"/>
      <w:bookmarkStart w:id="241" w:name="_Toc266799847"/>
      <w:bookmarkStart w:id="242" w:name="_Toc266799870"/>
    </w:p>
    <w:p w14:paraId="539FE8DE" w14:textId="77777777" w:rsidR="006036AB" w:rsidRPr="00676039" w:rsidRDefault="00CD6D4E" w:rsidP="00FD37C4">
      <w:pPr>
        <w:pStyle w:val="StyleSGACP-titrederubriqueniveau1CouleurpersonnaliseRVB"/>
        <w:keepNext/>
        <w:keepLines/>
        <w:ind w:left="426" w:hanging="426"/>
      </w:pPr>
      <w:r>
        <w:t xml:space="preserve"> </w:t>
      </w:r>
      <w:bookmarkStart w:id="243" w:name="_Toc106958080"/>
      <w:r w:rsidR="006036AB">
        <w:t>Politique en matière d’</w:t>
      </w:r>
      <w:r w:rsidR="006036AB" w:rsidRPr="00651BBE">
        <w:t>externalis</w:t>
      </w:r>
      <w:r w:rsidR="006036AB">
        <w:t>ation</w:t>
      </w:r>
      <w:bookmarkEnd w:id="243"/>
    </w:p>
    <w:p w14:paraId="38B56BBC" w14:textId="77777777" w:rsidR="006036AB" w:rsidRDefault="006036AB" w:rsidP="006036AB"/>
    <w:p w14:paraId="65AED23C" w14:textId="6E7AACA2" w:rsidR="00450314" w:rsidRDefault="00450314" w:rsidP="00065BBD">
      <w:pPr>
        <w:pStyle w:val="SGACP-enumerationniveau1"/>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w:t>
      </w:r>
      <w:r w:rsidR="005E3783">
        <w:t xml:space="preserve">, </w:t>
      </w:r>
      <w:r w:rsidR="003E428E">
        <w:t>incluant</w:t>
      </w:r>
      <w:r w:rsidR="005E3783">
        <w:t xml:space="preserve"> notamment l</w:t>
      </w:r>
      <w:r w:rsidR="003E428E">
        <w:t>a description d</w:t>
      </w:r>
      <w:r w:rsidR="005E3783">
        <w:t xml:space="preserve">es </w:t>
      </w:r>
      <w:r w:rsidR="003E428E">
        <w:t>dispositions</w:t>
      </w:r>
      <w:r w:rsidR="005E3783">
        <w:t xml:space="preserve"> </w:t>
      </w:r>
      <w:r w:rsidR="003E428E">
        <w:t>existantes</w:t>
      </w:r>
      <w:r w:rsidR="005E3783">
        <w:t xml:space="preserve"> </w:t>
      </w:r>
      <w:r w:rsidR="003E428E">
        <w:t xml:space="preserve">pour éclairer la prise de décision d’externalisation </w:t>
      </w:r>
      <w:r w:rsidR="00361F6E" w:rsidRPr="00D1728C">
        <w:rPr>
          <w:i/>
        </w:rPr>
        <w:t>(analyse préalable menée sur la criticité de l’activité à externaliser et l’évaluation des risques associés</w:t>
      </w:r>
      <w:r w:rsidR="00361F6E">
        <w:rPr>
          <w:i/>
        </w:rPr>
        <w:t>…</w:t>
      </w:r>
      <w:r w:rsidR="00361F6E" w:rsidRPr="00D1728C">
        <w:rPr>
          <w:i/>
        </w:rPr>
        <w:t>)</w:t>
      </w:r>
      <w:r w:rsidR="00361F6E">
        <w:t xml:space="preserve"> </w:t>
      </w:r>
      <w:r w:rsidR="003E428E">
        <w:t>avant que celle-ci ne soit effective</w:t>
      </w:r>
      <w:r w:rsidR="007A52AA">
        <w:t xml:space="preserve"> (notamment quand cela peut affecter les TIC de l’établissement)</w:t>
      </w:r>
      <w:r w:rsidRPr="00231890">
        <w:t> ;</w:t>
      </w:r>
    </w:p>
    <w:p w14:paraId="733DBD22" w14:textId="24EB96D6" w:rsidR="00CE5AA0" w:rsidRPr="00231890" w:rsidRDefault="00C5461D" w:rsidP="00C5461D">
      <w:pPr>
        <w:pStyle w:val="SGACP-enumerationniveau1"/>
        <w:ind w:left="284" w:hanging="284"/>
      </w:pPr>
      <w:r>
        <w:t xml:space="preserve">adaptations prises </w:t>
      </w:r>
      <w:r w:rsidR="00CE5AA0">
        <w:t>pour</w:t>
      </w:r>
      <w:r>
        <w:t xml:space="preserve"> se conformer à l’exigence de </w:t>
      </w:r>
      <w:r w:rsidR="00CE5AA0">
        <w:t xml:space="preserve">tenue d’un registre comprenant les informations visées à la section 11 des </w:t>
      </w:r>
      <w:r w:rsidR="000001E8">
        <w:t>O</w:t>
      </w:r>
      <w:r w:rsidR="00CE5AA0">
        <w:t>rientations de l’ABE sur l’ensemble des dispositifs d’externalisation </w:t>
      </w:r>
      <w:r>
        <w:t>(</w:t>
      </w:r>
      <w:r w:rsidRPr="00C5461D">
        <w:t>cf. article 2</w:t>
      </w:r>
      <w:r>
        <w:t>38</w:t>
      </w:r>
      <w:r w:rsidRPr="00C5461D">
        <w:t xml:space="preserve"> de l’arrêté du 3 novembre 2014</w:t>
      </w:r>
      <w:r w:rsidR="00B15F0F">
        <w:t xml:space="preserve"> modifié</w:t>
      </w:r>
      <w:r w:rsidRPr="00C5461D">
        <w:t>)</w:t>
      </w:r>
      <w:r w:rsidR="00CE5AA0">
        <w:t xml:space="preserve">; </w:t>
      </w:r>
    </w:p>
    <w:p w14:paraId="7EC42993" w14:textId="5128A9AE" w:rsid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3632D1">
        <w:rPr>
          <w:rStyle w:val="Appelnotedebasdep"/>
        </w:rPr>
        <w:footnoteReference w:id="13"/>
      </w:r>
      <w:r w:rsidR="00450314" w:rsidRPr="00231890">
        <w:t xml:space="preserve"> </w:t>
      </w:r>
      <w:r w:rsidR="00BF1837" w:rsidRPr="00231890">
        <w:t>(au sens des paragraphes q) et r) de l’article 10 de l’arrêté du 3 novembre 2014</w:t>
      </w:r>
      <w:r w:rsidR="00192F7C">
        <w:t xml:space="preserve"> modifié</w:t>
      </w:r>
      <w:r w:rsidR="00BF1837" w:rsidRPr="00231890">
        <w:t>)</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14:paraId="1546B909" w14:textId="3316443F" w:rsidR="00B1448D" w:rsidRPr="00231890" w:rsidRDefault="009516A5" w:rsidP="00CE5AA0">
      <w:pPr>
        <w:pStyle w:val="SGACP-enumerationniveau1"/>
        <w:ind w:left="284" w:hanging="284"/>
      </w:pPr>
      <w:r w:rsidRPr="00CE5AA0">
        <w:t xml:space="preserve">communication </w:t>
      </w:r>
      <w:r w:rsidR="00B20931" w:rsidRPr="00CE5AA0">
        <w:t xml:space="preserve">de l’extraction </w:t>
      </w:r>
      <w:r w:rsidR="00CE5AA0" w:rsidRPr="00CE5AA0">
        <w:t>annuelle du registre mentionnant les dispositifs d'externalisation portant sur l</w:t>
      </w:r>
      <w:r w:rsidR="003632D1" w:rsidRPr="00CE5AA0">
        <w:t>es activités essentielles ou importantes (au sens de l’article 10 de l’arrêté du 3 novembre 2014</w:t>
      </w:r>
      <w:r w:rsidR="00B15F0F">
        <w:t xml:space="preserve"> modifié</w:t>
      </w:r>
      <w:r w:rsidR="003632D1" w:rsidRPr="00CE5AA0">
        <w:t>)</w:t>
      </w:r>
      <w:r w:rsidR="00CE5AA0">
        <w:t> </w:t>
      </w:r>
      <w:r w:rsidR="003632D1">
        <w:t>;</w:t>
      </w:r>
    </w:p>
    <w:p w14:paraId="1B6D2544" w14:textId="1B4F79F1" w:rsidR="006036AB" w:rsidRDefault="00477B99" w:rsidP="00460E3D">
      <w:pPr>
        <w:pStyle w:val="SGACP-enumerationniveau1"/>
        <w:ind w:left="284" w:hanging="284"/>
      </w:pPr>
      <w:r w:rsidRPr="00073AA7">
        <w:t xml:space="preserve">description des </w:t>
      </w:r>
      <w:r w:rsidR="00BF1837" w:rsidRPr="00073AA7">
        <w:t xml:space="preserve">conditions dans lesquelles a lieu le recours à l’externalisation : </w:t>
      </w:r>
      <w:r w:rsidR="004B0ECF">
        <w:t xml:space="preserve">nom du fournisseur de services, </w:t>
      </w:r>
      <w:r w:rsidR="00BF1837" w:rsidRPr="00073AA7">
        <w:t xml:space="preserve">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w:t>
      </w:r>
      <w:r w:rsidR="00192F7C">
        <w:t xml:space="preserve"> modifié</w:t>
      </w:r>
      <w:r w:rsidR="00F7177B" w:rsidRPr="00073AA7">
        <w:t xml:space="preserve">, </w:t>
      </w:r>
      <w:r w:rsidR="00073AA7">
        <w:t xml:space="preserve">y compris </w:t>
      </w:r>
      <w:r w:rsidR="00073AA7" w:rsidRPr="00073AA7">
        <w:t>celle permettan</w:t>
      </w:r>
      <w:r w:rsidR="00073AA7" w:rsidRPr="00BC1D0A">
        <w:t>t à</w:t>
      </w:r>
      <w:r w:rsidR="00BF1D95" w:rsidRPr="00460E3D">
        <w:t xml:space="preserve"> l’Autorité de contrôle prudentiel et de résolution, ou la BCE selon les cas, </w:t>
      </w:r>
      <w:r w:rsidR="00073AA7" w:rsidRPr="00460E3D">
        <w:t>de se rendre sur place au sein du prestataire extérieur</w:t>
      </w:r>
      <w:r w:rsidR="00BF1837" w:rsidRPr="00073AA7">
        <w:t>, etc.</w:t>
      </w:r>
      <w:r w:rsidR="00BF1837" w:rsidRPr="00BC1D0A">
        <w:t> ;</w:t>
      </w:r>
    </w:p>
    <w:p w14:paraId="453B7147" w14:textId="77777777" w:rsidR="004B0ECF" w:rsidRPr="00BC1D0A" w:rsidRDefault="004B0ECF" w:rsidP="00460E3D">
      <w:pPr>
        <w:pStyle w:val="SGACP-enumerationniveau1"/>
        <w:ind w:left="284" w:hanging="284"/>
      </w:pPr>
      <w:r>
        <w:t>pour le cas particulier d’activités externalisées par le recours à un fournisseur de services en nuage (</w:t>
      </w:r>
      <w:r w:rsidRPr="004B0ECF">
        <w:rPr>
          <w:i/>
        </w:rPr>
        <w:t>cloud computing</w:t>
      </w:r>
      <w:r>
        <w:t>), description des conditions dans lesquelles a lieu le recours à l’externalisation</w:t>
      </w:r>
      <w:r w:rsidR="002B5522">
        <w:t> </w:t>
      </w:r>
      <w:r w:rsidR="005E3783">
        <w:t xml:space="preserve">: le modèle de services en nuage (public/privé…), les dates de début et d’expiration des services fournis, le nom des éventuels sous-traitants de « nième rang » et une indication sur </w:t>
      </w:r>
      <w:r w:rsidR="00A34019">
        <w:t>le caractère substituable</w:t>
      </w:r>
      <w:r w:rsidR="005E3783">
        <w:t xml:space="preserve"> </w:t>
      </w:r>
      <w:r w:rsidR="00A34019">
        <w:t>du</w:t>
      </w:r>
      <w:r w:rsidR="005E3783">
        <w:t xml:space="preserve"> fournisseur de services (facile/difficile/impossible)</w:t>
      </w:r>
      <w:r w:rsidR="00A34019">
        <w:t> ;</w:t>
      </w:r>
    </w:p>
    <w:p w14:paraId="147586E3" w14:textId="77777777" w:rsidR="006036A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14:paraId="0167DB4F" w14:textId="77E99C20" w:rsidR="00990316" w:rsidRPr="00F7177B" w:rsidRDefault="00990316" w:rsidP="00990316">
      <w:pPr>
        <w:pStyle w:val="SGACP-enumerationniveau1"/>
        <w:ind w:left="284" w:hanging="284"/>
      </w:pPr>
      <w:r>
        <w:t>descriptif de la méthodologie d’évaluation de la qualité de la prestation et sa fréquence de revue ;</w:t>
      </w:r>
    </w:p>
    <w:p w14:paraId="7BC480FD" w14:textId="77777777" w:rsidR="00450314" w:rsidRPr="00BC1D0A" w:rsidRDefault="00450314" w:rsidP="00450314">
      <w:pPr>
        <w:pStyle w:val="SGACP-enumerationniveau1"/>
        <w:ind w:left="284" w:hanging="284"/>
      </w:pPr>
      <w:r w:rsidRPr="00F7177B">
        <w:t>description du dispositif d’identification, de gestion et de suivi des risques associés à l'externalisation</w:t>
      </w:r>
      <w:r w:rsidR="00F7177B" w:rsidRPr="00460E3D">
        <w:t> </w:t>
      </w:r>
      <w:r w:rsidR="00F7177B" w:rsidRPr="00073AA7">
        <w:t>;</w:t>
      </w:r>
    </w:p>
    <w:p w14:paraId="3C955189" w14:textId="604C38A0" w:rsidR="00D401F3" w:rsidRDefault="00D401F3" w:rsidP="00073AA7">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14:paraId="67253627" w14:textId="1D5AAEFE" w:rsidR="00361F6E" w:rsidRDefault="00361F6E" w:rsidP="00073AA7">
      <w:pPr>
        <w:pStyle w:val="SGACP-enumerationniveau1"/>
        <w:ind w:left="284" w:hanging="284"/>
      </w:pPr>
      <w:r>
        <w:t>description des procédures d’identification, d’évaluation et de gestion des conflits d’intérêts liés au dispositif d’externalisation de l’établissement, y compris entre entités du même groupe ;</w:t>
      </w:r>
    </w:p>
    <w:p w14:paraId="3AF80A3C" w14:textId="089BF7A1" w:rsidR="00C81FA0" w:rsidRPr="00BC1D0A" w:rsidRDefault="00591A97" w:rsidP="00073AA7">
      <w:pPr>
        <w:pStyle w:val="SGACP-enumerationniveau1"/>
        <w:ind w:left="284" w:hanging="284"/>
      </w:pPr>
      <w:r w:rsidRPr="00055D51">
        <w:t xml:space="preserve">description des plans de poursuite d’activité et de </w:t>
      </w:r>
      <w:r>
        <w:t>la stratégie de sortie</w:t>
      </w:r>
      <w:r w:rsidRPr="00055D51">
        <w:t xml:space="preserve"> définis pour les activités critiques ou importantes externalisées</w:t>
      </w:r>
      <w:r w:rsidR="00A3046A">
        <w:t xml:space="preserve"> : </w:t>
      </w:r>
      <w:r w:rsidR="00C81FA0">
        <w:t>formalisation des scénarii</w:t>
      </w:r>
      <w:r w:rsidR="00055D51">
        <w:t xml:space="preserve"> et objectifs</w:t>
      </w:r>
      <w:r w:rsidR="00C81FA0">
        <w:t xml:space="preserve"> retenus</w:t>
      </w:r>
      <w:r>
        <w:t xml:space="preserve"> </w:t>
      </w:r>
      <w:r w:rsidR="00055D51">
        <w:t>ainsi que</w:t>
      </w:r>
      <w:r w:rsidR="00C81FA0">
        <w:t xml:space="preserve"> des mesures alternatives </w:t>
      </w:r>
      <w:r>
        <w:t xml:space="preserve">envisagées, </w:t>
      </w:r>
      <w:r w:rsidR="00A3046A">
        <w:t>présentation d</w:t>
      </w:r>
      <w:r w:rsidR="00055D51">
        <w:t xml:space="preserve">es </w:t>
      </w:r>
      <w:r>
        <w:t>tests réalisés</w:t>
      </w:r>
      <w:r w:rsidR="00A3046A">
        <w:t xml:space="preserve"> (fréquence</w:t>
      </w:r>
      <w:r w:rsidR="00055D51">
        <w:t>, résultats</w:t>
      </w:r>
      <w:r w:rsidR="00A3046A">
        <w:t xml:space="preserve">…), </w:t>
      </w:r>
      <w:r w:rsidR="00A3046A" w:rsidRPr="007F2900">
        <w:t>reporting à la direction (su</w:t>
      </w:r>
      <w:r w:rsidR="00A3046A">
        <w:t xml:space="preserve">r les tests, les mises à jour apportées aux plans ou à la stratégie de sortie) </w:t>
      </w:r>
      <w:r w:rsidR="00055D51">
        <w:t> ;</w:t>
      </w:r>
    </w:p>
    <w:p w14:paraId="4765D6B3" w14:textId="52E27758" w:rsidR="006036AB" w:rsidRDefault="006036AB" w:rsidP="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t>ainsi que, le cas échéant, du comité des risques</w:t>
      </w:r>
      <w:r w:rsidRPr="007F2900">
        <w:t xml:space="preserve"> sur les mesures prises pour assurer le contrôle des activités externalisées et des risques</w:t>
      </w:r>
      <w:r>
        <w:t xml:space="preserve"> </w:t>
      </w:r>
      <w:r w:rsidRPr="007F2900">
        <w:t>en résultant (cf. article</w:t>
      </w:r>
      <w:r>
        <w:t> 253 c) de l’arrêté du 3 novembre 2014</w:t>
      </w:r>
      <w:r w:rsidR="00A721C6">
        <w:t xml:space="preserve"> modifié</w:t>
      </w:r>
      <w:r w:rsidRPr="007F2900">
        <w:t>)</w:t>
      </w:r>
      <w:r>
        <w:t> ;</w:t>
      </w:r>
    </w:p>
    <w:p w14:paraId="28EA7A61" w14:textId="0663DE7D" w:rsidR="00BF1837" w:rsidRPr="00BF1837" w:rsidRDefault="00BF1837" w:rsidP="00460E3D">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A721C6">
        <w:t xml:space="preserve"> modifié</w:t>
      </w:r>
      <w:r w:rsidRPr="00BF1837">
        <w:t>)</w:t>
      </w:r>
      <w:r w:rsidR="00793249">
        <w:t> ;</w:t>
      </w:r>
    </w:p>
    <w:p w14:paraId="46659D8D" w14:textId="71EEAF3C"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w:t>
      </w:r>
    </w:p>
    <w:p w14:paraId="4359FA8C" w14:textId="743BD239" w:rsidR="006036AB" w:rsidRPr="007F594C" w:rsidRDefault="006036AB" w:rsidP="00065BBD">
      <w:pPr>
        <w:pStyle w:val="SGACP-enumerationniveau1"/>
        <w:ind w:left="284" w:hanging="284"/>
        <w:rPr>
          <w:i/>
        </w:rPr>
      </w:pPr>
      <w:r>
        <w:t>r</w:t>
      </w:r>
      <w:r w:rsidRPr="00065BBD">
        <w:t xml:space="preserve">ésultats des contrôles permanents </w:t>
      </w:r>
      <w:r w:rsidR="002B7399">
        <w:t>de 2</w:t>
      </w:r>
      <w:r w:rsidR="002B7399" w:rsidRPr="002B7399">
        <w:rPr>
          <w:vertAlign w:val="superscript"/>
        </w:rPr>
        <w:t>ème</w:t>
      </w:r>
      <w:r w:rsidR="002B7399">
        <w:t xml:space="preserve"> niveau</w:t>
      </w:r>
      <w:r w:rsidR="002B7399" w:rsidRPr="007F2900">
        <w:t xml:space="preserve"> </w:t>
      </w:r>
      <w:r w:rsidRPr="00065BBD">
        <w:t>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14:paraId="6DED9BE8" w14:textId="77777777"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93249">
        <w:t>.</w:t>
      </w:r>
      <w:r w:rsidR="003E1F58">
        <w:t xml:space="preserve"> </w:t>
      </w:r>
    </w:p>
    <w:p w14:paraId="4F830552" w14:textId="77777777" w:rsidR="006036AB" w:rsidRDefault="006036AB" w:rsidP="00463A1C"/>
    <w:p w14:paraId="7070064F" w14:textId="77777777" w:rsidR="00703C4B" w:rsidRDefault="00703C4B" w:rsidP="00463A1C"/>
    <w:p w14:paraId="14AEF7A4" w14:textId="77777777" w:rsidR="00331B88" w:rsidRDefault="00463A1C">
      <w:pPr>
        <w:pStyle w:val="StyleSGACP-titrederubriqueniveau1CouleurpersonnaliseRVB"/>
        <w:keepNext/>
        <w:keepLines/>
        <w:ind w:left="426" w:hanging="426"/>
      </w:pPr>
      <w:bookmarkStart w:id="244" w:name="_Toc106958081"/>
      <w:r w:rsidRPr="007D7872">
        <w:t>Informations spécifiques demandées aux conglomérats financiers</w:t>
      </w:r>
      <w:bookmarkEnd w:id="234"/>
      <w:bookmarkEnd w:id="235"/>
      <w:bookmarkEnd w:id="236"/>
      <w:bookmarkEnd w:id="237"/>
      <w:bookmarkEnd w:id="238"/>
      <w:bookmarkEnd w:id="239"/>
      <w:bookmarkEnd w:id="240"/>
      <w:bookmarkEnd w:id="241"/>
      <w:bookmarkEnd w:id="242"/>
      <w:bookmarkEnd w:id="244"/>
      <w:r w:rsidR="00BA07CA" w:rsidRPr="007D7872">
        <w:t> </w:t>
      </w:r>
    </w:p>
    <w:p w14:paraId="175F1AA2" w14:textId="77777777" w:rsidR="0024125E" w:rsidRPr="00935917" w:rsidRDefault="0024125E" w:rsidP="00460E3D"/>
    <w:p w14:paraId="368D7A57" w14:textId="77777777" w:rsidR="00331B88" w:rsidRDefault="00BA07CA" w:rsidP="006D1AEB">
      <w:pPr>
        <w:pStyle w:val="SGACP-enumerationniveau1"/>
        <w:ind w:left="284" w:hanging="284"/>
      </w:pPr>
      <w:r>
        <w:t>t</w:t>
      </w:r>
      <w:r w:rsidR="00463A1C" w:rsidRPr="007F2900">
        <w:t>otal de bilan du groupe et total de bilan respectif du secteur bancaire, du secteur des assuran</w:t>
      </w:r>
      <w:r>
        <w:t>ces et du secteur non financier.</w:t>
      </w:r>
    </w:p>
    <w:p w14:paraId="6C9B2C00" w14:textId="77777777" w:rsidR="002266BC" w:rsidRDefault="002266BC" w:rsidP="00463A1C">
      <w:bookmarkStart w:id="245" w:name="_Toc244576481"/>
      <w:bookmarkStart w:id="246" w:name="_Toc266799848"/>
    </w:p>
    <w:p w14:paraId="17F3F862" w14:textId="77777777" w:rsidR="00463A1C" w:rsidRPr="007F2900" w:rsidRDefault="00110755" w:rsidP="002266BC">
      <w:pPr>
        <w:pStyle w:val="SGACP-sous-titrederubriquenivaeu2"/>
      </w:pPr>
      <w:r>
        <w:t>2</w:t>
      </w:r>
      <w:r w:rsidR="008F3AF1">
        <w:t>1</w:t>
      </w:r>
      <w:r w:rsidR="002266BC">
        <w:t>.1.</w:t>
      </w:r>
      <w:r w:rsidR="002266BC">
        <w:tab/>
      </w:r>
      <w:r w:rsidR="00463A1C" w:rsidRPr="007F2900">
        <w:t>Dispositif de contrôle interne et d</w:t>
      </w:r>
      <w:r w:rsidR="001224E7">
        <w:t>’</w:t>
      </w:r>
      <w:r w:rsidR="00463A1C" w:rsidRPr="007F2900">
        <w:t>évaluation des risques appliqué à l</w:t>
      </w:r>
      <w:r w:rsidR="001224E7">
        <w:t>’</w:t>
      </w:r>
      <w:r w:rsidR="00463A1C" w:rsidRPr="007F2900">
        <w:t>ensemble des entités appartenant au conglomérat financier</w:t>
      </w:r>
      <w:bookmarkEnd w:id="245"/>
      <w:bookmarkEnd w:id="246"/>
      <w:r w:rsidR="00BA07CA">
        <w:t> :</w:t>
      </w:r>
    </w:p>
    <w:p w14:paraId="058C8F29" w14:textId="77777777" w:rsidR="00331B88" w:rsidRDefault="00BA07CA" w:rsidP="006D1AEB">
      <w:pPr>
        <w:pStyle w:val="SGACP-enumerationniveau1"/>
        <w:ind w:left="284" w:hanging="284"/>
      </w:pPr>
      <w:r>
        <w:t>p</w:t>
      </w:r>
      <w:r w:rsidR="00463A1C" w:rsidRPr="007F2900">
        <w:t>résentation des conditions dans lesquelles les activités des entités d</w:t>
      </w:r>
      <w:r w:rsidR="001224E7">
        <w:t>’</w:t>
      </w:r>
      <w:r w:rsidR="00463A1C" w:rsidRPr="007F2900">
        <w:t>assurance sont prises en compte dans le système de contrôle interne du conglomérat</w:t>
      </w:r>
      <w:r>
        <w:t> ;</w:t>
      </w:r>
    </w:p>
    <w:p w14:paraId="7C5CDD46" w14:textId="77777777" w:rsidR="00331B88" w:rsidRDefault="00BA07CA" w:rsidP="006D1AEB">
      <w:pPr>
        <w:pStyle w:val="SGACP-enumerationniveau1"/>
        <w:ind w:left="284" w:hanging="284"/>
      </w:pPr>
      <w:r>
        <w:t>p</w:t>
      </w:r>
      <w:r w:rsidR="00463A1C" w:rsidRPr="007F2900">
        <w:t>résentation des procédures anticipant l</w:t>
      </w:r>
      <w:r w:rsidR="001224E7">
        <w:t>’</w:t>
      </w:r>
      <w:r w:rsidR="00463A1C" w:rsidRPr="007F2900">
        <w:t>impact des stratégies de développement sur le profil des risques et les exigences complémentaires en matière de fonds propres</w:t>
      </w:r>
      <w:r>
        <w:t> ;</w:t>
      </w:r>
    </w:p>
    <w:p w14:paraId="11A1CE47" w14:textId="77777777" w:rsidR="002A53BE" w:rsidRDefault="00BA07CA">
      <w:pPr>
        <w:pStyle w:val="SGACP-enumerationniveau1"/>
        <w:keepNext/>
        <w:ind w:left="284" w:hanging="284"/>
      </w:pPr>
      <w:r>
        <w:t>p</w:t>
      </w:r>
      <w:r w:rsidR="00463A1C" w:rsidRPr="007F2900">
        <w:t>résentation des procédures permettant d</w:t>
      </w:r>
      <w:r w:rsidR="001224E7">
        <w:t>’</w:t>
      </w:r>
      <w:r w:rsidR="00463A1C" w:rsidRPr="007F2900">
        <w:t>identifier, de mesurer, de surveiller et de maîtriser les transactions entre les différentes entités du conglomérat ainsi que la concentration des risques</w:t>
      </w:r>
      <w:r>
        <w:t> ;</w:t>
      </w:r>
    </w:p>
    <w:p w14:paraId="07733969" w14:textId="74734AC4" w:rsidR="002A53BE" w:rsidRDefault="00BA07CA">
      <w:pPr>
        <w:pStyle w:val="SGACP-enumerationniveau1"/>
        <w:keepNext/>
        <w:ind w:left="284" w:hanging="284"/>
      </w:pPr>
      <w:r>
        <w:t>r</w:t>
      </w:r>
      <w:r w:rsidR="00463A1C" w:rsidRPr="007F2900">
        <w:t xml:space="preserve">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w:t>
      </w:r>
      <w:r>
        <w:t>nés sur les entités d</w:t>
      </w:r>
      <w:r w:rsidR="001224E7">
        <w:t>’</w:t>
      </w:r>
      <w:r>
        <w:t>assurance.</w:t>
      </w:r>
    </w:p>
    <w:p w14:paraId="6A6E2CC9" w14:textId="77777777" w:rsidR="002266BC" w:rsidRDefault="002266BC" w:rsidP="00463A1C">
      <w:bookmarkStart w:id="247" w:name="_Toc244576482"/>
      <w:bookmarkStart w:id="248" w:name="_Toc266799849"/>
    </w:p>
    <w:p w14:paraId="1FB90B57" w14:textId="77777777" w:rsidR="00463A1C" w:rsidRPr="007F2900" w:rsidRDefault="00D838C9" w:rsidP="002266BC">
      <w:pPr>
        <w:pStyle w:val="SGACP-sous-titrederubriquenivaeu2"/>
      </w:pPr>
      <w:r>
        <w:t>2</w:t>
      </w:r>
      <w:r w:rsidR="008F3AF1">
        <w:t>1</w:t>
      </w:r>
      <w:r w:rsidR="002266BC">
        <w:t>.2.</w:t>
      </w:r>
      <w:r w:rsidR="002266BC">
        <w:tab/>
      </w:r>
      <w:r w:rsidR="00463A1C" w:rsidRPr="007F2900">
        <w:t>Informations sur les risques liés aux entités du secteur des assurances</w:t>
      </w:r>
      <w:bookmarkEnd w:id="247"/>
      <w:bookmarkEnd w:id="248"/>
      <w:r w:rsidR="00BA07CA">
        <w:t> :</w:t>
      </w:r>
    </w:p>
    <w:p w14:paraId="18F4C6CC" w14:textId="77777777" w:rsidR="002A53BE" w:rsidRDefault="00BA07CA">
      <w:pPr>
        <w:pStyle w:val="SGACP-enumerationniveau1"/>
        <w:ind w:left="284" w:hanging="284"/>
      </w:pPr>
      <w:r>
        <w:t>d</w:t>
      </w:r>
      <w:r w:rsidR="00463A1C" w:rsidRPr="007F2900">
        <w:t>escription des risques portés par les entités du secteur des assurances et qui sont de même nature que les risques liés aux act</w:t>
      </w:r>
      <w:r>
        <w:t>ivités bancaires et financières ;</w:t>
      </w:r>
    </w:p>
    <w:p w14:paraId="017B50D0" w14:textId="77777777" w:rsidR="002A53BE" w:rsidRDefault="00BA07CA">
      <w:pPr>
        <w:pStyle w:val="SGACP-enumerationniveau1"/>
        <w:ind w:left="284" w:hanging="284"/>
      </w:pPr>
      <w:r>
        <w:t>d</w:t>
      </w:r>
      <w:r w:rsidR="00463A1C" w:rsidRPr="007F2900">
        <w:t>escription des risques spécifiques attachés aux activités d</w:t>
      </w:r>
      <w:r w:rsidR="001224E7">
        <w:t>’</w:t>
      </w:r>
      <w:r w:rsidR="00463A1C" w:rsidRPr="007F2900">
        <w:t xml:space="preserve">assurance </w:t>
      </w:r>
      <w:r w:rsidR="00463A1C" w:rsidRPr="00210431">
        <w:rPr>
          <w:i/>
        </w:rPr>
        <w:t>(il conviendra notamment de préciser quels risques sont gérés de façon centralisée, selon quelles procédures, ceux qui restent décentralisés)</w:t>
      </w:r>
      <w:r w:rsidR="00463A1C" w:rsidRPr="007F2900">
        <w:t>.</w:t>
      </w:r>
    </w:p>
    <w:p w14:paraId="72D7E0B9" w14:textId="77777777" w:rsidR="002266BC" w:rsidRDefault="002266BC" w:rsidP="00463A1C">
      <w:bookmarkStart w:id="249" w:name="_Toc244576483"/>
      <w:bookmarkStart w:id="250" w:name="_Toc266799850"/>
    </w:p>
    <w:p w14:paraId="5ED51D01" w14:textId="77777777" w:rsidR="00463A1C" w:rsidRPr="007F2900" w:rsidRDefault="00110755" w:rsidP="002266BC">
      <w:pPr>
        <w:pStyle w:val="SGACP-sous-titrederubriquenivaeu2"/>
      </w:pPr>
      <w:r>
        <w:t>2</w:t>
      </w:r>
      <w:r w:rsidR="008F3AF1">
        <w:t>1</w:t>
      </w:r>
      <w:r w:rsidR="002266BC">
        <w:t>.3.</w:t>
      </w:r>
      <w:r w:rsidR="002266BC">
        <w:tab/>
      </w:r>
      <w:r w:rsidR="00463A1C" w:rsidRPr="007F2900">
        <w:t>Informations sur les transactions intra-groupe</w:t>
      </w:r>
      <w:bookmarkEnd w:id="249"/>
      <w:bookmarkEnd w:id="250"/>
      <w:r w:rsidR="00BA07CA">
        <w:t> :</w:t>
      </w:r>
    </w:p>
    <w:p w14:paraId="30C6A839" w14:textId="77777777" w:rsidR="002A53BE" w:rsidRDefault="00BA07CA">
      <w:pPr>
        <w:pStyle w:val="SGACP-enumerationniveau1"/>
        <w:ind w:left="284" w:hanging="284"/>
      </w:pPr>
      <w:r>
        <w:t>i</w:t>
      </w:r>
      <w:r w:rsidR="00463A1C" w:rsidRPr="007F2900">
        <w:t>nformations relatives aux transactions intragroupe réalisées au cours de l</w:t>
      </w:r>
      <w:r w:rsidR="001224E7">
        <w:t>’</w:t>
      </w:r>
      <w:r w:rsidR="00463A1C" w:rsidRPr="007F2900">
        <w:t>année entre les entités du conglomérat ayant une activité bancaire ou de services d</w:t>
      </w:r>
      <w:r w:rsidR="001224E7">
        <w:t>’</w:t>
      </w:r>
      <w:r w:rsidR="00463A1C" w:rsidRPr="007F2900">
        <w:t>investissement d</w:t>
      </w:r>
      <w:r w:rsidR="001224E7">
        <w:t>’</w:t>
      </w:r>
      <w:r w:rsidR="00463A1C" w:rsidRPr="007F2900">
        <w:t>une part et celles ayant une activité d</w:t>
      </w:r>
      <w:r w:rsidR="001224E7">
        <w:t>’</w:t>
      </w:r>
      <w:r w:rsidR="00463A1C" w:rsidRPr="007F2900">
        <w:t>assurance d</w:t>
      </w:r>
      <w:r w:rsidR="001224E7">
        <w:t>’</w:t>
      </w:r>
      <w:r w:rsidR="00463A1C" w:rsidRPr="007F2900">
        <w:t>autre part dès lors qu</w:t>
      </w:r>
      <w:r w:rsidR="001224E7">
        <w:t>’</w:t>
      </w:r>
      <w:r w:rsidR="00463A1C" w:rsidRPr="007F2900">
        <w:t>elles font au moins l</w:t>
      </w:r>
      <w:r w:rsidR="001224E7">
        <w:t>’</w:t>
      </w:r>
      <w:r w:rsidR="00463A1C" w:rsidRPr="007F2900">
        <w:t>objet d</w:t>
      </w:r>
      <w:r w:rsidR="001224E7">
        <w:t>’</w:t>
      </w:r>
      <w:r w:rsidR="00463A1C" w:rsidRPr="007F2900">
        <w:t>une influence notable</w:t>
      </w:r>
      <w:r>
        <w:t> </w:t>
      </w:r>
      <w:r w:rsidR="00463A1C" w:rsidRPr="007F2900">
        <w:t>:</w:t>
      </w:r>
    </w:p>
    <w:p w14:paraId="50306C05" w14:textId="77777777" w:rsidR="002A53BE" w:rsidRDefault="00463A1C" w:rsidP="00460E3D">
      <w:pPr>
        <w:pStyle w:val="SGACP-enumerationniveau2"/>
        <w:numPr>
          <w:ilvl w:val="0"/>
          <w:numId w:val="31"/>
        </w:numPr>
        <w:ind w:left="567" w:hanging="283"/>
      </w:pPr>
      <w:r w:rsidRPr="007F2900">
        <w:t>description de celles-ci en soulignant le degré d</w:t>
      </w:r>
      <w:r w:rsidR="001224E7">
        <w:t>’</w:t>
      </w:r>
      <w:r w:rsidRPr="007F2900">
        <w:t xml:space="preserve">interdépendance des activités au sein du conglomérat, </w:t>
      </w:r>
    </w:p>
    <w:p w14:paraId="6CACE96F" w14:textId="77777777" w:rsidR="002A53BE" w:rsidRDefault="00463A1C" w:rsidP="00460E3D">
      <w:pPr>
        <w:pStyle w:val="SGACP-enumerationniveau2"/>
        <w:numPr>
          <w:ilvl w:val="0"/>
          <w:numId w:val="31"/>
        </w:numPr>
        <w:ind w:left="567" w:hanging="283"/>
      </w:pPr>
      <w:r w:rsidRPr="007F2900">
        <w:t>pour chaque type de transaction, le sens dans lequel elle est réalisée dans la majorité des cas (d</w:t>
      </w:r>
      <w:r w:rsidR="001224E7">
        <w:t>’</w:t>
      </w:r>
      <w:r w:rsidRPr="007F2900">
        <w:t>une entité ayant une activité bancaire ou de services d</w:t>
      </w:r>
      <w:r w:rsidR="001224E7">
        <w:t>’</w:t>
      </w:r>
      <w:r w:rsidRPr="007F2900">
        <w:t>investissement vers une entité ayant une activité d</w:t>
      </w:r>
      <w:r w:rsidR="001224E7">
        <w:t>’</w:t>
      </w:r>
      <w:r w:rsidRPr="007F2900">
        <w:t>assurance ou l</w:t>
      </w:r>
      <w:r w:rsidR="001224E7">
        <w:t>’</w:t>
      </w:r>
      <w:r w:rsidRPr="007F2900">
        <w:t>inverse), et les objectifs poursuivis,</w:t>
      </w:r>
    </w:p>
    <w:p w14:paraId="40843D90" w14:textId="77777777" w:rsidR="002A53BE" w:rsidRDefault="00463A1C" w:rsidP="00460E3D">
      <w:pPr>
        <w:pStyle w:val="SGACP-enumerationniveau2"/>
        <w:numPr>
          <w:ilvl w:val="0"/>
          <w:numId w:val="31"/>
        </w:numPr>
        <w:ind w:left="567" w:hanging="283"/>
      </w:pPr>
      <w:r w:rsidRPr="007F2900">
        <w:t>modalités de tarificat</w:t>
      </w:r>
      <w:r w:rsidR="00BA07CA">
        <w:t>ion interne de ces transactions ;</w:t>
      </w:r>
    </w:p>
    <w:p w14:paraId="2C3A8911" w14:textId="77777777" w:rsidR="002A53BE" w:rsidRDefault="00BA07CA">
      <w:pPr>
        <w:pStyle w:val="SGACP-enumerationniveau1"/>
        <w:ind w:left="284" w:hanging="284"/>
      </w:pPr>
      <w:r>
        <w:t>i</w:t>
      </w:r>
      <w:r w:rsidR="00463A1C" w:rsidRPr="007F2900">
        <w:t>nformation quantitative sur toute transaction intragroupe dont le montant excède 5 % de la somme des exigences de solvabilité applicables aux différents secteurs, calculée sur la base de l</w:t>
      </w:r>
      <w:r w:rsidR="001224E7">
        <w:t>’</w:t>
      </w:r>
      <w:r w:rsidR="00463A1C" w:rsidRPr="007F2900">
        <w:t>arrêté annuel précédent</w:t>
      </w:r>
      <w:r>
        <w:t> </w:t>
      </w:r>
      <w:r w:rsidR="00463A1C" w:rsidRPr="007F2900">
        <w:t>:</w:t>
      </w:r>
    </w:p>
    <w:p w14:paraId="5CA91D27" w14:textId="77777777" w:rsidR="002A53BE" w:rsidRDefault="00463A1C" w:rsidP="00460E3D">
      <w:pPr>
        <w:pStyle w:val="SGACP-enumerationniveau2"/>
        <w:numPr>
          <w:ilvl w:val="0"/>
          <w:numId w:val="31"/>
        </w:numPr>
        <w:ind w:left="567" w:hanging="283"/>
      </w:pPr>
      <w:r w:rsidRPr="007F2900">
        <w:t>dès lors qu</w:t>
      </w:r>
      <w:r w:rsidR="001224E7">
        <w:t>’</w:t>
      </w:r>
      <w:r w:rsidRPr="007F2900">
        <w:t>ils sont supérieurs au seuil : le montant nominal cumulé des transactions donnant lieu à des versements de flux financiers hors opérations de marché (prêts, garanties, ventes d</w:t>
      </w:r>
      <w:r w:rsidR="001224E7">
        <w:t>’</w:t>
      </w:r>
      <w:r w:rsidRPr="007F2900">
        <w:t>actifs…) le montant global des commissions versées, et pour les opérations sur instruments financiers à terme, l</w:t>
      </w:r>
      <w:r w:rsidR="001224E7">
        <w:t>’</w:t>
      </w:r>
      <w:r w:rsidRPr="007F2900">
        <w:t xml:space="preserve">équivalent risque de crédit global (ou à défaut le montant notionnel </w:t>
      </w:r>
      <w:r w:rsidR="00BA07CA">
        <w:t>global),</w:t>
      </w:r>
    </w:p>
    <w:p w14:paraId="5ED0420C" w14:textId="77777777" w:rsidR="002A53BE" w:rsidRDefault="00463A1C" w:rsidP="00460E3D">
      <w:pPr>
        <w:pStyle w:val="SGACP-enumerationniveau2"/>
        <w:numPr>
          <w:ilvl w:val="0"/>
          <w:numId w:val="31"/>
        </w:numPr>
        <w:ind w:left="567" w:hanging="283"/>
      </w:pPr>
      <w:r w:rsidRPr="007F2900">
        <w:t>pour chaque transaction, lorsqu</w:t>
      </w:r>
      <w:r w:rsidR="001224E7">
        <w:t>’</w:t>
      </w:r>
      <w:r w:rsidRPr="007F2900">
        <w:t>il est supérieur au seuil, le montant nominal de la transaction et la date de conclusion de celle-ci. Les conglomérats financiers donnent, de surcroît, une description de la transaction, en précisant l</w:t>
      </w:r>
      <w:r w:rsidR="001224E7">
        <w:t>’</w:t>
      </w:r>
      <w:r w:rsidRPr="007F2900">
        <w:t>identité des contreparties, le sens dans lequel elle est réalisée et les objectifs poursuivis, selon le modèle ci-après :</w:t>
      </w:r>
    </w:p>
    <w:p w14:paraId="7682C13D" w14:textId="77777777" w:rsidR="00463A1C" w:rsidRPr="007F2900" w:rsidRDefault="00463A1C" w:rsidP="00463A1C"/>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67"/>
        <w:gridCol w:w="3685"/>
        <w:gridCol w:w="2828"/>
      </w:tblGrid>
      <w:tr w:rsidR="00463A1C" w:rsidRPr="002266BC" w14:paraId="130F4A2A" w14:textId="77777777" w:rsidTr="002266BC">
        <w:trPr>
          <w:trHeight w:val="1020"/>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13C3D2B"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Type de transaction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F0365C6"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Date de la conclusion de l</w:t>
            </w:r>
            <w:r w:rsidR="001224E7">
              <w:rPr>
                <w:rFonts w:ascii="Arial" w:hAnsi="Arial" w:cs="Arial"/>
                <w:sz w:val="18"/>
                <w:szCs w:val="18"/>
              </w:rPr>
              <w:t>’</w:t>
            </w:r>
            <w:r w:rsidRPr="002266BC">
              <w:rPr>
                <w:rFonts w:ascii="Arial" w:hAnsi="Arial" w:cs="Arial"/>
                <w:sz w:val="18"/>
                <w:szCs w:val="18"/>
              </w:rPr>
              <w:t>opération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0643DE3"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Montant nominal pour les éléments du bilan, le montant notionnel et l</w:t>
            </w:r>
            <w:r w:rsidR="001224E7">
              <w:rPr>
                <w:rFonts w:ascii="Arial" w:hAnsi="Arial" w:cs="Arial"/>
                <w:sz w:val="18"/>
                <w:szCs w:val="18"/>
              </w:rPr>
              <w:t>’</w:t>
            </w:r>
            <w:r w:rsidRPr="002266BC">
              <w:rPr>
                <w:rFonts w:ascii="Arial" w:hAnsi="Arial" w:cs="Arial"/>
                <w:sz w:val="18"/>
                <w:szCs w:val="18"/>
              </w:rPr>
              <w:t>équivalent risque de crédit pour les instruments financiers à terme.</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0A708F4"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Description de l</w:t>
            </w:r>
            <w:r w:rsidR="001224E7">
              <w:rPr>
                <w:rFonts w:ascii="Arial" w:hAnsi="Arial" w:cs="Arial"/>
                <w:sz w:val="18"/>
                <w:szCs w:val="18"/>
              </w:rPr>
              <w:t>’</w:t>
            </w:r>
            <w:r w:rsidRPr="002266BC">
              <w:rPr>
                <w:rFonts w:ascii="Arial" w:hAnsi="Arial" w:cs="Arial"/>
                <w:sz w:val="18"/>
                <w:szCs w:val="18"/>
              </w:rPr>
              <w:t>opération (contreparties, sens, objectifs poursuivis …)</w:t>
            </w:r>
          </w:p>
        </w:tc>
      </w:tr>
      <w:tr w:rsidR="00612E3E" w:rsidRPr="002266BC" w14:paraId="2960A243" w14:textId="77777777" w:rsidTr="00612E3E">
        <w:trPr>
          <w:trHeight w:val="54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C9CF8B6" w14:textId="77777777" w:rsidR="00612E3E" w:rsidRPr="002266BC" w:rsidRDefault="00612E3E" w:rsidP="002266BC">
            <w:pPr>
              <w:jc w:val="cente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CFE3496" w14:textId="77777777" w:rsidR="00612E3E" w:rsidRPr="002266BC" w:rsidRDefault="00612E3E" w:rsidP="002266BC">
            <w:pPr>
              <w:jc w:val="center"/>
              <w:rPr>
                <w:rFonts w:ascii="Arial" w:hAnsi="Arial" w:cs="Arial"/>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F34297E" w14:textId="77777777" w:rsidR="00612E3E" w:rsidRPr="002266BC" w:rsidRDefault="00612E3E" w:rsidP="002266BC">
            <w:pPr>
              <w:jc w:val="center"/>
              <w:rPr>
                <w:rFonts w:ascii="Arial" w:hAnsi="Arial" w:cs="Arial"/>
                <w:sz w:val="18"/>
                <w:szCs w:val="18"/>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F28C029" w14:textId="77777777" w:rsidR="00612E3E" w:rsidRPr="002266BC" w:rsidRDefault="00612E3E" w:rsidP="002266BC">
            <w:pPr>
              <w:jc w:val="center"/>
              <w:rPr>
                <w:rFonts w:ascii="Arial" w:hAnsi="Arial" w:cs="Arial"/>
                <w:sz w:val="18"/>
                <w:szCs w:val="18"/>
              </w:rPr>
            </w:pPr>
          </w:p>
        </w:tc>
      </w:tr>
    </w:tbl>
    <w:p w14:paraId="7B3DB51C" w14:textId="77777777" w:rsidR="00EA6D5F" w:rsidRDefault="00EA6D5F">
      <w:pPr>
        <w:jc w:val="left"/>
        <w:rPr>
          <w:rFonts w:ascii="Arial" w:hAnsi="Arial"/>
          <w:b/>
          <w:bCs/>
          <w:color w:val="003B8E"/>
        </w:rPr>
      </w:pPr>
      <w:r>
        <w:rPr>
          <w:bCs/>
          <w:color w:val="003B8E"/>
        </w:rPr>
        <w:br w:type="page"/>
      </w:r>
    </w:p>
    <w:p w14:paraId="00505C58" w14:textId="25F3542B" w:rsidR="001839DC" w:rsidRDefault="00356A20" w:rsidP="001839DC">
      <w:pPr>
        <w:pStyle w:val="StyleSGACP-titrederubriqueniveau1CouleurpersonnaliseRVB"/>
        <w:keepNext/>
        <w:keepLines/>
        <w:ind w:left="426" w:hanging="426"/>
        <w:jc w:val="both"/>
      </w:pPr>
      <w:hyperlink w:anchor="_Toc244938705" w:history="1">
        <w:bookmarkStart w:id="251" w:name="_Toc266799851"/>
        <w:bookmarkStart w:id="252" w:name="_Toc266799871"/>
        <w:bookmarkStart w:id="253" w:name="_Toc106958082"/>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251"/>
        <w:bookmarkEnd w:id="252"/>
      </w:hyperlink>
      <w:r w:rsidR="001839DC" w:rsidRPr="001839DC">
        <w:t xml:space="preserve"> </w:t>
      </w:r>
      <w:r w:rsidR="001839DC">
        <w:t>et de l’accès aux comptes de paiement et à leurs informations</w:t>
      </w:r>
      <w:bookmarkEnd w:id="253"/>
    </w:p>
    <w:p w14:paraId="0959EC09" w14:textId="77777777" w:rsidR="002A53BE" w:rsidRDefault="002A53BE" w:rsidP="00D1728C">
      <w:pPr>
        <w:pStyle w:val="StyleSGACP-titrederubriqueniveau1CouleurpersonnaliseRVB"/>
        <w:keepNext/>
        <w:keepLines/>
        <w:numPr>
          <w:ilvl w:val="0"/>
          <w:numId w:val="0"/>
        </w:numPr>
        <w:ind w:left="426"/>
        <w:jc w:val="both"/>
      </w:pPr>
    </w:p>
    <w:p w14:paraId="59C0C84B" w14:textId="77777777" w:rsidR="009F110B" w:rsidRDefault="009F110B" w:rsidP="002266BC">
      <w:pPr>
        <w:pStyle w:val="SGACP-textecourant"/>
        <w:ind w:left="284"/>
        <w:rPr>
          <w:i/>
          <w:iCs/>
        </w:rPr>
      </w:pPr>
    </w:p>
    <w:p w14:paraId="53D0D9D5" w14:textId="77777777" w:rsidR="005A28EA" w:rsidRPr="00460E3D"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14:paraId="0E41B280" w14:textId="77777777" w:rsidR="005A28EA" w:rsidRPr="00072003" w:rsidRDefault="005A28EA" w:rsidP="005A28EA">
      <w:pPr>
        <w:spacing w:after="200" w:line="276" w:lineRule="auto"/>
        <w:jc w:val="left"/>
        <w:rPr>
          <w:rFonts w:eastAsia="Calibri"/>
          <w:b/>
          <w:sz w:val="20"/>
          <w:lang w:eastAsia="en-US"/>
        </w:rPr>
      </w:pPr>
      <w:r w:rsidRPr="00072003">
        <w:rPr>
          <w:rFonts w:eastAsia="Calibri"/>
          <w:b/>
          <w:sz w:val="20"/>
          <w:lang w:eastAsia="en-US"/>
        </w:rPr>
        <w:t>Introduction</w:t>
      </w:r>
    </w:p>
    <w:p w14:paraId="09697E1E" w14:textId="27BF96BC" w:rsidR="005A28EA" w:rsidRPr="00072003" w:rsidRDefault="005A28EA" w:rsidP="00D1728C">
      <w:pPr>
        <w:numPr>
          <w:ilvl w:val="0"/>
          <w:numId w:val="68"/>
        </w:numPr>
        <w:spacing w:after="200" w:line="276" w:lineRule="auto"/>
        <w:ind w:left="567" w:hanging="567"/>
        <w:contextualSpacing/>
        <w:rPr>
          <w:rFonts w:eastAsia="Calibri"/>
          <w:b/>
          <w:sz w:val="20"/>
          <w:lang w:eastAsia="en-US"/>
        </w:rPr>
      </w:pPr>
      <w:r w:rsidRPr="00072003">
        <w:rPr>
          <w:rFonts w:eastAsia="Calibri"/>
          <w:b/>
          <w:sz w:val="20"/>
          <w:lang w:eastAsia="en-US"/>
        </w:rPr>
        <w:t>Présentation des moyens</w:t>
      </w:r>
      <w:r w:rsidR="009F5C2E">
        <w:rPr>
          <w:rFonts w:eastAsia="Calibri"/>
          <w:b/>
          <w:sz w:val="20"/>
          <w:lang w:eastAsia="en-US"/>
        </w:rPr>
        <w:t xml:space="preserve"> et services</w:t>
      </w:r>
      <w:r w:rsidRPr="00072003">
        <w:rPr>
          <w:rFonts w:eastAsia="Calibri"/>
          <w:b/>
          <w:sz w:val="20"/>
          <w:lang w:eastAsia="en-US"/>
        </w:rPr>
        <w:t xml:space="preserve"> de paiement et des risques de fraude </w:t>
      </w:r>
      <w:r w:rsidR="009F5C2E">
        <w:rPr>
          <w:rFonts w:eastAsia="Calibri"/>
          <w:b/>
          <w:sz w:val="20"/>
          <w:lang w:eastAsia="en-US"/>
        </w:rPr>
        <w:t>encourus par l’établissement</w:t>
      </w:r>
    </w:p>
    <w:p w14:paraId="2F17FF6B" w14:textId="08239E6F"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Carte et assimilée</w:t>
      </w:r>
    </w:p>
    <w:p w14:paraId="46AE8064"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 xml:space="preserve">1.1. Présentation de l’offre </w:t>
      </w:r>
    </w:p>
    <w:p w14:paraId="2F8051F9" w14:textId="3D7A9540"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 xml:space="preserve">1.2. Organisation opérationnelle de l’activité </w:t>
      </w:r>
    </w:p>
    <w:p w14:paraId="68D58888"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1.3. Grille d’analyse des risques et principaux incidents de fraude</w:t>
      </w:r>
    </w:p>
    <w:p w14:paraId="62E3C9C2" w14:textId="77777777" w:rsidR="005A28EA" w:rsidRPr="00072003" w:rsidRDefault="005A28EA" w:rsidP="005A28EA">
      <w:pPr>
        <w:spacing w:after="200"/>
        <w:ind w:left="641"/>
        <w:contextualSpacing/>
        <w:rPr>
          <w:rFonts w:eastAsia="Calibri"/>
          <w:sz w:val="20"/>
          <w:lang w:eastAsia="en-US"/>
        </w:rPr>
      </w:pPr>
    </w:p>
    <w:p w14:paraId="57BFF715" w14:textId="4FD67BA2"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 xml:space="preserve">Virement </w:t>
      </w:r>
    </w:p>
    <w:p w14:paraId="7A76D823"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2.1. Présentation de l’offre</w:t>
      </w:r>
    </w:p>
    <w:p w14:paraId="3C4EAC0E"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2.2. Organisation opérationnelle de l’activité virement</w:t>
      </w:r>
    </w:p>
    <w:p w14:paraId="312B59F2"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2.3. Grille d’analyse des risques et principaux incidents de fraude</w:t>
      </w:r>
    </w:p>
    <w:p w14:paraId="67266FFB" w14:textId="77777777" w:rsidR="005A28EA" w:rsidRPr="00072003" w:rsidRDefault="005A28EA" w:rsidP="005A28EA">
      <w:pPr>
        <w:spacing w:after="200"/>
        <w:ind w:left="641"/>
        <w:contextualSpacing/>
        <w:rPr>
          <w:rFonts w:eastAsia="Calibri"/>
          <w:sz w:val="20"/>
          <w:lang w:eastAsia="en-US"/>
        </w:rPr>
      </w:pPr>
    </w:p>
    <w:p w14:paraId="48A2CC92" w14:textId="77777777" w:rsidR="005A28EA" w:rsidRPr="00072003" w:rsidRDefault="005A28EA" w:rsidP="005A28EA">
      <w:pPr>
        <w:numPr>
          <w:ilvl w:val="0"/>
          <w:numId w:val="69"/>
        </w:numPr>
        <w:spacing w:after="200" w:line="276" w:lineRule="auto"/>
        <w:ind w:left="641" w:hanging="357"/>
        <w:contextualSpacing/>
        <w:jc w:val="left"/>
        <w:rPr>
          <w:rFonts w:eastAsia="Calibri"/>
          <w:sz w:val="20"/>
          <w:lang w:eastAsia="en-US"/>
        </w:rPr>
      </w:pPr>
      <w:r w:rsidRPr="00072003">
        <w:rPr>
          <w:rFonts w:eastAsia="Calibri"/>
          <w:sz w:val="20"/>
          <w:lang w:eastAsia="en-US"/>
        </w:rPr>
        <w:t>Prélèvement</w:t>
      </w:r>
    </w:p>
    <w:p w14:paraId="288ED575"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3.1. Présentation de l’offre</w:t>
      </w:r>
    </w:p>
    <w:p w14:paraId="0A9FA9DF"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3.2. Organisation opérationnelle de l’activité prélèvement</w:t>
      </w:r>
    </w:p>
    <w:p w14:paraId="2A44849D"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3.3. Grille d’analyse des risques et principaux incidents de fraude</w:t>
      </w:r>
    </w:p>
    <w:p w14:paraId="21A04225" w14:textId="77777777" w:rsidR="005A28EA" w:rsidRPr="00072003" w:rsidRDefault="005A28EA" w:rsidP="005A28EA">
      <w:pPr>
        <w:spacing w:after="200" w:line="276" w:lineRule="auto"/>
        <w:ind w:left="641"/>
        <w:contextualSpacing/>
        <w:rPr>
          <w:rFonts w:eastAsia="Calibri"/>
          <w:sz w:val="20"/>
          <w:lang w:eastAsia="en-US"/>
        </w:rPr>
      </w:pPr>
    </w:p>
    <w:p w14:paraId="1C164761"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Lettre de change (LCR) et billet à ordre relevé (BOR)</w:t>
      </w:r>
    </w:p>
    <w:p w14:paraId="1DBD2816"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4.1. Présentation de l’offre</w:t>
      </w:r>
    </w:p>
    <w:p w14:paraId="7CB79148"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4.2. Organisation opérationnelle de l’activité LCR et BOR</w:t>
      </w:r>
    </w:p>
    <w:p w14:paraId="294D6753"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4.3. Grille d’analyse des risques et principaux incidents de fraude</w:t>
      </w:r>
    </w:p>
    <w:p w14:paraId="1981B1D9" w14:textId="77777777" w:rsidR="005A28EA" w:rsidRPr="00072003" w:rsidRDefault="005A28EA" w:rsidP="005A28EA">
      <w:pPr>
        <w:spacing w:after="200" w:line="276" w:lineRule="auto"/>
        <w:ind w:left="720"/>
        <w:contextualSpacing/>
        <w:jc w:val="left"/>
        <w:rPr>
          <w:rFonts w:eastAsia="Calibri"/>
          <w:sz w:val="20"/>
          <w:lang w:eastAsia="en-US"/>
        </w:rPr>
      </w:pPr>
    </w:p>
    <w:p w14:paraId="1F908B61"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 xml:space="preserve">Chèque </w:t>
      </w:r>
    </w:p>
    <w:p w14:paraId="073FCEE6"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5.1. Présentation de l’offre</w:t>
      </w:r>
    </w:p>
    <w:p w14:paraId="35F10C0C"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5.2. Organisation opérationnelle de l’activité chèque</w:t>
      </w:r>
    </w:p>
    <w:p w14:paraId="7B67EE90" w14:textId="720E6B8E"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 xml:space="preserve">5.3. </w:t>
      </w:r>
      <w:r w:rsidR="009F5C2E">
        <w:rPr>
          <w:rFonts w:eastAsia="Calibri"/>
          <w:sz w:val="20"/>
          <w:lang w:eastAsia="en-US"/>
        </w:rPr>
        <w:t xml:space="preserve">Évolution de la </w:t>
      </w:r>
      <w:r w:rsidRPr="00072003">
        <w:rPr>
          <w:rFonts w:eastAsia="Calibri"/>
          <w:sz w:val="20"/>
          <w:lang w:eastAsia="en-US"/>
        </w:rPr>
        <w:t>fraude</w:t>
      </w:r>
      <w:r w:rsidR="009F5C2E">
        <w:rPr>
          <w:rFonts w:eastAsia="Calibri"/>
          <w:sz w:val="20"/>
          <w:lang w:eastAsia="en-US"/>
        </w:rPr>
        <w:t xml:space="preserve"> au cours de la période sous revue</w:t>
      </w:r>
    </w:p>
    <w:p w14:paraId="5D381215" w14:textId="77777777" w:rsidR="005A28EA" w:rsidRPr="00072003" w:rsidRDefault="005A28EA" w:rsidP="005A28EA">
      <w:pPr>
        <w:spacing w:after="200"/>
        <w:ind w:left="644"/>
        <w:contextualSpacing/>
        <w:rPr>
          <w:rFonts w:eastAsia="Calibri"/>
          <w:sz w:val="20"/>
          <w:lang w:eastAsia="en-US"/>
        </w:rPr>
      </w:pPr>
    </w:p>
    <w:p w14:paraId="4B1A8E90"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Monnaie électronique</w:t>
      </w:r>
    </w:p>
    <w:p w14:paraId="54DC0978"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6.1. Présentation de l’offre</w:t>
      </w:r>
    </w:p>
    <w:p w14:paraId="186434A9"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6.2. Organisation opérationnelle de l’activité monnaie électronique</w:t>
      </w:r>
    </w:p>
    <w:p w14:paraId="5744F8BB" w14:textId="3A6A5D98"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 xml:space="preserve">6.3. </w:t>
      </w:r>
      <w:r w:rsidR="009F5C2E">
        <w:rPr>
          <w:rFonts w:eastAsia="Calibri"/>
          <w:sz w:val="20"/>
          <w:lang w:eastAsia="en-US"/>
        </w:rPr>
        <w:t xml:space="preserve">Description </w:t>
      </w:r>
      <w:r w:rsidRPr="00072003">
        <w:rPr>
          <w:rFonts w:eastAsia="Calibri"/>
          <w:sz w:val="20"/>
          <w:lang w:eastAsia="en-US"/>
        </w:rPr>
        <w:t xml:space="preserve">des principaux incidents de fraude </w:t>
      </w:r>
    </w:p>
    <w:p w14:paraId="0C0706C3" w14:textId="77777777" w:rsidR="009B66E4" w:rsidRPr="00072003" w:rsidRDefault="009B66E4" w:rsidP="00D63D99">
      <w:pPr>
        <w:pStyle w:val="Paragraphedeliste"/>
        <w:numPr>
          <w:ilvl w:val="0"/>
          <w:numId w:val="69"/>
        </w:numPr>
        <w:spacing w:after="200"/>
        <w:rPr>
          <w:rFonts w:eastAsia="Calibri"/>
          <w:sz w:val="20"/>
          <w:lang w:eastAsia="en-US"/>
        </w:rPr>
      </w:pPr>
      <w:r w:rsidRPr="00072003">
        <w:rPr>
          <w:rFonts w:eastAsia="Calibri"/>
          <w:sz w:val="20"/>
          <w:lang w:eastAsia="en-US"/>
        </w:rPr>
        <w:t>Service</w:t>
      </w:r>
      <w:r w:rsidR="001C5B1C" w:rsidRPr="00072003">
        <w:rPr>
          <w:rFonts w:eastAsia="Calibri"/>
          <w:sz w:val="20"/>
          <w:lang w:eastAsia="en-US"/>
        </w:rPr>
        <w:t>s</w:t>
      </w:r>
      <w:r w:rsidRPr="00072003">
        <w:rPr>
          <w:rFonts w:eastAsia="Calibri"/>
          <w:sz w:val="20"/>
          <w:lang w:eastAsia="en-US"/>
        </w:rPr>
        <w:t xml:space="preserve"> d’information sur les comptes</w:t>
      </w:r>
      <w:r w:rsidR="001C5B1C" w:rsidRPr="00072003">
        <w:rPr>
          <w:rFonts w:eastAsia="Calibri"/>
          <w:sz w:val="20"/>
          <w:lang w:eastAsia="en-US"/>
        </w:rPr>
        <w:t xml:space="preserve"> et d’initiation de paiement</w:t>
      </w:r>
    </w:p>
    <w:p w14:paraId="049B1EBE"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 xml:space="preserve">7.1. Présentation </w:t>
      </w:r>
      <w:r w:rsidR="001C5B1C" w:rsidRPr="00072003">
        <w:rPr>
          <w:rFonts w:eastAsia="Calibri"/>
          <w:sz w:val="20"/>
          <w:lang w:eastAsia="en-US"/>
        </w:rPr>
        <w:t>de l’offre</w:t>
      </w:r>
    </w:p>
    <w:p w14:paraId="4DF6FF78"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 xml:space="preserve">7.2. Organisation opérationnelle </w:t>
      </w:r>
      <w:r w:rsidR="001C5B1C" w:rsidRPr="00072003">
        <w:rPr>
          <w:rFonts w:eastAsia="Calibri"/>
          <w:sz w:val="20"/>
          <w:lang w:eastAsia="en-US"/>
        </w:rPr>
        <w:t>de l’offre</w:t>
      </w:r>
    </w:p>
    <w:p w14:paraId="17B36B06"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7.3. Présentation des mesures de protection des données de</w:t>
      </w:r>
      <w:r w:rsidR="00D47F13" w:rsidRPr="00072003">
        <w:rPr>
          <w:rFonts w:eastAsia="Calibri"/>
          <w:sz w:val="20"/>
          <w:lang w:eastAsia="en-US"/>
        </w:rPr>
        <w:t xml:space="preserve"> paiement sensibles</w:t>
      </w:r>
    </w:p>
    <w:p w14:paraId="591D8325" w14:textId="6A7D8A43" w:rsidR="005A28EA" w:rsidRPr="00072003" w:rsidRDefault="005A28EA" w:rsidP="00460E3D">
      <w:pPr>
        <w:numPr>
          <w:ilvl w:val="0"/>
          <w:numId w:val="68"/>
        </w:numPr>
        <w:tabs>
          <w:tab w:val="left" w:pos="567"/>
        </w:tabs>
        <w:spacing w:after="200" w:line="276" w:lineRule="auto"/>
        <w:ind w:left="567" w:hanging="567"/>
        <w:contextualSpacing/>
        <w:jc w:val="left"/>
        <w:rPr>
          <w:rFonts w:eastAsia="Calibri"/>
          <w:b/>
          <w:sz w:val="20"/>
          <w:lang w:eastAsia="en-US"/>
        </w:rPr>
      </w:pPr>
      <w:r w:rsidRPr="00072003">
        <w:rPr>
          <w:rFonts w:eastAsia="Calibri"/>
          <w:b/>
          <w:sz w:val="20"/>
          <w:lang w:eastAsia="en-US"/>
        </w:rPr>
        <w:t>Présentation des résultats du contrôle périodique sur le périmètre des moyens de paiement scripturaux</w:t>
      </w:r>
      <w:r w:rsidR="009F5C2E">
        <w:rPr>
          <w:rFonts w:eastAsia="Calibri"/>
          <w:b/>
          <w:sz w:val="20"/>
          <w:lang w:eastAsia="en-US"/>
        </w:rPr>
        <w:t xml:space="preserve"> et de l’accès aux comptes</w:t>
      </w:r>
    </w:p>
    <w:p w14:paraId="5C3D0499" w14:textId="77777777" w:rsidR="005A28EA" w:rsidRPr="00072003" w:rsidRDefault="005A28EA" w:rsidP="005A28EA">
      <w:pPr>
        <w:spacing w:after="200" w:line="276" w:lineRule="auto"/>
        <w:ind w:left="284"/>
        <w:contextualSpacing/>
        <w:rPr>
          <w:rFonts w:eastAsia="Calibri"/>
          <w:b/>
          <w:sz w:val="20"/>
          <w:lang w:eastAsia="en-US"/>
        </w:rPr>
      </w:pPr>
    </w:p>
    <w:p w14:paraId="2BE63979" w14:textId="46F2B970" w:rsidR="005A28EA" w:rsidRPr="00072003" w:rsidRDefault="005A28EA" w:rsidP="00D63D99">
      <w:pPr>
        <w:numPr>
          <w:ilvl w:val="0"/>
          <w:numId w:val="68"/>
        </w:numPr>
        <w:tabs>
          <w:tab w:val="left" w:pos="567"/>
        </w:tabs>
        <w:spacing w:line="276" w:lineRule="auto"/>
        <w:ind w:left="567" w:hanging="567"/>
        <w:contextualSpacing/>
        <w:jc w:val="left"/>
        <w:rPr>
          <w:rFonts w:eastAsia="Calibri"/>
          <w:b/>
          <w:sz w:val="20"/>
          <w:lang w:eastAsia="en-US"/>
        </w:rPr>
      </w:pPr>
      <w:r w:rsidRPr="00072003">
        <w:rPr>
          <w:rFonts w:eastAsia="Calibri"/>
          <w:b/>
          <w:sz w:val="20"/>
          <w:lang w:eastAsia="en-US"/>
        </w:rPr>
        <w:t>Évaluation de la conformité aux recommandations d’organismes externes en matière de sécurité des moyens de paiement</w:t>
      </w:r>
      <w:r w:rsidR="009F5C2E">
        <w:rPr>
          <w:rFonts w:eastAsia="Calibri"/>
          <w:b/>
          <w:sz w:val="20"/>
          <w:lang w:eastAsia="en-US"/>
        </w:rPr>
        <w:t xml:space="preserve"> et de sécurité de l’accès aux comptes</w:t>
      </w:r>
    </w:p>
    <w:p w14:paraId="1CEAFFA6" w14:textId="77777777" w:rsidR="00072003" w:rsidRPr="00072003" w:rsidRDefault="00072003" w:rsidP="00A85C3C">
      <w:pPr>
        <w:pStyle w:val="Paragraphedeliste"/>
        <w:rPr>
          <w:rFonts w:eastAsia="Calibri"/>
          <w:b/>
          <w:sz w:val="20"/>
          <w:lang w:eastAsia="en-US"/>
        </w:rPr>
      </w:pPr>
    </w:p>
    <w:p w14:paraId="75F86E4D" w14:textId="1FF9CBCF" w:rsidR="00072003" w:rsidRPr="00072003" w:rsidRDefault="00072003" w:rsidP="00D63D99">
      <w:pPr>
        <w:numPr>
          <w:ilvl w:val="0"/>
          <w:numId w:val="68"/>
        </w:numPr>
        <w:tabs>
          <w:tab w:val="left" w:pos="567"/>
        </w:tabs>
        <w:spacing w:line="276" w:lineRule="auto"/>
        <w:ind w:left="567" w:hanging="567"/>
        <w:contextualSpacing/>
        <w:jc w:val="left"/>
        <w:rPr>
          <w:rFonts w:eastAsia="Calibri"/>
          <w:b/>
          <w:sz w:val="20"/>
          <w:lang w:eastAsia="en-US"/>
        </w:rPr>
      </w:pPr>
      <w:r w:rsidRPr="00072003">
        <w:rPr>
          <w:rFonts w:eastAsia="Calibri"/>
          <w:b/>
          <w:sz w:val="20"/>
          <w:lang w:eastAsia="en-US"/>
        </w:rPr>
        <w:t>Rapport d’audit sur la mise en œuvre des mesures de sécurité inscrites dans les RTS (</w:t>
      </w:r>
      <w:r w:rsidRPr="00072003">
        <w:rPr>
          <w:rFonts w:eastAsia="Calibri"/>
          <w:b/>
          <w:i/>
          <w:sz w:val="20"/>
          <w:lang w:eastAsia="en-US"/>
        </w:rPr>
        <w:t>Regulatory technical standard</w:t>
      </w:r>
      <w:r w:rsidRPr="00072003">
        <w:rPr>
          <w:rFonts w:eastAsia="Calibri"/>
          <w:b/>
          <w:sz w:val="20"/>
          <w:lang w:eastAsia="en-US"/>
        </w:rPr>
        <w:t>)</w:t>
      </w:r>
    </w:p>
    <w:p w14:paraId="3A37B345" w14:textId="77777777" w:rsidR="009B66E4" w:rsidRPr="00072003" w:rsidRDefault="009B66E4" w:rsidP="00D63D99">
      <w:pPr>
        <w:pStyle w:val="Paragraphedeliste"/>
        <w:rPr>
          <w:rFonts w:eastAsia="Calibri"/>
          <w:b/>
          <w:sz w:val="20"/>
          <w:lang w:eastAsia="en-US"/>
        </w:rPr>
      </w:pPr>
    </w:p>
    <w:p w14:paraId="05E52F84" w14:textId="77777777" w:rsidR="005A28EA" w:rsidRPr="00072003" w:rsidRDefault="005A28EA" w:rsidP="00460E3D">
      <w:pPr>
        <w:numPr>
          <w:ilvl w:val="0"/>
          <w:numId w:val="68"/>
        </w:numPr>
        <w:tabs>
          <w:tab w:val="left" w:pos="567"/>
        </w:tabs>
        <w:spacing w:after="200" w:line="276" w:lineRule="auto"/>
        <w:ind w:left="284" w:hanging="284"/>
        <w:contextualSpacing/>
        <w:jc w:val="left"/>
        <w:rPr>
          <w:rFonts w:eastAsia="Calibri"/>
          <w:b/>
          <w:sz w:val="20"/>
          <w:lang w:eastAsia="en-US"/>
        </w:rPr>
      </w:pPr>
      <w:r w:rsidRPr="00072003">
        <w:rPr>
          <w:rFonts w:eastAsia="Calibri"/>
          <w:b/>
          <w:sz w:val="20"/>
          <w:lang w:eastAsia="en-US"/>
        </w:rPr>
        <w:t>Annexes</w:t>
      </w:r>
    </w:p>
    <w:p w14:paraId="445C9F70" w14:textId="77777777" w:rsidR="009B66E4" w:rsidRPr="00072003" w:rsidRDefault="005A28EA">
      <w:pPr>
        <w:numPr>
          <w:ilvl w:val="0"/>
          <w:numId w:val="70"/>
        </w:numPr>
        <w:spacing w:after="200" w:line="276" w:lineRule="auto"/>
        <w:contextualSpacing/>
        <w:jc w:val="left"/>
        <w:rPr>
          <w:rFonts w:eastAsia="Calibri"/>
          <w:sz w:val="20"/>
          <w:lang w:eastAsia="en-US"/>
        </w:rPr>
      </w:pPr>
      <w:r w:rsidRPr="00072003">
        <w:rPr>
          <w:rFonts w:eastAsia="Calibri"/>
          <w:sz w:val="20"/>
          <w:lang w:eastAsia="en-US"/>
        </w:rPr>
        <w:t>Matrice de cotation des risques de fraude de l’établissement</w:t>
      </w:r>
    </w:p>
    <w:p w14:paraId="305D6647" w14:textId="0FA0FA63" w:rsidR="005A28EA" w:rsidRDefault="009B66E4">
      <w:pPr>
        <w:numPr>
          <w:ilvl w:val="0"/>
          <w:numId w:val="70"/>
        </w:numPr>
        <w:spacing w:after="200" w:line="276" w:lineRule="auto"/>
        <w:contextualSpacing/>
        <w:jc w:val="left"/>
        <w:rPr>
          <w:rFonts w:eastAsia="Calibri"/>
          <w:sz w:val="20"/>
          <w:lang w:eastAsia="en-US"/>
        </w:rPr>
      </w:pPr>
      <w:r w:rsidRPr="00072003">
        <w:rPr>
          <w:rFonts w:eastAsia="Calibri"/>
          <w:sz w:val="20"/>
          <w:lang w:eastAsia="en-US"/>
        </w:rPr>
        <w:t>G</w:t>
      </w:r>
      <w:r w:rsidR="005A28EA" w:rsidRPr="00072003">
        <w:rPr>
          <w:rFonts w:eastAsia="Calibri"/>
          <w:sz w:val="20"/>
          <w:lang w:eastAsia="en-US"/>
        </w:rPr>
        <w:t>lossaire</w:t>
      </w:r>
    </w:p>
    <w:p w14:paraId="2DB25346" w14:textId="1D7CE895" w:rsidR="00072003" w:rsidRDefault="00072003" w:rsidP="00072003">
      <w:pPr>
        <w:spacing w:after="200" w:line="276" w:lineRule="auto"/>
        <w:contextualSpacing/>
        <w:jc w:val="left"/>
        <w:rPr>
          <w:rFonts w:eastAsia="Calibri"/>
          <w:sz w:val="20"/>
          <w:lang w:eastAsia="en-US"/>
        </w:rPr>
      </w:pPr>
    </w:p>
    <w:p w14:paraId="0A297C6D" w14:textId="77777777"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t>Introduction</w:t>
      </w:r>
    </w:p>
    <w:p w14:paraId="749711C6" w14:textId="77777777" w:rsidR="005A28EA" w:rsidRPr="00460E3D" w:rsidRDefault="005A28EA" w:rsidP="005A28EA">
      <w:pPr>
        <w:jc w:val="left"/>
        <w:rPr>
          <w:rFonts w:eastAsia="Calibri"/>
          <w:b/>
          <w:smallCaps/>
          <w:color w:val="1F497D"/>
          <w:sz w:val="28"/>
          <w:szCs w:val="22"/>
          <w:lang w:eastAsia="en-US"/>
        </w:rPr>
      </w:pPr>
    </w:p>
    <w:p w14:paraId="6291D143" w14:textId="77777777"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14:paraId="0F15ECC1" w14:textId="77777777" w:rsidR="005A28EA" w:rsidRPr="00460E3D" w:rsidRDefault="005A28EA" w:rsidP="005A28EA">
      <w:pPr>
        <w:rPr>
          <w:sz w:val="22"/>
          <w:szCs w:val="22"/>
        </w:rPr>
      </w:pPr>
    </w:p>
    <w:p w14:paraId="572873CA" w14:textId="221C5FD4"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w:t>
      </w:r>
      <w:r w:rsidR="001505E4">
        <w:rPr>
          <w:sz w:val="22"/>
          <w:szCs w:val="22"/>
        </w:rPr>
        <w:t xml:space="preserve">, ainsi qu’à </w:t>
      </w:r>
      <w:r w:rsidR="001505E4">
        <w:rPr>
          <w:b/>
          <w:sz w:val="22"/>
          <w:szCs w:val="22"/>
        </w:rPr>
        <w:t xml:space="preserve">la sécurité de l’accès aux comptes de paiement et à leurs informations </w:t>
      </w:r>
      <w:r w:rsidR="001505E4" w:rsidRPr="00C2209B">
        <w:rPr>
          <w:sz w:val="22"/>
          <w:szCs w:val="22"/>
        </w:rPr>
        <w:t>dans le cadre de la fourniture des services d’initiation de paiement et d’</w:t>
      </w:r>
      <w:r w:rsidR="001505E4" w:rsidRPr="00E63E12">
        <w:rPr>
          <w:sz w:val="22"/>
          <w:szCs w:val="22"/>
        </w:rPr>
        <w:t>information</w:t>
      </w:r>
      <w:r w:rsidR="001505E4" w:rsidRPr="00C2209B">
        <w:rPr>
          <w:sz w:val="22"/>
          <w:szCs w:val="22"/>
        </w:rPr>
        <w:t xml:space="preserve"> sur les comptes</w:t>
      </w:r>
      <w:r w:rsidRPr="00460E3D">
        <w:rPr>
          <w:sz w:val="22"/>
          <w:szCs w:val="22"/>
        </w:rPr>
        <w:t>. Sont considérés comme moyens de paiement tous les instruments qui permettent à toute personne de transférer des fonds, quel que soit le support ou le procédé technique utilisé.</w:t>
      </w:r>
    </w:p>
    <w:p w14:paraId="45EEF7C1" w14:textId="77777777" w:rsidR="005A28EA" w:rsidRPr="00460E3D" w:rsidRDefault="005A28EA" w:rsidP="005A28EA">
      <w:pPr>
        <w:rPr>
          <w:sz w:val="22"/>
          <w:szCs w:val="22"/>
        </w:rPr>
      </w:pPr>
    </w:p>
    <w:p w14:paraId="7BA38C1D" w14:textId="268341C8"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w:t>
      </w:r>
      <w:r w:rsidR="001505E4">
        <w:rPr>
          <w:sz w:val="22"/>
          <w:szCs w:val="22"/>
        </w:rPr>
        <w:t>es</w:t>
      </w:r>
      <w:r w:rsidRPr="00460E3D">
        <w:rPr>
          <w:sz w:val="22"/>
          <w:szCs w:val="22"/>
        </w:rPr>
        <w:t xml:space="preserve"> mission</w:t>
      </w:r>
      <w:r w:rsidR="001505E4">
        <w:rPr>
          <w:sz w:val="22"/>
          <w:szCs w:val="22"/>
        </w:rPr>
        <w:t>s</w:t>
      </w:r>
      <w:r w:rsidRPr="00460E3D">
        <w:rPr>
          <w:sz w:val="22"/>
          <w:szCs w:val="22"/>
        </w:rPr>
        <w:t xml:space="preserve"> définie</w:t>
      </w:r>
      <w:r w:rsidR="001505E4">
        <w:rPr>
          <w:sz w:val="22"/>
          <w:szCs w:val="22"/>
        </w:rPr>
        <w:t>s</w:t>
      </w:r>
      <w:r w:rsidRPr="00460E3D">
        <w:rPr>
          <w:sz w:val="22"/>
          <w:szCs w:val="22"/>
        </w:rPr>
        <w:t xml:space="preserve"> au I de l’article L. 141-4 </w:t>
      </w:r>
      <w:r w:rsidR="001505E4">
        <w:rPr>
          <w:sz w:val="22"/>
          <w:szCs w:val="22"/>
        </w:rPr>
        <w:t>et à l’article L. 521-8</w:t>
      </w:r>
      <w:r w:rsidR="001505E4" w:rsidRPr="00460E3D">
        <w:rPr>
          <w:sz w:val="22"/>
          <w:szCs w:val="22"/>
        </w:rPr>
        <w:t xml:space="preserve"> </w:t>
      </w:r>
      <w:r w:rsidRPr="00460E3D">
        <w:rPr>
          <w:sz w:val="22"/>
          <w:szCs w:val="22"/>
        </w:rPr>
        <w:t>du Code monétaire et financier</w:t>
      </w:r>
      <w:r w:rsidR="003D2E0B" w:rsidRPr="003D2E0B">
        <w:rPr>
          <w:sz w:val="22"/>
          <w:szCs w:val="22"/>
        </w:rPr>
        <w:t xml:space="preserve"> </w:t>
      </w:r>
      <w:r w:rsidR="003D2E0B" w:rsidRPr="009616A9">
        <w:rPr>
          <w:sz w:val="22"/>
          <w:szCs w:val="22"/>
        </w:rPr>
        <w:t>et, pour les annexes établies par les établissements ayant leur siège social dans les collectivités françaises du Pacifique, à l’Institut d’émission d’Outre-Mer (IEOM) pour l’exercice de ses missions définies à l’article L. 721-20 du même Code</w:t>
      </w:r>
      <w:r w:rsidR="003D2E0B">
        <w:rPr>
          <w:rStyle w:val="Appelnotedebasdep"/>
          <w:szCs w:val="22"/>
        </w:rPr>
        <w:footnoteReference w:id="14"/>
      </w:r>
      <w:r w:rsidRPr="00460E3D">
        <w:rPr>
          <w:sz w:val="22"/>
          <w:szCs w:val="22"/>
        </w:rPr>
        <w:t>.</w:t>
      </w:r>
    </w:p>
    <w:p w14:paraId="4C432F0B" w14:textId="77777777" w:rsidR="005A28EA" w:rsidRPr="00460E3D" w:rsidRDefault="005A28EA" w:rsidP="005A28EA">
      <w:pPr>
        <w:rPr>
          <w:sz w:val="22"/>
          <w:szCs w:val="22"/>
        </w:rPr>
      </w:pPr>
    </w:p>
    <w:p w14:paraId="4870923C" w14:textId="1514CC84"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00A721C6">
        <w:rPr>
          <w:sz w:val="22"/>
          <w:szCs w:val="22"/>
          <w:u w:val="single"/>
        </w:rPr>
        <w:t xml:space="preserve"> modifié</w:t>
      </w:r>
      <w:r w:rsidRPr="00460E3D">
        <w:rPr>
          <w:sz w:val="22"/>
          <w:szCs w:val="22"/>
          <w:u w:val="single"/>
        </w:rPr>
        <w:t>.</w:t>
      </w:r>
      <w:r w:rsidRPr="00460E3D">
        <w:rPr>
          <w:rFonts w:eastAsia="Calibri"/>
          <w:sz w:val="22"/>
          <w:szCs w:val="22"/>
          <w:lang w:eastAsia="en-US"/>
        </w:rPr>
        <w:t xml:space="preserve"> </w:t>
      </w:r>
      <w:r w:rsidR="0029217F">
        <w:rPr>
          <w:rFonts w:eastAsia="Calibri"/>
          <w:sz w:val="22"/>
          <w:szCs w:val="22"/>
          <w:lang w:eastAsia="en-US"/>
        </w:rPr>
        <w:t>Par ailleurs, dans la mesure où la compétence de la Banque de France porte sur le territoire français, seuls les moyens de paiement offerts en France (ou les comptes de paiement ouverts en France) sont concernés par la présente annexe, excluant donc les services des établissements fournis via leurs succursales installées à l’étranger.</w:t>
      </w:r>
    </w:p>
    <w:p w14:paraId="21A6EE73" w14:textId="77777777" w:rsidR="005A28EA" w:rsidRPr="00460E3D" w:rsidRDefault="005A28EA" w:rsidP="005A28EA">
      <w:pPr>
        <w:rPr>
          <w:b/>
          <w:i/>
          <w:sz w:val="22"/>
          <w:szCs w:val="22"/>
        </w:rPr>
      </w:pPr>
    </w:p>
    <w:p w14:paraId="1C1685C6" w14:textId="084332AA"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w:t>
      </w:r>
      <w:r w:rsidR="000C7C6C">
        <w:rPr>
          <w:sz w:val="22"/>
          <w:szCs w:val="22"/>
        </w:rPr>
        <w:t>ni</w:t>
      </w:r>
      <w:r w:rsidRPr="00460E3D">
        <w:rPr>
          <w:sz w:val="22"/>
          <w:szCs w:val="22"/>
        </w:rPr>
        <w:t xml:space="preserve"> ne gèrent aucun moyen de paiement portent la mention : « </w:t>
      </w:r>
      <w:r w:rsidR="000C7C6C">
        <w:rPr>
          <w:sz w:val="22"/>
          <w:szCs w:val="22"/>
        </w:rPr>
        <w:t>L</w:t>
      </w:r>
      <w:r w:rsidRPr="00460E3D">
        <w:rPr>
          <w:sz w:val="22"/>
          <w:szCs w:val="22"/>
        </w:rPr>
        <w:t xml:space="preserve">’établissement n’émet </w:t>
      </w:r>
      <w:r w:rsidR="000C7C6C">
        <w:rPr>
          <w:sz w:val="22"/>
          <w:szCs w:val="22"/>
        </w:rPr>
        <w:t>ni</w:t>
      </w:r>
      <w:r w:rsidRPr="00460E3D">
        <w:rPr>
          <w:sz w:val="22"/>
          <w:szCs w:val="22"/>
        </w:rPr>
        <w:t xml:space="preserve"> ne gère aucun moyen de paiement au titre de son activité ». </w:t>
      </w:r>
    </w:p>
    <w:p w14:paraId="2716C829" w14:textId="77777777" w:rsidR="005A28EA" w:rsidRPr="00460E3D" w:rsidRDefault="005A28EA" w:rsidP="005A28EA">
      <w:pPr>
        <w:jc w:val="left"/>
        <w:rPr>
          <w:rFonts w:eastAsia="Calibri"/>
          <w:b/>
          <w:sz w:val="22"/>
          <w:szCs w:val="22"/>
          <w:lang w:eastAsia="en-US"/>
        </w:rPr>
      </w:pPr>
    </w:p>
    <w:p w14:paraId="30098E75"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14:paraId="79AAF5DE" w14:textId="77777777" w:rsidR="005A28EA" w:rsidRPr="00460E3D" w:rsidRDefault="005A28EA" w:rsidP="005A28EA">
      <w:pPr>
        <w:rPr>
          <w:sz w:val="22"/>
          <w:szCs w:val="22"/>
        </w:rPr>
      </w:pPr>
    </w:p>
    <w:p w14:paraId="2EA73DE9" w14:textId="7171919E" w:rsidR="005A28EA" w:rsidRPr="00460E3D" w:rsidRDefault="005A28EA" w:rsidP="005A28EA">
      <w:pPr>
        <w:rPr>
          <w:sz w:val="22"/>
          <w:szCs w:val="22"/>
        </w:rPr>
      </w:pPr>
      <w:r w:rsidRPr="00460E3D">
        <w:rPr>
          <w:sz w:val="22"/>
          <w:szCs w:val="22"/>
        </w:rPr>
        <w:t>Cette annexe a pour objet d’apprécier le niveau de sécurité atteint par l’ensemble des moyens de paiement scripturaux émis ou gérés par l’établissement</w:t>
      </w:r>
      <w:r w:rsidR="000C7C6C">
        <w:rPr>
          <w:sz w:val="22"/>
          <w:szCs w:val="22"/>
        </w:rPr>
        <w:t>, ainsi que celui de l’accès aux comptes de paiement tenus par l’établissement</w:t>
      </w:r>
      <w:r w:rsidRPr="00460E3D">
        <w:rPr>
          <w:sz w:val="22"/>
          <w:szCs w:val="22"/>
        </w:rPr>
        <w:t xml:space="preserve">. </w:t>
      </w:r>
    </w:p>
    <w:p w14:paraId="60FEDBA6" w14:textId="77777777" w:rsidR="005A28EA" w:rsidRPr="00460E3D" w:rsidRDefault="005A28EA" w:rsidP="005A28EA">
      <w:pPr>
        <w:rPr>
          <w:sz w:val="22"/>
          <w:szCs w:val="22"/>
        </w:rPr>
      </w:pPr>
    </w:p>
    <w:p w14:paraId="2C3D5E80" w14:textId="7A4CA789" w:rsidR="005A28EA" w:rsidRPr="00460E3D" w:rsidRDefault="005A28EA" w:rsidP="005A28EA">
      <w:pPr>
        <w:rPr>
          <w:sz w:val="22"/>
          <w:szCs w:val="22"/>
        </w:rPr>
      </w:pPr>
      <w:r w:rsidRPr="00460E3D">
        <w:rPr>
          <w:sz w:val="22"/>
          <w:szCs w:val="22"/>
        </w:rPr>
        <w:t xml:space="preserve">Cette annexe comporte </w:t>
      </w:r>
      <w:r w:rsidR="00EB01DB">
        <w:rPr>
          <w:sz w:val="22"/>
          <w:szCs w:val="22"/>
        </w:rPr>
        <w:t>5</w:t>
      </w:r>
      <w:r w:rsidRPr="00460E3D">
        <w:rPr>
          <w:sz w:val="22"/>
          <w:szCs w:val="22"/>
        </w:rPr>
        <w:t xml:space="preserve"> parties :</w:t>
      </w:r>
    </w:p>
    <w:p w14:paraId="495F1D41" w14:textId="77777777" w:rsidR="005A28EA" w:rsidRPr="00460E3D" w:rsidRDefault="005A28EA" w:rsidP="005A28EA">
      <w:pPr>
        <w:rPr>
          <w:sz w:val="22"/>
          <w:szCs w:val="22"/>
        </w:rPr>
      </w:pPr>
    </w:p>
    <w:p w14:paraId="60F22EC3" w14:textId="6E99E5DE" w:rsidR="005A28EA" w:rsidRPr="00460E3D" w:rsidRDefault="005A28EA" w:rsidP="00460E3D">
      <w:pPr>
        <w:numPr>
          <w:ilvl w:val="0"/>
          <w:numId w:val="80"/>
        </w:numPr>
        <w:spacing w:after="200"/>
        <w:ind w:left="714" w:hanging="357"/>
        <w:rPr>
          <w:sz w:val="22"/>
          <w:szCs w:val="22"/>
        </w:rPr>
      </w:pPr>
      <w:r w:rsidRPr="00460E3D">
        <w:rPr>
          <w:sz w:val="22"/>
          <w:szCs w:val="22"/>
        </w:rPr>
        <w:t xml:space="preserve">une partie portant sur la présentation de chaque moyen </w:t>
      </w:r>
      <w:r w:rsidR="001505E4">
        <w:rPr>
          <w:sz w:val="22"/>
          <w:szCs w:val="22"/>
        </w:rPr>
        <w:t xml:space="preserve">et service </w:t>
      </w:r>
      <w:r w:rsidRPr="00460E3D">
        <w:rPr>
          <w:sz w:val="22"/>
          <w:szCs w:val="22"/>
        </w:rPr>
        <w:t>de paiement</w:t>
      </w:r>
      <w:r w:rsidR="004725B5">
        <w:rPr>
          <w:sz w:val="22"/>
          <w:szCs w:val="22"/>
        </w:rPr>
        <w:t>,</w:t>
      </w:r>
      <w:r w:rsidRPr="00460E3D">
        <w:rPr>
          <w:sz w:val="22"/>
          <w:szCs w:val="22"/>
        </w:rPr>
        <w:t xml:space="preserve"> des risques de fraude associés</w:t>
      </w:r>
      <w:r w:rsidR="004725B5">
        <w:rPr>
          <w:sz w:val="22"/>
          <w:szCs w:val="22"/>
        </w:rPr>
        <w:t xml:space="preserve"> </w:t>
      </w:r>
      <w:r w:rsidR="001C5B1C">
        <w:rPr>
          <w:sz w:val="22"/>
          <w:szCs w:val="22"/>
        </w:rPr>
        <w:t>et des dispositifs de maitrise des risques mis en place</w:t>
      </w:r>
      <w:r w:rsidR="001C5B1C" w:rsidRPr="00460E3D">
        <w:rPr>
          <w:sz w:val="22"/>
          <w:szCs w:val="22"/>
        </w:rPr>
        <w:t xml:space="preserve"> </w:t>
      </w:r>
      <w:r w:rsidRPr="00460E3D">
        <w:rPr>
          <w:sz w:val="22"/>
          <w:szCs w:val="22"/>
        </w:rPr>
        <w:t>(I) ;</w:t>
      </w:r>
    </w:p>
    <w:p w14:paraId="45F8DB1C" w14:textId="0B9DF5A7"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 xml:space="preserve">sur le périmètre des moyens de paiement scripturaux </w:t>
      </w:r>
      <w:r w:rsidR="001505E4">
        <w:rPr>
          <w:sz w:val="22"/>
          <w:szCs w:val="22"/>
        </w:rPr>
        <w:t>et de l’accès aux comptes</w:t>
      </w:r>
      <w:r w:rsidR="001505E4" w:rsidRPr="00460E3D">
        <w:rPr>
          <w:sz w:val="22"/>
          <w:szCs w:val="22"/>
        </w:rPr>
        <w:t xml:space="preserve"> </w:t>
      </w:r>
      <w:r w:rsidRPr="00460E3D">
        <w:rPr>
          <w:sz w:val="22"/>
          <w:szCs w:val="22"/>
        </w:rPr>
        <w:t>(II)</w:t>
      </w:r>
      <w:r>
        <w:rPr>
          <w:sz w:val="22"/>
          <w:szCs w:val="22"/>
        </w:rPr>
        <w:t> </w:t>
      </w:r>
      <w:r w:rsidRPr="00460E3D">
        <w:rPr>
          <w:sz w:val="22"/>
          <w:szCs w:val="22"/>
        </w:rPr>
        <w:t>;</w:t>
      </w:r>
    </w:p>
    <w:p w14:paraId="76FAAD11" w14:textId="4D63EB46" w:rsidR="005A28EA" w:rsidRDefault="005A28EA" w:rsidP="00460E3D">
      <w:pPr>
        <w:numPr>
          <w:ilvl w:val="0"/>
          <w:numId w:val="80"/>
        </w:numPr>
        <w:spacing w:after="200"/>
        <w:ind w:left="714" w:hanging="357"/>
        <w:rPr>
          <w:sz w:val="22"/>
          <w:szCs w:val="22"/>
        </w:rPr>
      </w:pPr>
      <w:r w:rsidRPr="00460E3D">
        <w:rPr>
          <w:sz w:val="22"/>
          <w:szCs w:val="22"/>
        </w:rPr>
        <w:t xml:space="preserve">une partie destinée à recueillir l’auto-évaluation de la conformité de l’établissement aux recommandations d’organismes externes en matière de sécurité des moyens de paiement scripturaux </w:t>
      </w:r>
      <w:r w:rsidR="001505E4">
        <w:rPr>
          <w:sz w:val="22"/>
          <w:szCs w:val="22"/>
        </w:rPr>
        <w:t>et de sécurité de l’accès aux comptes</w:t>
      </w:r>
      <w:r w:rsidR="001505E4" w:rsidRPr="00460E3D">
        <w:rPr>
          <w:sz w:val="22"/>
          <w:szCs w:val="22"/>
        </w:rPr>
        <w:t xml:space="preserve"> </w:t>
      </w:r>
      <w:r w:rsidRPr="00460E3D">
        <w:rPr>
          <w:sz w:val="22"/>
          <w:szCs w:val="22"/>
        </w:rPr>
        <w:t>(III) ;</w:t>
      </w:r>
    </w:p>
    <w:p w14:paraId="0F89737A" w14:textId="75263858" w:rsidR="00EB01DB" w:rsidRPr="00460E3D" w:rsidRDefault="00EB01DB" w:rsidP="00460E3D">
      <w:pPr>
        <w:numPr>
          <w:ilvl w:val="0"/>
          <w:numId w:val="80"/>
        </w:numPr>
        <w:spacing w:after="200"/>
        <w:ind w:left="714" w:hanging="357"/>
        <w:rPr>
          <w:sz w:val="22"/>
          <w:szCs w:val="22"/>
        </w:rPr>
      </w:pPr>
      <w:r>
        <w:rPr>
          <w:sz w:val="22"/>
          <w:szCs w:val="22"/>
        </w:rPr>
        <w:t>une partie relative au rapport d’audit sur la mise en œuvre des mesures de sécurité inscrites dans les RTS (</w:t>
      </w:r>
      <w:r w:rsidRPr="00A85C3C">
        <w:rPr>
          <w:i/>
          <w:sz w:val="22"/>
          <w:szCs w:val="22"/>
        </w:rPr>
        <w:t>Regulatory Technical Standards</w:t>
      </w:r>
      <w:r>
        <w:rPr>
          <w:sz w:val="22"/>
          <w:szCs w:val="22"/>
        </w:rPr>
        <w:t>)</w:t>
      </w:r>
      <w:r w:rsidR="0029217F" w:rsidRPr="0029217F">
        <w:rPr>
          <w:rStyle w:val="Appelnotedebasdep"/>
          <w:szCs w:val="22"/>
        </w:rPr>
        <w:t xml:space="preserve"> </w:t>
      </w:r>
      <w:r w:rsidR="0029217F">
        <w:rPr>
          <w:rStyle w:val="Appelnotedebasdep"/>
          <w:szCs w:val="22"/>
        </w:rPr>
        <w:footnoteReference w:id="15"/>
      </w:r>
      <w:r>
        <w:rPr>
          <w:sz w:val="22"/>
          <w:szCs w:val="22"/>
        </w:rPr>
        <w:t> (IV) ;</w:t>
      </w:r>
    </w:p>
    <w:p w14:paraId="09CE5499" w14:textId="69C4294E"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(V). </w:t>
      </w:r>
    </w:p>
    <w:p w14:paraId="4B9028F4" w14:textId="77777777" w:rsidR="005A28EA" w:rsidRPr="00460E3D" w:rsidRDefault="005A28EA" w:rsidP="005A28EA">
      <w:pPr>
        <w:rPr>
          <w:sz w:val="22"/>
          <w:szCs w:val="22"/>
        </w:rPr>
      </w:pPr>
    </w:p>
    <w:p w14:paraId="7A77BECB" w14:textId="77777777" w:rsidR="00E23663"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16"/>
      </w:r>
      <w:r w:rsidRPr="0057011B">
        <w:rPr>
          <w:sz w:val="22"/>
          <w:szCs w:val="22"/>
        </w:rPr>
        <w:t xml:space="preserve">. </w:t>
      </w:r>
    </w:p>
    <w:p w14:paraId="06A74BC1" w14:textId="77777777" w:rsidR="00E23663" w:rsidRDefault="00E23663" w:rsidP="0057011B">
      <w:pPr>
        <w:rPr>
          <w:sz w:val="22"/>
          <w:szCs w:val="22"/>
        </w:rPr>
      </w:pPr>
    </w:p>
    <w:p w14:paraId="747FFB65" w14:textId="0A01EB29" w:rsidR="005A28EA" w:rsidRPr="00460E3D" w:rsidRDefault="005A28EA" w:rsidP="0057011B">
      <w:pPr>
        <w:rPr>
          <w:sz w:val="22"/>
          <w:szCs w:val="22"/>
        </w:rPr>
      </w:pPr>
      <w:r w:rsidRPr="0057011B">
        <w:rPr>
          <w:sz w:val="22"/>
          <w:szCs w:val="22"/>
        </w:rPr>
        <w:t>En conséquence, cette analyse</w:t>
      </w:r>
      <w:r>
        <w:rPr>
          <w:sz w:val="22"/>
          <w:szCs w:val="22"/>
        </w:rPr>
        <w:t xml:space="preserve"> </w:t>
      </w:r>
      <w:r w:rsidRPr="00460E3D">
        <w:rPr>
          <w:sz w:val="22"/>
          <w:szCs w:val="22"/>
        </w:rPr>
        <w:t>s’effectue :</w:t>
      </w:r>
    </w:p>
    <w:p w14:paraId="57CEF783" w14:textId="77777777" w:rsidR="005A28EA" w:rsidRPr="00460E3D" w:rsidRDefault="005A28EA" w:rsidP="00890013">
      <w:pPr>
        <w:numPr>
          <w:ilvl w:val="0"/>
          <w:numId w:val="80"/>
        </w:numPr>
        <w:spacing w:before="120" w:after="120"/>
        <w:ind w:left="714" w:hanging="357"/>
        <w:jc w:val="left"/>
        <w:rPr>
          <w:sz w:val="22"/>
          <w:szCs w:val="22"/>
        </w:rPr>
      </w:pPr>
      <w:r w:rsidRPr="00460E3D">
        <w:rPr>
          <w:sz w:val="22"/>
          <w:szCs w:val="22"/>
        </w:rPr>
        <w:t>sur la fraude brute et couvre à la fois la fraude interne et la fraude externe ;</w:t>
      </w:r>
    </w:p>
    <w:p w14:paraId="39FA3814" w14:textId="389721CE" w:rsidR="005A28EA" w:rsidRDefault="005A28EA" w:rsidP="00460E3D">
      <w:pPr>
        <w:numPr>
          <w:ilvl w:val="0"/>
          <w:numId w:val="80"/>
        </w:numPr>
        <w:spacing w:after="200"/>
        <w:ind w:left="714" w:hanging="357"/>
        <w:jc w:val="left"/>
        <w:rPr>
          <w:sz w:val="22"/>
          <w:szCs w:val="22"/>
        </w:rPr>
      </w:pPr>
      <w:r w:rsidRPr="00460E3D">
        <w:rPr>
          <w:sz w:val="22"/>
          <w:szCs w:val="22"/>
        </w:rPr>
        <w:t>et, sur la base des définitions et typologie</w:t>
      </w:r>
      <w:r w:rsidR="0029217F">
        <w:rPr>
          <w:sz w:val="22"/>
          <w:szCs w:val="22"/>
        </w:rPr>
        <w:t>s</w:t>
      </w:r>
      <w:r w:rsidRPr="00460E3D">
        <w:rPr>
          <w:sz w:val="22"/>
          <w:szCs w:val="22"/>
        </w:rPr>
        <w:t xml:space="preserve"> de fraude</w:t>
      </w:r>
      <w:r w:rsidR="0029217F">
        <w:rPr>
          <w:sz w:val="22"/>
          <w:szCs w:val="22"/>
        </w:rPr>
        <w:t xml:space="preserve"> aux moyens de paiement</w:t>
      </w:r>
      <w:r w:rsidRPr="00460E3D">
        <w:rPr>
          <w:sz w:val="22"/>
          <w:szCs w:val="22"/>
        </w:rPr>
        <w:t xml:space="preserve"> retenue pour la déclaration statistique auprès de la Banque de France.</w:t>
      </w:r>
    </w:p>
    <w:p w14:paraId="3F29AFB3" w14:textId="038A98DA" w:rsidR="0029217F" w:rsidRPr="00460E3D" w:rsidRDefault="0029217F" w:rsidP="00890013">
      <w:pPr>
        <w:spacing w:after="200"/>
        <w:ind w:left="714"/>
        <w:jc w:val="center"/>
        <w:rPr>
          <w:sz w:val="22"/>
          <w:szCs w:val="22"/>
        </w:rPr>
      </w:pPr>
      <w:r w:rsidRPr="008F4461">
        <w:rPr>
          <w:noProof/>
          <w:sz w:val="22"/>
          <w:szCs w:val="22"/>
        </w:rPr>
        <w:drawing>
          <wp:inline distT="0" distB="0" distL="0" distR="0" wp14:anchorId="77168C54" wp14:editId="29306C33">
            <wp:extent cx="5760720" cy="26168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616835"/>
                    </a:xfrm>
                    <a:prstGeom prst="rect">
                      <a:avLst/>
                    </a:prstGeom>
                  </pic:spPr>
                </pic:pic>
              </a:graphicData>
            </a:graphic>
          </wp:inline>
        </w:drawing>
      </w:r>
    </w:p>
    <w:p w14:paraId="612A6218" w14:textId="77777777" w:rsidR="0029217F" w:rsidRDefault="0029217F" w:rsidP="005A28EA">
      <w:pPr>
        <w:rPr>
          <w:sz w:val="22"/>
          <w:szCs w:val="22"/>
        </w:rPr>
      </w:pPr>
    </w:p>
    <w:p w14:paraId="1E53FD3F" w14:textId="7093EDC5" w:rsidR="0029217F" w:rsidRPr="00460E3D" w:rsidRDefault="005A28EA" w:rsidP="0029217F">
      <w:pPr>
        <w:rPr>
          <w:sz w:val="22"/>
          <w:szCs w:val="22"/>
        </w:rPr>
      </w:pPr>
      <w:r w:rsidRPr="00460E3D">
        <w:rPr>
          <w:sz w:val="22"/>
          <w:szCs w:val="22"/>
        </w:rPr>
        <w:t xml:space="preserve">Pour ce faire, des grilles d’analyse </w:t>
      </w:r>
      <w:r w:rsidR="001C5B1C">
        <w:rPr>
          <w:sz w:val="22"/>
          <w:szCs w:val="22"/>
        </w:rPr>
        <w:t>des risques de fraude</w:t>
      </w:r>
      <w:r w:rsidR="001C5B1C" w:rsidRPr="00460E3D">
        <w:rPr>
          <w:sz w:val="22"/>
          <w:szCs w:val="22"/>
        </w:rPr>
        <w:t xml:space="preserve"> </w:t>
      </w:r>
      <w:r w:rsidRPr="00460E3D">
        <w:rPr>
          <w:sz w:val="22"/>
          <w:szCs w:val="22"/>
        </w:rPr>
        <w:t>spécifiques à chaque moyen de paiement scriptural, présentées dans l’annexe, sont à compléter en fonction des offres propres à chaque établissement.</w:t>
      </w:r>
      <w:r w:rsidR="0029217F" w:rsidRPr="0029217F">
        <w:rPr>
          <w:b/>
          <w:sz w:val="22"/>
          <w:szCs w:val="22"/>
        </w:rPr>
        <w:t xml:space="preserve"> </w:t>
      </w:r>
      <w:r w:rsidR="0029217F" w:rsidRPr="00DF7045">
        <w:rPr>
          <w:b/>
          <w:sz w:val="22"/>
          <w:szCs w:val="22"/>
        </w:rPr>
        <w:t>À partir du rapport annuel 2023 sur l’exercice 2022, il est également attendu que les établissements remplissent la partie consacrée au chèque.</w:t>
      </w:r>
      <w:r w:rsidR="0029217F" w:rsidRPr="00DF7045">
        <w:rPr>
          <w:sz w:val="22"/>
          <w:szCs w:val="22"/>
        </w:rPr>
        <w:t xml:space="preserve"> En </w:t>
      </w:r>
      <w:r w:rsidR="0029217F">
        <w:rPr>
          <w:sz w:val="22"/>
          <w:szCs w:val="22"/>
        </w:rPr>
        <w:t>ce qui concerne le chèque</w:t>
      </w:r>
      <w:r w:rsidR="0029217F" w:rsidRPr="00DF7045">
        <w:rPr>
          <w:sz w:val="22"/>
          <w:szCs w:val="22"/>
        </w:rPr>
        <w:t xml:space="preserve">, </w:t>
      </w:r>
      <w:r w:rsidR="0029217F">
        <w:rPr>
          <w:sz w:val="22"/>
          <w:szCs w:val="22"/>
        </w:rPr>
        <w:t xml:space="preserve">le </w:t>
      </w:r>
      <w:r w:rsidR="0029217F" w:rsidRPr="00DF7045">
        <w:rPr>
          <w:sz w:val="22"/>
          <w:szCs w:val="22"/>
        </w:rPr>
        <w:t>rapport annuel de contrôle interne permet de remonter à la Banque de France une information sur l’offre de produits et de services liés au chèque, sur l’organisation opérationnelle de l’activité ou sur l’évolution de la fraude au cours de l’année et les dispositifs de maîtrise des risques mis en place</w:t>
      </w:r>
      <w:r w:rsidR="0029217F">
        <w:rPr>
          <w:sz w:val="22"/>
          <w:szCs w:val="22"/>
        </w:rPr>
        <w:t>, ce que ne permet pas l’exercice annuel d’autoévaluation au Référentiel de Sécurité du Chèque de la Banque de France (RSC).</w:t>
      </w:r>
    </w:p>
    <w:p w14:paraId="4F4628C9" w14:textId="7A37CD55" w:rsidR="005A28EA" w:rsidRPr="00460E3D" w:rsidRDefault="005A28EA" w:rsidP="005A28EA">
      <w:pPr>
        <w:rPr>
          <w:sz w:val="22"/>
          <w:szCs w:val="22"/>
        </w:rPr>
      </w:pPr>
    </w:p>
    <w:p w14:paraId="3FCF2036" w14:textId="32AF7730" w:rsidR="005A28EA" w:rsidRDefault="00F7315F"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w:t>
      </w:r>
      <w:r w:rsidR="005A28EA" w:rsidRPr="00460E3D">
        <w:rPr>
          <w:sz w:val="22"/>
          <w:szCs w:val="22"/>
        </w:rPr>
        <w:t xml:space="preserve"> présentée</w:t>
      </w:r>
      <w:r w:rsidR="006E29E8">
        <w:rPr>
          <w:sz w:val="22"/>
          <w:szCs w:val="22"/>
        </w:rPr>
        <w:t xml:space="preserve"> dans la partie III de l</w:t>
      </w:r>
      <w:r w:rsidR="00156BD6">
        <w:rPr>
          <w:sz w:val="22"/>
          <w:szCs w:val="22"/>
        </w:rPr>
        <w:t>’</w:t>
      </w:r>
      <w:r w:rsidR="006E29E8">
        <w:rPr>
          <w:sz w:val="22"/>
          <w:szCs w:val="22"/>
        </w:rPr>
        <w:t>annexe</w:t>
      </w:r>
      <w:r>
        <w:rPr>
          <w:sz w:val="22"/>
          <w:szCs w:val="22"/>
        </w:rPr>
        <w:t>, tient compte de l’entrée en application, le 13 janvier 201</w:t>
      </w:r>
      <w:r w:rsidR="00156BD6">
        <w:rPr>
          <w:sz w:val="22"/>
          <w:szCs w:val="22"/>
        </w:rPr>
        <w:t>8</w:t>
      </w:r>
      <w:r>
        <w:rPr>
          <w:sz w:val="22"/>
          <w:szCs w:val="22"/>
        </w:rPr>
        <w:t>, de la 2</w:t>
      </w:r>
      <w:r w:rsidRPr="00D63D99">
        <w:rPr>
          <w:sz w:val="22"/>
          <w:szCs w:val="22"/>
          <w:vertAlign w:val="superscript"/>
        </w:rPr>
        <w:t>ème</w:t>
      </w:r>
      <w:r>
        <w:rPr>
          <w:sz w:val="22"/>
          <w:szCs w:val="22"/>
        </w:rPr>
        <w:t xml:space="preserve"> directive européenne sur les services de paiement</w:t>
      </w:r>
      <w:r w:rsidR="005A28EA" w:rsidRPr="00460E3D">
        <w:rPr>
          <w:sz w:val="22"/>
          <w:szCs w:val="22"/>
        </w:rPr>
        <w:t xml:space="preserve">. Il est demandé de fournir des </w:t>
      </w:r>
      <w:r w:rsidR="00182A38">
        <w:rPr>
          <w:sz w:val="22"/>
          <w:szCs w:val="22"/>
        </w:rPr>
        <w:t xml:space="preserve">commentaires explicatifs pour </w:t>
      </w:r>
      <w:r w:rsidR="00BD4C10">
        <w:rPr>
          <w:sz w:val="22"/>
          <w:szCs w:val="22"/>
        </w:rPr>
        <w:t xml:space="preserve">les </w:t>
      </w:r>
      <w:r w:rsidR="001C5B1C">
        <w:rPr>
          <w:sz w:val="22"/>
          <w:szCs w:val="22"/>
        </w:rPr>
        <w:t>recommandations pour lesquelles la pleine conformité de l’établissement n’est pas assurée</w:t>
      </w:r>
      <w:r w:rsidR="001F4FEF">
        <w:rPr>
          <w:sz w:val="22"/>
          <w:szCs w:val="22"/>
        </w:rPr>
        <w:t>.</w:t>
      </w:r>
    </w:p>
    <w:p w14:paraId="107C3F03" w14:textId="6D015A96" w:rsidR="00EB01DB" w:rsidRDefault="00EB01DB" w:rsidP="005A28EA">
      <w:pPr>
        <w:rPr>
          <w:sz w:val="22"/>
          <w:szCs w:val="22"/>
        </w:rPr>
      </w:pPr>
    </w:p>
    <w:p w14:paraId="42F676BE" w14:textId="730C0646" w:rsidR="00EB01DB" w:rsidRDefault="00EB01DB" w:rsidP="00EB01DB">
      <w:pPr>
        <w:rPr>
          <w:b/>
          <w:smallCaps/>
          <w:color w:val="1F497D"/>
          <w:sz w:val="28"/>
        </w:rPr>
      </w:pPr>
      <w:r>
        <w:rPr>
          <w:sz w:val="22"/>
          <w:szCs w:val="22"/>
        </w:rPr>
        <w:t xml:space="preserve">S’agissant de la partie IV, elle est destinée à recueillir </w:t>
      </w:r>
      <w:r w:rsidR="000C7C6C">
        <w:rPr>
          <w:sz w:val="22"/>
          <w:szCs w:val="22"/>
        </w:rPr>
        <w:t>les résultats du</w:t>
      </w:r>
      <w:r>
        <w:rPr>
          <w:sz w:val="22"/>
          <w:szCs w:val="22"/>
        </w:rPr>
        <w:t xml:space="preserve"> rapport d’audit devant être établi </w:t>
      </w:r>
      <w:r w:rsidR="00F440D6">
        <w:rPr>
          <w:sz w:val="22"/>
          <w:szCs w:val="22"/>
        </w:rPr>
        <w:t xml:space="preserve">par l’établissement </w:t>
      </w:r>
      <w:r>
        <w:rPr>
          <w:sz w:val="22"/>
          <w:szCs w:val="22"/>
        </w:rPr>
        <w:t xml:space="preserve">en application de l’article 3 du </w:t>
      </w:r>
      <w:r w:rsidRPr="00983B9E">
        <w:rPr>
          <w:sz w:val="22"/>
        </w:rPr>
        <w:t>règlement délégué (UE) 2018/389 de la Commission</w:t>
      </w:r>
      <w:r>
        <w:rPr>
          <w:sz w:val="22"/>
        </w:rPr>
        <w:t xml:space="preserve"> européenne</w:t>
      </w:r>
      <w:r w:rsidRPr="00983B9E">
        <w:rPr>
          <w:sz w:val="22"/>
        </w:rPr>
        <w:t xml:space="preserve"> du 27 novembre 2017 complétant la directive (UE) 2015/2366 du Parlement européen et du Conseil </w:t>
      </w:r>
      <w:r>
        <w:rPr>
          <w:sz w:val="22"/>
        </w:rPr>
        <w:t xml:space="preserve">par </w:t>
      </w:r>
      <w:r w:rsidRPr="00983B9E">
        <w:rPr>
          <w:sz w:val="22"/>
        </w:rPr>
        <w:t xml:space="preserve">des normes techniques de réglementation relatives à l’authentification forte du client et à des normes ouvertes communes </w:t>
      </w:r>
      <w:r>
        <w:rPr>
          <w:sz w:val="22"/>
        </w:rPr>
        <w:t>et sécurisées de communication ou RTS (</w:t>
      </w:r>
      <w:r w:rsidRPr="00A85C3C">
        <w:rPr>
          <w:i/>
          <w:sz w:val="22"/>
        </w:rPr>
        <w:t>Regulatory Technical Standards</w:t>
      </w:r>
      <w:r>
        <w:rPr>
          <w:sz w:val="22"/>
        </w:rPr>
        <w:t xml:space="preserve">). </w:t>
      </w:r>
      <w:r w:rsidR="001505E4">
        <w:rPr>
          <w:sz w:val="22"/>
        </w:rPr>
        <w:t xml:space="preserve">Ces normes techniques constituent des exigences essentielles pour la sécurité des moyens de paiement scripturaux et pour la sécurité des accès aux comptes de paiement et à leurs informations. </w:t>
      </w:r>
      <w:r>
        <w:rPr>
          <w:sz w:val="22"/>
        </w:rPr>
        <w:t xml:space="preserve">Ce rapport a pour objet d’évaluer la conformité de l’établissement au regard des exigences de sécurité inscrites dans les RTS. </w:t>
      </w:r>
      <w:r w:rsidR="009A1A14">
        <w:rPr>
          <w:sz w:val="22"/>
        </w:rPr>
        <w:t>Il se</w:t>
      </w:r>
      <w:r>
        <w:rPr>
          <w:sz w:val="22"/>
        </w:rPr>
        <w:t xml:space="preserve"> présente sous la forme d’un questionnaire reprenant les mesures de sécurité prévues dans les RTS et pour le</w:t>
      </w:r>
      <w:r w:rsidR="009A1A14">
        <w:rPr>
          <w:sz w:val="22"/>
        </w:rPr>
        <w:t>s</w:t>
      </w:r>
      <w:r>
        <w:rPr>
          <w:sz w:val="22"/>
        </w:rPr>
        <w:t>quel</w:t>
      </w:r>
      <w:r w:rsidR="009A1A14">
        <w:rPr>
          <w:sz w:val="22"/>
        </w:rPr>
        <w:t>les</w:t>
      </w:r>
      <w:r>
        <w:rPr>
          <w:sz w:val="22"/>
        </w:rPr>
        <w:t xml:space="preserve"> l’établissement doit fournir des réponses argumentées sur leur mise en œuvre ou le cas échéant, sur le plan d’action envisagé pour s’y conformer. Les éléments de preuve correspondants doivent être mis à la disposition de la Banque de France sur sa demande. Conformément à l’article 3 des RTS, il est rappelé que ce rapport d’audit doit être établi annuellement par les équipes du contrôle périodique</w:t>
      </w:r>
      <w:r w:rsidR="00320DBE">
        <w:rPr>
          <w:sz w:val="22"/>
        </w:rPr>
        <w:t xml:space="preserve"> de l’établissement</w:t>
      </w:r>
      <w:r>
        <w:rPr>
          <w:sz w:val="22"/>
        </w:rPr>
        <w:t>. Toutefois, concernant l’évaluation de la conformité de l’établissement à l’article 18 des RTS en cas d’usage à la dérogation qui y est visée, celle-ci doit être réalisée par un auditeur externe indépendant et qualifié la première année de sa mise en œuvre puis ensuite tous les 3 ans. Cette évaluation a pour objet de vérifier la conformité des conditions de mise en œuvre de l’exemption au titre de l’analyse des risques</w:t>
      </w:r>
      <w:r w:rsidR="00D84D7E">
        <w:rPr>
          <w:sz w:val="22"/>
        </w:rPr>
        <w:t xml:space="preserve"> </w:t>
      </w:r>
      <w:r>
        <w:rPr>
          <w:sz w:val="22"/>
        </w:rPr>
        <w:t xml:space="preserve">et en particulier du taux de fraude mesuré par l’établissement pour le type d’opération de paiement concerné (c’est-à-dire au regard de l’instrument de paiement utilisé et du montant de l’opération de paiement) ; </w:t>
      </w:r>
      <w:r w:rsidR="000C7C6C">
        <w:rPr>
          <w:sz w:val="22"/>
        </w:rPr>
        <w:t xml:space="preserve">cette évaluation réalisée par un auditeur externe </w:t>
      </w:r>
      <w:r>
        <w:rPr>
          <w:sz w:val="22"/>
        </w:rPr>
        <w:t xml:space="preserve">doit être annexée </w:t>
      </w:r>
      <w:r w:rsidR="000C7C6C">
        <w:rPr>
          <w:sz w:val="22"/>
        </w:rPr>
        <w:t xml:space="preserve">à la partie IV sur les conclusions du </w:t>
      </w:r>
      <w:r>
        <w:rPr>
          <w:sz w:val="22"/>
        </w:rPr>
        <w:t>rapport d’audit.</w:t>
      </w:r>
      <w:r>
        <w:rPr>
          <w:b/>
          <w:smallCaps/>
          <w:color w:val="1F497D"/>
          <w:sz w:val="28"/>
        </w:rPr>
        <w:t xml:space="preserve">  </w:t>
      </w:r>
    </w:p>
    <w:p w14:paraId="081382A0" w14:textId="6B1DB9A8" w:rsidR="005A28EA" w:rsidRDefault="005A28EA" w:rsidP="005A28EA">
      <w:pPr>
        <w:jc w:val="left"/>
        <w:rPr>
          <w:rFonts w:eastAsia="Calibri"/>
          <w:b/>
          <w:sz w:val="22"/>
          <w:szCs w:val="22"/>
          <w:highlight w:val="yellow"/>
          <w:u w:val="single"/>
          <w:lang w:eastAsia="en-US"/>
        </w:rPr>
      </w:pPr>
    </w:p>
    <w:p w14:paraId="6E68527F" w14:textId="77777777" w:rsidR="00E23663" w:rsidRPr="00460E3D" w:rsidRDefault="00E23663" w:rsidP="005A28EA">
      <w:pPr>
        <w:jc w:val="left"/>
        <w:rPr>
          <w:rFonts w:eastAsia="Calibri"/>
          <w:b/>
          <w:sz w:val="22"/>
          <w:szCs w:val="22"/>
          <w:highlight w:val="yellow"/>
          <w:u w:val="single"/>
          <w:lang w:eastAsia="en-US"/>
        </w:rPr>
      </w:pPr>
    </w:p>
    <w:p w14:paraId="6F86E0C8" w14:textId="02BFB67E" w:rsidR="005A28EA" w:rsidRPr="00460E3D" w:rsidRDefault="005A28EA" w:rsidP="000C7C6C">
      <w:pPr>
        <w:rPr>
          <w:rFonts w:eastAsia="Calibri"/>
          <w:b/>
          <w:sz w:val="22"/>
          <w:szCs w:val="22"/>
          <w:lang w:eastAsia="en-US"/>
        </w:rPr>
      </w:pPr>
      <w:r w:rsidRPr="00460E3D">
        <w:rPr>
          <w:rFonts w:eastAsia="Calibri"/>
          <w:b/>
          <w:sz w:val="22"/>
          <w:szCs w:val="22"/>
          <w:lang w:eastAsia="en-US"/>
        </w:rPr>
        <w:t>Remarque importante concernant les</w:t>
      </w:r>
      <w:r w:rsidR="000C7C6C">
        <w:rPr>
          <w:rFonts w:eastAsia="Calibri"/>
          <w:b/>
          <w:sz w:val="22"/>
          <w:szCs w:val="22"/>
          <w:lang w:eastAsia="en-US"/>
        </w:rPr>
        <w:t xml:space="preserve"> établissements bancaires affiliés à un groupe, réseau ou organe central, ce dernier étant responsable au niveau central du dispositif de contrôle interne et de maîtrise des risques sur la sécurité des moyens de paiement et de l’accès aux comptes</w:t>
      </w:r>
      <w:r w:rsidR="00571764">
        <w:rPr>
          <w:rFonts w:eastAsia="Calibri"/>
          <w:b/>
          <w:sz w:val="22"/>
          <w:szCs w:val="22"/>
          <w:lang w:eastAsia="en-US"/>
        </w:rPr>
        <w:t>.</w:t>
      </w:r>
    </w:p>
    <w:p w14:paraId="246A3C63" w14:textId="77777777" w:rsidR="005A28EA" w:rsidRPr="00460E3D" w:rsidRDefault="005A28EA" w:rsidP="005A28EA">
      <w:pPr>
        <w:jc w:val="left"/>
        <w:rPr>
          <w:rFonts w:eastAsia="Calibri"/>
          <w:b/>
          <w:sz w:val="22"/>
          <w:szCs w:val="22"/>
          <w:u w:val="single"/>
          <w:lang w:eastAsia="en-US"/>
        </w:rPr>
      </w:pPr>
    </w:p>
    <w:p w14:paraId="380034BD" w14:textId="48117720" w:rsidR="002435AD" w:rsidRDefault="000C7C6C" w:rsidP="00D63D99">
      <w:pPr>
        <w:numPr>
          <w:ilvl w:val="0"/>
          <w:numId w:val="109"/>
        </w:numPr>
        <w:spacing w:after="200"/>
        <w:rPr>
          <w:sz w:val="22"/>
        </w:rPr>
      </w:pPr>
      <w:r>
        <w:rPr>
          <w:sz w:val="22"/>
        </w:rPr>
        <w:t>P</w:t>
      </w:r>
      <w:r w:rsidR="002435AD">
        <w:rPr>
          <w:sz w:val="22"/>
        </w:rPr>
        <w:t>our la partie portant sur la présentation de chaque moyen de paiement (I), l’établissement affilié est tenu de présenter so</w:t>
      </w:r>
      <w:r w:rsidR="000E3C71">
        <w:rPr>
          <w:sz w:val="22"/>
        </w:rPr>
        <w:t>n offre de produits et services</w:t>
      </w:r>
      <w:r w:rsidR="002435AD">
        <w:rPr>
          <w:sz w:val="22"/>
        </w:rPr>
        <w:t xml:space="preserve"> ainsi que l’organisation opérationnelle de l’activité. En revanche, il est dispensé de produire la grille d’analyse des risques et principaux incidents de fraude et doit mentionner « </w:t>
      </w:r>
      <w:r w:rsidR="002435AD" w:rsidRPr="002F6550">
        <w:rPr>
          <w:i/>
          <w:sz w:val="22"/>
        </w:rPr>
        <w:t xml:space="preserve">qu’il se réfère à ce qui a été décrit par </w:t>
      </w:r>
      <w:r w:rsidRPr="002F6550">
        <w:rPr>
          <w:i/>
          <w:sz w:val="22"/>
        </w:rPr>
        <w:t>l’établissement en charge du dispositif de contrôle et de maîtrise des risques dans sa propre annexe</w:t>
      </w:r>
      <w:r w:rsidR="002435AD">
        <w:rPr>
          <w:sz w:val="22"/>
        </w:rPr>
        <w:t> ».</w:t>
      </w:r>
    </w:p>
    <w:p w14:paraId="7AF3FE4A" w14:textId="18E2FC97" w:rsidR="005A28EA" w:rsidRPr="00460E3D" w:rsidRDefault="000C7C6C" w:rsidP="00D63D99">
      <w:pPr>
        <w:numPr>
          <w:ilvl w:val="0"/>
          <w:numId w:val="109"/>
        </w:numPr>
        <w:spacing w:after="200"/>
        <w:rPr>
          <w:sz w:val="22"/>
        </w:rPr>
      </w:pPr>
      <w:r>
        <w:rPr>
          <w:sz w:val="22"/>
        </w:rPr>
        <w:t>C</w:t>
      </w:r>
      <w:r w:rsidR="00FF7F03">
        <w:rPr>
          <w:sz w:val="22"/>
        </w:rPr>
        <w:t xml:space="preserve">oncernant la partie consacrée </w:t>
      </w:r>
      <w:r w:rsidR="005A28EA" w:rsidRPr="00460E3D">
        <w:rPr>
          <w:sz w:val="22"/>
        </w:rPr>
        <w:t xml:space="preserve">à </w:t>
      </w:r>
      <w:r w:rsidR="00481D58">
        <w:rPr>
          <w:sz w:val="22"/>
        </w:rPr>
        <w:t>la présentation des résultats du</w:t>
      </w:r>
      <w:r w:rsidR="005A28EA" w:rsidRPr="00460E3D">
        <w:rPr>
          <w:sz w:val="22"/>
        </w:rPr>
        <w:t xml:space="preserve"> contrôle périodique</w:t>
      </w:r>
      <w:r w:rsidR="00FF7F03">
        <w:rPr>
          <w:sz w:val="22"/>
        </w:rPr>
        <w:t xml:space="preserve"> (II), s</w:t>
      </w:r>
      <w:r w:rsidR="005A28EA" w:rsidRPr="00460E3D">
        <w:rPr>
          <w:sz w:val="22"/>
        </w:rPr>
        <w:t xml:space="preserve">i </w:t>
      </w:r>
      <w:r w:rsidR="003D6747">
        <w:rPr>
          <w:sz w:val="22"/>
        </w:rPr>
        <w:t>celui-ci</w:t>
      </w:r>
      <w:r w:rsidR="00481D58">
        <w:rPr>
          <w:sz w:val="22"/>
        </w:rPr>
        <w:t xml:space="preserve"> </w:t>
      </w:r>
      <w:r w:rsidR="005A28EA" w:rsidRPr="00460E3D">
        <w:rPr>
          <w:sz w:val="22"/>
        </w:rPr>
        <w:t>est effectué</w:t>
      </w:r>
      <w:r w:rsidR="00481D58">
        <w:rPr>
          <w:sz w:val="22"/>
        </w:rPr>
        <w:t xml:space="preserve"> </w:t>
      </w:r>
      <w:r w:rsidR="005A28EA" w:rsidRPr="00460E3D">
        <w:rPr>
          <w:sz w:val="22"/>
        </w:rPr>
        <w:t xml:space="preserve">sous la responsabilité </w:t>
      </w:r>
      <w:r>
        <w:rPr>
          <w:sz w:val="22"/>
        </w:rPr>
        <w:t xml:space="preserve">du groupe, réseau ou organe central </w:t>
      </w:r>
      <w:r w:rsidR="005A28EA" w:rsidRPr="00460E3D">
        <w:rPr>
          <w:sz w:val="22"/>
        </w:rPr>
        <w:t xml:space="preserve">et décrit par </w:t>
      </w:r>
      <w:r w:rsidR="007A72CC">
        <w:rPr>
          <w:sz w:val="22"/>
        </w:rPr>
        <w:t>ce</w:t>
      </w:r>
      <w:r w:rsidR="005A28EA" w:rsidRPr="00460E3D">
        <w:rPr>
          <w:sz w:val="22"/>
        </w:rPr>
        <w:t>lui</w:t>
      </w:r>
      <w:r w:rsidR="007A72CC">
        <w:rPr>
          <w:sz w:val="22"/>
        </w:rPr>
        <w:t>-ci dans sa propre annexe</w:t>
      </w:r>
      <w:r w:rsidR="00FF7F03">
        <w:rPr>
          <w:sz w:val="22"/>
        </w:rPr>
        <w:t xml:space="preserve">, </w:t>
      </w:r>
      <w:r w:rsidR="005A28EA" w:rsidRPr="00460E3D">
        <w:rPr>
          <w:sz w:val="22"/>
        </w:rPr>
        <w:t xml:space="preserve">seuls les contrôles propres à l’établissement affilié doivent être fournis par ce dernier. </w:t>
      </w:r>
    </w:p>
    <w:p w14:paraId="4A91176F" w14:textId="046C5F4B" w:rsidR="000D1BED" w:rsidRDefault="007A72CC" w:rsidP="00460E3D">
      <w:pPr>
        <w:numPr>
          <w:ilvl w:val="0"/>
          <w:numId w:val="32"/>
        </w:numPr>
        <w:spacing w:after="200"/>
        <w:ind w:left="714" w:hanging="357"/>
        <w:rPr>
          <w:sz w:val="22"/>
        </w:rPr>
      </w:pPr>
      <w:r>
        <w:rPr>
          <w:sz w:val="22"/>
        </w:rPr>
        <w:t>P</w:t>
      </w:r>
      <w:r w:rsidR="00FF7F03">
        <w:rPr>
          <w:sz w:val="22"/>
        </w:rPr>
        <w:t xml:space="preserve">our la partie destinée à recueillir l’auto-évaluation de </w:t>
      </w:r>
      <w:r w:rsidR="008F277D">
        <w:rPr>
          <w:sz w:val="22"/>
        </w:rPr>
        <w:t xml:space="preserve">la </w:t>
      </w:r>
      <w:r w:rsidR="00FF7F03">
        <w:rPr>
          <w:sz w:val="22"/>
        </w:rPr>
        <w:t xml:space="preserve">conformité aux recommandations d’organismes externes en matière de sécurité des moyens de paiement scripturaux (III), </w:t>
      </w:r>
      <w:r w:rsidR="005A28EA" w:rsidRPr="00460E3D">
        <w:rPr>
          <w:sz w:val="22"/>
        </w:rPr>
        <w:t xml:space="preserve">l’établissement affilié </w:t>
      </w:r>
      <w:r w:rsidR="0049058F">
        <w:rPr>
          <w:sz w:val="22"/>
        </w:rPr>
        <w:t xml:space="preserve">en est dispensé et </w:t>
      </w:r>
      <w:r w:rsidR="005A28EA" w:rsidRPr="00460E3D">
        <w:rPr>
          <w:sz w:val="22"/>
        </w:rPr>
        <w:t xml:space="preserve">doit </w:t>
      </w:r>
      <w:r w:rsidR="008F277D">
        <w:rPr>
          <w:sz w:val="22"/>
        </w:rPr>
        <w:t xml:space="preserve">mentionner </w:t>
      </w:r>
      <w:r w:rsidR="008F277D" w:rsidRPr="002F6550">
        <w:rPr>
          <w:i/>
          <w:sz w:val="22"/>
        </w:rPr>
        <w:t>« qu’il se réfère à ce qui a été décrit par l’</w:t>
      </w:r>
      <w:r w:rsidRPr="007A72CC">
        <w:rPr>
          <w:i/>
          <w:sz w:val="22"/>
        </w:rPr>
        <w:t>établissement en charge du dispositif de contrôle interne et de maîtrise des risques</w:t>
      </w:r>
      <w:r w:rsidRPr="002F6550">
        <w:rPr>
          <w:i/>
          <w:sz w:val="22"/>
        </w:rPr>
        <w:t xml:space="preserve"> </w:t>
      </w:r>
      <w:r w:rsidR="008F277D" w:rsidRPr="002F6550">
        <w:rPr>
          <w:i/>
          <w:sz w:val="22"/>
        </w:rPr>
        <w:t>dans sa propre annexe »</w:t>
      </w:r>
      <w:r w:rsidR="004A4BC8">
        <w:rPr>
          <w:sz w:val="22"/>
        </w:rPr>
        <w:t>.</w:t>
      </w:r>
    </w:p>
    <w:p w14:paraId="7D6F4F98" w14:textId="49E9B1B6" w:rsidR="005A28EA" w:rsidRPr="00460E3D" w:rsidRDefault="007A72CC" w:rsidP="00D1728C">
      <w:pPr>
        <w:numPr>
          <w:ilvl w:val="0"/>
          <w:numId w:val="32"/>
        </w:numPr>
        <w:spacing w:after="60"/>
        <w:ind w:left="714" w:hanging="357"/>
        <w:rPr>
          <w:sz w:val="22"/>
        </w:rPr>
      </w:pPr>
      <w:r>
        <w:rPr>
          <w:sz w:val="22"/>
        </w:rPr>
        <w:t>S</w:t>
      </w:r>
      <w:r w:rsidR="000D1BED">
        <w:rPr>
          <w:sz w:val="22"/>
        </w:rPr>
        <w:t>’agissant du rapport d’audit sur la mise en œuvre des mesure</w:t>
      </w:r>
      <w:r w:rsidR="00DD1663">
        <w:rPr>
          <w:sz w:val="22"/>
        </w:rPr>
        <w:t>s</w:t>
      </w:r>
      <w:r w:rsidR="000D1BED">
        <w:rPr>
          <w:sz w:val="22"/>
        </w:rPr>
        <w:t xml:space="preserve"> de sécurité inscrites dans les RTS (IV), l’établissement affilié en est dispensé et doit mentionner </w:t>
      </w:r>
      <w:r w:rsidR="000D1BED" w:rsidRPr="002F6550">
        <w:rPr>
          <w:i/>
          <w:sz w:val="22"/>
        </w:rPr>
        <w:t>« qu’il se réfère à ce qui a été décrit par l’</w:t>
      </w:r>
      <w:r w:rsidRPr="00EE2088">
        <w:rPr>
          <w:i/>
          <w:sz w:val="22"/>
        </w:rPr>
        <w:t xml:space="preserve">établissement en charge du dispositif de contrôle interne et de maîtrise des risques </w:t>
      </w:r>
      <w:r w:rsidR="000D1BED" w:rsidRPr="002F6550">
        <w:rPr>
          <w:i/>
          <w:sz w:val="22"/>
        </w:rPr>
        <w:t>dans sa propre annexe </w:t>
      </w:r>
      <w:r w:rsidR="000D1BED">
        <w:rPr>
          <w:sz w:val="22"/>
        </w:rPr>
        <w:t>».</w:t>
      </w:r>
    </w:p>
    <w:p w14:paraId="324D7E05" w14:textId="77777777" w:rsidR="005A28EA" w:rsidRPr="00460E3D" w:rsidRDefault="005A28EA" w:rsidP="005A28EA">
      <w:pPr>
        <w:ind w:left="709" w:right="567" w:hanging="142"/>
        <w:jc w:val="left"/>
        <w:rPr>
          <w:rFonts w:eastAsia="Calibri"/>
          <w:sz w:val="22"/>
          <w:szCs w:val="22"/>
          <w:lang w:eastAsia="en-US"/>
        </w:rPr>
      </w:pPr>
    </w:p>
    <w:p w14:paraId="27D6224C" w14:textId="7ABB8460" w:rsidR="005A28EA" w:rsidRDefault="007A72CC" w:rsidP="002F6550">
      <w:pPr>
        <w:rPr>
          <w:b/>
          <w:sz w:val="22"/>
          <w:szCs w:val="22"/>
        </w:rPr>
      </w:pPr>
      <w:r w:rsidRPr="005D2607">
        <w:rPr>
          <w:b/>
          <w:sz w:val="22"/>
          <w:szCs w:val="22"/>
        </w:rPr>
        <w:t>Quand l’établissement renvoie le lecteur à l’annexe produite p</w:t>
      </w:r>
      <w:r>
        <w:rPr>
          <w:b/>
          <w:sz w:val="22"/>
          <w:szCs w:val="22"/>
        </w:rPr>
        <w:t xml:space="preserve">ar l’établissement en charge du </w:t>
      </w:r>
      <w:r w:rsidRPr="005D2607">
        <w:rPr>
          <w:b/>
          <w:sz w:val="22"/>
          <w:szCs w:val="22"/>
        </w:rPr>
        <w:t xml:space="preserve">dispositif de contrôle interne et de maîtrise des risques </w:t>
      </w:r>
      <w:r>
        <w:rPr>
          <w:b/>
          <w:sz w:val="22"/>
          <w:szCs w:val="22"/>
        </w:rPr>
        <w:t>pour</w:t>
      </w:r>
      <w:r w:rsidRPr="005D2607">
        <w:rPr>
          <w:b/>
          <w:sz w:val="22"/>
          <w:szCs w:val="22"/>
        </w:rPr>
        <w:t xml:space="preserve"> la sécurité des moyens des paiements et de l’accès aux comptes, il spécifie l’identité exacte et le code interbancaire de l’établissement en question.</w:t>
      </w:r>
    </w:p>
    <w:p w14:paraId="323C7749" w14:textId="55F7B6E4" w:rsidR="007A72CC" w:rsidRDefault="007A72CC" w:rsidP="005A28EA">
      <w:pPr>
        <w:ind w:left="284"/>
        <w:rPr>
          <w:sz w:val="22"/>
          <w:szCs w:val="24"/>
        </w:rPr>
      </w:pPr>
    </w:p>
    <w:p w14:paraId="1B302704" w14:textId="72846DF9" w:rsidR="00E23663" w:rsidRDefault="00E23663" w:rsidP="005A28EA">
      <w:pPr>
        <w:ind w:left="284"/>
        <w:rPr>
          <w:sz w:val="22"/>
          <w:szCs w:val="24"/>
        </w:rPr>
      </w:pPr>
    </w:p>
    <w:p w14:paraId="1032FDDF"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14:paraId="0F42071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57"/>
        <w:gridCol w:w="7405"/>
      </w:tblGrid>
      <w:tr w:rsidR="005A28EA" w:rsidRPr="00C0062E" w14:paraId="2FDA7807" w14:textId="77777777" w:rsidTr="005A28EA">
        <w:tc>
          <w:tcPr>
            <w:tcW w:w="1668" w:type="dxa"/>
            <w:shd w:val="clear" w:color="auto" w:fill="000000" w:themeFill="text1"/>
          </w:tcPr>
          <w:p w14:paraId="7317B8BA" w14:textId="77777777"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14:paraId="7016A590" w14:textId="77777777"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33F0B" w:rsidRPr="00C0062E" w14:paraId="088EBB92" w14:textId="77777777" w:rsidTr="00D1728C">
        <w:trPr>
          <w:trHeight w:val="2986"/>
        </w:trPr>
        <w:tc>
          <w:tcPr>
            <w:tcW w:w="1668" w:type="dxa"/>
          </w:tcPr>
          <w:p w14:paraId="6B3B81FA" w14:textId="77777777" w:rsidR="00133F0B" w:rsidRPr="00D30BB4" w:rsidRDefault="00133F0B" w:rsidP="005A28EA">
            <w:pPr>
              <w:jc w:val="left"/>
              <w:rPr>
                <w:rFonts w:ascii="Times New Roman" w:hAnsi="Times New Roman"/>
                <w:sz w:val="22"/>
              </w:rPr>
            </w:pPr>
            <w:r w:rsidRPr="00D30BB4">
              <w:rPr>
                <w:rFonts w:ascii="Times New Roman" w:hAnsi="Times New Roman"/>
                <w:sz w:val="22"/>
              </w:rPr>
              <w:t xml:space="preserve">Canal d’initiation </w:t>
            </w:r>
          </w:p>
        </w:tc>
        <w:tc>
          <w:tcPr>
            <w:tcW w:w="7512" w:type="dxa"/>
          </w:tcPr>
          <w:p w14:paraId="64F64110" w14:textId="77777777" w:rsidR="00C234E5" w:rsidRPr="00D30BB4" w:rsidRDefault="00C234E5" w:rsidP="00D63D99">
            <w:pPr>
              <w:rPr>
                <w:rFonts w:ascii="Times New Roman" w:hAnsi="Times New Roman"/>
              </w:rPr>
            </w:pPr>
            <w:r w:rsidRPr="00D30BB4">
              <w:rPr>
                <w:rFonts w:ascii="Times New Roman" w:hAnsi="Times New Roman"/>
                <w:sz w:val="22"/>
              </w:rPr>
              <w:t xml:space="preserve">Selon les différents </w:t>
            </w:r>
            <w:r w:rsidR="00905E1F" w:rsidRPr="00D30BB4">
              <w:rPr>
                <w:rFonts w:ascii="Times New Roman" w:hAnsi="Times New Roman"/>
                <w:sz w:val="22"/>
              </w:rPr>
              <w:t xml:space="preserve">services et </w:t>
            </w:r>
            <w:r w:rsidRPr="00D30BB4">
              <w:rPr>
                <w:rFonts w:ascii="Times New Roman" w:hAnsi="Times New Roman"/>
                <w:sz w:val="22"/>
              </w:rPr>
              <w:t>moyens de paiement, la notion de canal d’initiation correspond :</w:t>
            </w:r>
          </w:p>
          <w:p w14:paraId="562AFCB8"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 xml:space="preserve">pour la carte, au canal d’utilisation de la carte : paiement point de vente, retrait, paiement à distance, sans contact, enrôlement dans des </w:t>
            </w:r>
            <w:r w:rsidRPr="00D30BB4">
              <w:rPr>
                <w:rFonts w:ascii="Times New Roman" w:hAnsi="Times New Roman"/>
                <w:i/>
              </w:rPr>
              <w:t>wallets</w:t>
            </w:r>
            <w:r w:rsidRPr="00D30BB4">
              <w:rPr>
                <w:rFonts w:ascii="Times New Roman" w:hAnsi="Times New Roman"/>
              </w:rPr>
              <w:t xml:space="preserve"> internet ou des solutions de paiement mobile</w:t>
            </w:r>
            <w:r w:rsidR="00316148" w:rsidRPr="00D30BB4">
              <w:rPr>
                <w:rFonts w:ascii="Times New Roman" w:hAnsi="Times New Roman"/>
              </w:rPr>
              <w:t xml:space="preserve"> </w:t>
            </w:r>
            <w:r w:rsidRPr="00D30BB4">
              <w:rPr>
                <w:rFonts w:ascii="Times New Roman" w:hAnsi="Times New Roman"/>
              </w:rPr>
              <w:t>;</w:t>
            </w:r>
          </w:p>
          <w:p w14:paraId="4A2E0CFD"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virement, au canal de réception de l’ordre de virement : guichet, espace de banque en ligne, solution de télétransmission… ;</w:t>
            </w:r>
          </w:p>
          <w:p w14:paraId="63B52032"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prélèvement, au canal de réception des ordres de prélèvement ;</w:t>
            </w:r>
          </w:p>
          <w:p w14:paraId="36A119A6" w14:textId="77777777" w:rsidR="00133F0B" w:rsidRPr="00D30BB4" w:rsidRDefault="00C234E5" w:rsidP="00D63D99">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chèque, au canal de remise du chèque : courrier, automate…</w:t>
            </w:r>
          </w:p>
          <w:p w14:paraId="5D61B5F7" w14:textId="77777777" w:rsidR="00905E1F" w:rsidRPr="00D30BB4" w:rsidRDefault="00905E1F" w:rsidP="00D1728C">
            <w:pPr>
              <w:pStyle w:val="Paragraphedeliste"/>
              <w:numPr>
                <w:ilvl w:val="0"/>
                <w:numId w:val="110"/>
              </w:numPr>
              <w:spacing w:after="60" w:line="276" w:lineRule="auto"/>
              <w:ind w:left="714" w:hanging="357"/>
              <w:contextualSpacing w:val="0"/>
              <w:rPr>
                <w:rFonts w:ascii="Times New Roman" w:hAnsi="Times New Roman"/>
              </w:rPr>
            </w:pPr>
            <w:r w:rsidRPr="00D30BB4">
              <w:rPr>
                <w:rFonts w:ascii="Times New Roman" w:hAnsi="Times New Roman"/>
              </w:rPr>
              <w:t xml:space="preserve">pour les services </w:t>
            </w:r>
            <w:r w:rsidRPr="00D30BB4">
              <w:rPr>
                <w:rFonts w:ascii="Times New Roman" w:hAnsi="Times New Roman"/>
                <w:szCs w:val="18"/>
              </w:rPr>
              <w:t>d’information sur les comptes et d’initiation de paiement au moyen de connexion : site web, application mobile, protocole dédié…</w:t>
            </w:r>
          </w:p>
        </w:tc>
      </w:tr>
      <w:tr w:rsidR="005A28EA" w:rsidRPr="00C0062E" w14:paraId="738BA2EB" w14:textId="77777777" w:rsidTr="005A28EA">
        <w:tc>
          <w:tcPr>
            <w:tcW w:w="1668" w:type="dxa"/>
          </w:tcPr>
          <w:p w14:paraId="66BE86A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externe</w:t>
            </w:r>
          </w:p>
        </w:tc>
        <w:tc>
          <w:tcPr>
            <w:tcW w:w="7512" w:type="dxa"/>
          </w:tcPr>
          <w:p w14:paraId="3640EB32" w14:textId="41FA648D" w:rsidR="000C32D1" w:rsidRPr="00D30BB4" w:rsidRDefault="005A28EA" w:rsidP="000C32D1">
            <w:pPr>
              <w:rPr>
                <w:rFonts w:ascii="Times New Roman" w:hAnsi="Times New Roman"/>
                <w:sz w:val="22"/>
              </w:rPr>
            </w:pPr>
            <w:r w:rsidRPr="00D30BB4">
              <w:rPr>
                <w:rFonts w:ascii="Times New Roman" w:hAnsi="Times New Roman"/>
                <w:sz w:val="22"/>
              </w:rPr>
              <w:t xml:space="preserve">Dans le domaine des moyens de paiement, détournement de ces derniers, par des actes de tiers, au profit d’un bénéficiaire illégitime. </w:t>
            </w:r>
          </w:p>
        </w:tc>
      </w:tr>
      <w:tr w:rsidR="005A28EA" w:rsidRPr="00C0062E" w14:paraId="2CD56005" w14:textId="77777777" w:rsidTr="005A28EA">
        <w:tc>
          <w:tcPr>
            <w:tcW w:w="1668" w:type="dxa"/>
          </w:tcPr>
          <w:p w14:paraId="4EF615B2"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interne</w:t>
            </w:r>
          </w:p>
        </w:tc>
        <w:tc>
          <w:tcPr>
            <w:tcW w:w="7512" w:type="dxa"/>
          </w:tcPr>
          <w:p w14:paraId="51AB1F1C" w14:textId="773739C3" w:rsidR="000C32D1" w:rsidRPr="00D30BB4" w:rsidRDefault="005A28EA" w:rsidP="000C32D1">
            <w:pPr>
              <w:rPr>
                <w:rFonts w:ascii="Times New Roman" w:hAnsi="Times New Roman"/>
                <w:sz w:val="22"/>
              </w:rPr>
            </w:pPr>
            <w:r w:rsidRPr="00D30BB4">
              <w:rPr>
                <w:rFonts w:ascii="Times New Roman" w:hAnsi="Times New Roman"/>
                <w:color w:val="000000"/>
                <w:sz w:val="22"/>
              </w:rPr>
              <w:t>Dans le domaine des moyens de paiement, détournement de ces derniers, par des actes de tiers et impliquant au moins un membre de l’entreprise, au profit d’un bénéficiaire illégitime.</w:t>
            </w:r>
          </w:p>
        </w:tc>
      </w:tr>
      <w:tr w:rsidR="005A28EA" w:rsidRPr="00C0062E" w14:paraId="0C363CB1" w14:textId="77777777" w:rsidTr="005A28EA">
        <w:tc>
          <w:tcPr>
            <w:tcW w:w="1668" w:type="dxa"/>
          </w:tcPr>
          <w:p w14:paraId="10D17A68"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brute</w:t>
            </w:r>
          </w:p>
        </w:tc>
        <w:tc>
          <w:tcPr>
            <w:tcW w:w="7512" w:type="dxa"/>
          </w:tcPr>
          <w:p w14:paraId="4F51B269" w14:textId="1A7C6B65" w:rsidR="000C32D1" w:rsidRPr="00D30BB4" w:rsidRDefault="005A28EA" w:rsidP="000C32D1">
            <w:pPr>
              <w:rPr>
                <w:rFonts w:ascii="Times New Roman" w:hAnsi="Times New Roman"/>
                <w:sz w:val="22"/>
              </w:rPr>
            </w:pPr>
            <w:r w:rsidRPr="00D30BB4">
              <w:rPr>
                <w:rFonts w:ascii="Times New Roman" w:hAnsi="Times New Roman"/>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5A28EA" w:rsidRPr="00C0062E" w14:paraId="70CF9299" w14:textId="77777777" w:rsidTr="005A28EA">
        <w:tc>
          <w:tcPr>
            <w:tcW w:w="1668" w:type="dxa"/>
          </w:tcPr>
          <w:p w14:paraId="17C2FDE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Risque brut</w:t>
            </w:r>
          </w:p>
        </w:tc>
        <w:tc>
          <w:tcPr>
            <w:tcW w:w="7512" w:type="dxa"/>
          </w:tcPr>
          <w:p w14:paraId="2E93A28C" w14:textId="7E8E121E" w:rsidR="000C32D1" w:rsidRPr="00D30BB4" w:rsidRDefault="005A28EA" w:rsidP="000C32D1">
            <w:pPr>
              <w:rPr>
                <w:rFonts w:ascii="Times New Roman" w:hAnsi="Times New Roman"/>
                <w:sz w:val="22"/>
              </w:rPr>
            </w:pPr>
            <w:r w:rsidRPr="00D30BB4">
              <w:rPr>
                <w:rFonts w:ascii="Times New Roman" w:hAnsi="Times New Roman"/>
                <w:sz w:val="22"/>
              </w:rPr>
              <w:t>Les risques susceptibles d’affecter le bon fonctionnement et la sécurité des moyens de paiement, avant la prise en compte par l’établissement des procédures et mesures pour les maîtriser.</w:t>
            </w:r>
          </w:p>
        </w:tc>
      </w:tr>
      <w:tr w:rsidR="005A28EA" w:rsidRPr="00C0062E" w14:paraId="5779E0EE" w14:textId="77777777" w:rsidTr="005A28EA">
        <w:tc>
          <w:tcPr>
            <w:tcW w:w="1668" w:type="dxa"/>
          </w:tcPr>
          <w:p w14:paraId="6637EB32" w14:textId="77777777" w:rsidR="005A28EA" w:rsidRPr="00D30BB4" w:rsidRDefault="005A28EA" w:rsidP="005A28EA">
            <w:pPr>
              <w:jc w:val="left"/>
              <w:rPr>
                <w:rFonts w:ascii="Times New Roman" w:hAnsi="Times New Roman"/>
                <w:sz w:val="22"/>
              </w:rPr>
            </w:pPr>
            <w:r w:rsidRPr="00D30BB4">
              <w:rPr>
                <w:rFonts w:ascii="Times New Roman" w:hAnsi="Times New Roman"/>
                <w:sz w:val="22"/>
              </w:rPr>
              <w:t>Risque résiduel</w:t>
            </w:r>
          </w:p>
        </w:tc>
        <w:tc>
          <w:tcPr>
            <w:tcW w:w="7512" w:type="dxa"/>
          </w:tcPr>
          <w:p w14:paraId="0A46C17F" w14:textId="5858631F" w:rsidR="000C32D1" w:rsidRPr="00D30BB4" w:rsidRDefault="005A28EA" w:rsidP="000C32D1">
            <w:pPr>
              <w:rPr>
                <w:rFonts w:ascii="Times New Roman" w:hAnsi="Times New Roman"/>
                <w:sz w:val="22"/>
              </w:rPr>
            </w:pPr>
            <w:r w:rsidRPr="00D30BB4">
              <w:rPr>
                <w:rFonts w:ascii="Times New Roman" w:hAnsi="Times New Roman"/>
                <w:sz w:val="22"/>
              </w:rPr>
              <w:t>Risque subsistant après prise en compte des mesures de couverture.</w:t>
            </w:r>
          </w:p>
        </w:tc>
      </w:tr>
      <w:tr w:rsidR="005A28EA" w:rsidRPr="00C0062E" w14:paraId="1046E52D" w14:textId="77777777" w:rsidTr="005A28EA">
        <w:tc>
          <w:tcPr>
            <w:tcW w:w="1668" w:type="dxa"/>
          </w:tcPr>
          <w:p w14:paraId="79B6E25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Mesures de couverture</w:t>
            </w:r>
          </w:p>
        </w:tc>
        <w:tc>
          <w:tcPr>
            <w:tcW w:w="7512" w:type="dxa"/>
          </w:tcPr>
          <w:p w14:paraId="78167301" w14:textId="20DF4600" w:rsidR="000C32D1" w:rsidRPr="00D30BB4" w:rsidRDefault="005A28EA" w:rsidP="000C32D1">
            <w:pPr>
              <w:rPr>
                <w:rFonts w:ascii="Times New Roman" w:hAnsi="Times New Roman"/>
                <w:sz w:val="22"/>
              </w:rPr>
            </w:pPr>
            <w:r w:rsidRPr="00D30BB4">
              <w:rPr>
                <w:rFonts w:ascii="Times New Roman" w:hAnsi="Times New Roman"/>
                <w:sz w:val="22"/>
              </w:rPr>
              <w:t>Ensemble d’actions mises en place par l’établissement afin de mieux maitriser ses risques, en diminuant leur impact ainsi que leur fréquence de survenance.</w:t>
            </w:r>
          </w:p>
        </w:tc>
      </w:tr>
    </w:tbl>
    <w:p w14:paraId="504CACD6" w14:textId="66591FB0" w:rsidR="005A28EA" w:rsidRPr="00460E3D" w:rsidRDefault="005A28EA" w:rsidP="005A28EA">
      <w:pPr>
        <w:jc w:val="left"/>
        <w:rPr>
          <w:rFonts w:eastAsia="Calibri"/>
          <w:b/>
          <w:sz w:val="22"/>
          <w:szCs w:val="22"/>
          <w:lang w:eastAsia="en-US"/>
        </w:rPr>
      </w:pPr>
    </w:p>
    <w:p w14:paraId="288F7A9D" w14:textId="77777777" w:rsidR="005A28EA" w:rsidRPr="00460E3D" w:rsidRDefault="005A28EA" w:rsidP="005A28EA">
      <w:pPr>
        <w:spacing w:after="200" w:line="276" w:lineRule="auto"/>
        <w:jc w:val="left"/>
        <w:rPr>
          <w:rFonts w:eastAsia="Calibri"/>
          <w:b/>
          <w:smallCaps/>
          <w:color w:val="1F497D"/>
          <w:sz w:val="28"/>
          <w:szCs w:val="22"/>
          <w:lang w:eastAsia="en-US"/>
        </w:rPr>
        <w:sectPr w:rsidR="005A28EA" w:rsidRPr="00460E3D" w:rsidSect="00D63D99">
          <w:pgSz w:w="11906" w:h="16838"/>
          <w:pgMar w:top="1276"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002"/>
      </w:tblGrid>
      <w:tr w:rsidR="005A28EA" w:rsidRPr="00C0062E" w14:paraId="28EDF218" w14:textId="77777777" w:rsidTr="005A28EA">
        <w:tc>
          <w:tcPr>
            <w:tcW w:w="14142" w:type="dxa"/>
            <w:shd w:val="clear" w:color="auto" w:fill="FFFFFF" w:themeFill="background1"/>
          </w:tcPr>
          <w:p w14:paraId="235FAFF4" w14:textId="3D918AA4" w:rsidR="005A28EA" w:rsidRPr="00460E3D" w:rsidRDefault="005A28EA" w:rsidP="005A28EA">
            <w:pPr>
              <w:jc w:val="left"/>
              <w:rPr>
                <w:rFonts w:ascii="Times New Roman" w:hAnsi="Times New Roman"/>
                <w:b/>
                <w:smallCaps/>
                <w:color w:val="1F497D"/>
                <w:sz w:val="28"/>
              </w:rPr>
            </w:pPr>
            <w:r w:rsidRPr="00460E3D">
              <w:rPr>
                <w:b/>
                <w:smallCaps/>
                <w:color w:val="1F497D"/>
                <w:sz w:val="28"/>
              </w:rPr>
              <w:t xml:space="preserve">I - Présentation des moyens </w:t>
            </w:r>
            <w:r w:rsidR="001505E4">
              <w:rPr>
                <w:b/>
                <w:smallCaps/>
                <w:color w:val="1F497D"/>
                <w:sz w:val="28"/>
              </w:rPr>
              <w:t>et services</w:t>
            </w:r>
            <w:r w:rsidR="001505E4" w:rsidRPr="00460E3D">
              <w:rPr>
                <w:b/>
                <w:smallCaps/>
                <w:color w:val="1F497D"/>
                <w:sz w:val="28"/>
              </w:rPr>
              <w:t xml:space="preserve"> </w:t>
            </w:r>
            <w:r w:rsidRPr="00460E3D">
              <w:rPr>
                <w:b/>
                <w:smallCaps/>
                <w:color w:val="1F497D"/>
                <w:sz w:val="28"/>
              </w:rPr>
              <w:t>de paiement et des risques de fraude encourus par l’établissement</w:t>
            </w:r>
          </w:p>
        </w:tc>
      </w:tr>
    </w:tbl>
    <w:p w14:paraId="4B6D3D03"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4BECA82E" w14:textId="77777777" w:rsidTr="005A28EA">
        <w:tc>
          <w:tcPr>
            <w:tcW w:w="14142" w:type="dxa"/>
            <w:shd w:val="clear" w:color="auto" w:fill="FBD4B4" w:themeFill="accent6" w:themeFillTint="66"/>
          </w:tcPr>
          <w:p w14:paraId="38CA8211" w14:textId="77777777"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14:paraId="50FCDD07"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2999A1C8" w14:textId="77777777" w:rsidTr="005A28EA">
        <w:tc>
          <w:tcPr>
            <w:tcW w:w="14142" w:type="dxa"/>
            <w:shd w:val="clear" w:color="auto" w:fill="8DB3E2" w:themeFill="text2" w:themeFillTint="66"/>
          </w:tcPr>
          <w:p w14:paraId="0FB83A1A" w14:textId="77777777"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14:paraId="05E04130" w14:textId="77777777" w:rsidR="005A28EA" w:rsidRPr="00460E3D" w:rsidRDefault="005A28EA" w:rsidP="005A28EA">
      <w:pPr>
        <w:ind w:left="720"/>
        <w:jc w:val="left"/>
        <w:rPr>
          <w:rFonts w:eastAsia="Calibri"/>
          <w:sz w:val="22"/>
          <w:szCs w:val="22"/>
          <w:lang w:eastAsia="en-US"/>
        </w:rPr>
      </w:pPr>
    </w:p>
    <w:p w14:paraId="07318583"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499"/>
        <w:gridCol w:w="2278"/>
        <w:gridCol w:w="1506"/>
        <w:gridCol w:w="1730"/>
        <w:gridCol w:w="2938"/>
        <w:gridCol w:w="4041"/>
      </w:tblGrid>
      <w:tr w:rsidR="005A28EA" w:rsidRPr="00C0062E" w14:paraId="3A0777E9" w14:textId="77777777" w:rsidTr="005A28EA">
        <w:tc>
          <w:tcPr>
            <w:tcW w:w="1501" w:type="dxa"/>
            <w:tcBorders>
              <w:bottom w:val="single" w:sz="4" w:space="0" w:color="auto"/>
            </w:tcBorders>
            <w:shd w:val="clear" w:color="auto" w:fill="D6E3BC" w:themeFill="accent3" w:themeFillTint="66"/>
          </w:tcPr>
          <w:p w14:paraId="11DBB97A"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5672A5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51D09EE7"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B6CE673"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2BD19E26"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23ACDF83"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6E320AC0" w14:textId="77777777" w:rsidTr="005A28EA">
        <w:tc>
          <w:tcPr>
            <w:tcW w:w="14142" w:type="dxa"/>
            <w:gridSpan w:val="6"/>
            <w:shd w:val="pct10" w:color="auto" w:fill="auto"/>
          </w:tcPr>
          <w:p w14:paraId="4B8FFEE2" w14:textId="77777777"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14:paraId="15DA43E0" w14:textId="77777777" w:rsidTr="005A28EA">
        <w:tc>
          <w:tcPr>
            <w:tcW w:w="1501" w:type="dxa"/>
          </w:tcPr>
          <w:p w14:paraId="10D3621C" w14:textId="77777777" w:rsidR="007F45C1" w:rsidRPr="00D63D99" w:rsidRDefault="007F45C1" w:rsidP="007F45C1">
            <w:pPr>
              <w:jc w:val="left"/>
              <w:rPr>
                <w:sz w:val="18"/>
                <w:szCs w:val="18"/>
              </w:rPr>
            </w:pPr>
            <w:r w:rsidRPr="00D63D99">
              <w:rPr>
                <w:i/>
                <w:iCs/>
                <w:sz w:val="18"/>
                <w:szCs w:val="18"/>
              </w:rPr>
              <w:t xml:space="preserve">Ex : </w:t>
            </w:r>
            <w:r w:rsidRPr="00D63D99">
              <w:rPr>
                <w:b/>
                <w:bCs/>
                <w:i/>
                <w:iCs/>
                <w:sz w:val="18"/>
                <w:szCs w:val="18"/>
              </w:rPr>
              <w:t xml:space="preserve">Carte de paiement </w:t>
            </w:r>
            <w:r w:rsidRPr="00D63D99">
              <w:rPr>
                <w:i/>
                <w:iCs/>
                <w:sz w:val="18"/>
                <w:szCs w:val="18"/>
              </w:rPr>
              <w:t xml:space="preserve">: carte </w:t>
            </w:r>
            <w:r w:rsidR="001C5B1C">
              <w:rPr>
                <w:i/>
                <w:iCs/>
                <w:sz w:val="18"/>
                <w:szCs w:val="18"/>
              </w:rPr>
              <w:t>internationale</w:t>
            </w:r>
            <w:r w:rsidRPr="00D63D99">
              <w:rPr>
                <w:i/>
                <w:iCs/>
                <w:sz w:val="18"/>
                <w:szCs w:val="18"/>
              </w:rPr>
              <w:t>,…</w:t>
            </w:r>
          </w:p>
          <w:p w14:paraId="1867977A" w14:textId="77777777" w:rsidR="007F45C1" w:rsidRPr="00D63D99" w:rsidRDefault="007F45C1" w:rsidP="005A28EA">
            <w:pPr>
              <w:jc w:val="left"/>
              <w:rPr>
                <w:rFonts w:ascii="Times New Roman" w:hAnsi="Times New Roman"/>
                <w:sz w:val="18"/>
                <w:szCs w:val="18"/>
              </w:rPr>
            </w:pPr>
          </w:p>
        </w:tc>
        <w:tc>
          <w:tcPr>
            <w:tcW w:w="2293" w:type="dxa"/>
          </w:tcPr>
          <w:p w14:paraId="592AEBDA" w14:textId="77777777" w:rsidR="007F45C1" w:rsidRPr="00D63D99" w:rsidRDefault="007F45C1" w:rsidP="007F45C1">
            <w:pPr>
              <w:jc w:val="left"/>
              <w:rPr>
                <w:sz w:val="18"/>
                <w:szCs w:val="18"/>
              </w:rPr>
            </w:pPr>
            <w:r w:rsidRPr="00D63D99">
              <w:rPr>
                <w:i/>
                <w:iCs/>
                <w:sz w:val="18"/>
                <w:szCs w:val="18"/>
              </w:rPr>
              <w:t>Ex :</w:t>
            </w:r>
            <w:r w:rsidR="00AD7E02">
              <w:rPr>
                <w:i/>
                <w:iCs/>
                <w:sz w:val="18"/>
                <w:szCs w:val="18"/>
              </w:rPr>
              <w:t xml:space="preserve"> </w:t>
            </w:r>
            <w:r w:rsidRPr="00D63D99">
              <w:rPr>
                <w:i/>
                <w:iCs/>
                <w:sz w:val="18"/>
                <w:szCs w:val="18"/>
              </w:rPr>
              <w:t>-Maturité</w:t>
            </w:r>
          </w:p>
          <w:p w14:paraId="5EA6DD70" w14:textId="77777777" w:rsidR="007F45C1" w:rsidRPr="00D63D99" w:rsidRDefault="007F45C1" w:rsidP="007F45C1">
            <w:pPr>
              <w:jc w:val="left"/>
              <w:rPr>
                <w:sz w:val="18"/>
                <w:szCs w:val="18"/>
              </w:rPr>
            </w:pPr>
            <w:r w:rsidRPr="00D63D99">
              <w:rPr>
                <w:i/>
                <w:iCs/>
                <w:sz w:val="18"/>
                <w:szCs w:val="18"/>
              </w:rPr>
              <w:t>-Date de commercialisation</w:t>
            </w:r>
          </w:p>
          <w:p w14:paraId="428A0A52" w14:textId="77777777" w:rsidR="007F45C1" w:rsidRPr="00D63D99" w:rsidRDefault="007F45C1" w:rsidP="007F45C1">
            <w:pPr>
              <w:jc w:val="left"/>
              <w:rPr>
                <w:sz w:val="18"/>
                <w:szCs w:val="18"/>
              </w:rPr>
            </w:pPr>
            <w:r w:rsidRPr="00D63D99">
              <w:rPr>
                <w:i/>
                <w:iCs/>
                <w:sz w:val="18"/>
                <w:szCs w:val="18"/>
              </w:rPr>
              <w:t>-Équipée de la fonction sans contact par défaut</w:t>
            </w:r>
          </w:p>
          <w:p w14:paraId="44BAD690" w14:textId="77777777" w:rsidR="007F45C1" w:rsidRPr="00D63D99" w:rsidRDefault="007F45C1" w:rsidP="007F45C1">
            <w:pPr>
              <w:jc w:val="left"/>
              <w:rPr>
                <w:sz w:val="18"/>
                <w:szCs w:val="18"/>
              </w:rPr>
            </w:pPr>
            <w:r w:rsidRPr="00D63D99">
              <w:rPr>
                <w:i/>
                <w:iCs/>
                <w:sz w:val="18"/>
                <w:szCs w:val="18"/>
              </w:rPr>
              <w:t>-</w:t>
            </w:r>
            <w:r w:rsidR="001C5B1C">
              <w:rPr>
                <w:i/>
                <w:iCs/>
                <w:sz w:val="18"/>
                <w:szCs w:val="18"/>
              </w:rPr>
              <w:t xml:space="preserve"> Enrôlement dans un dispositif d’authentification</w:t>
            </w:r>
          </w:p>
          <w:p w14:paraId="4EC625EF" w14:textId="77777777" w:rsidR="005A28EA" w:rsidRPr="00D63D99" w:rsidRDefault="007F45C1" w:rsidP="00C30A7D">
            <w:pPr>
              <w:jc w:val="left"/>
              <w:rPr>
                <w:rFonts w:ascii="Times New Roman" w:hAnsi="Times New Roman"/>
                <w:sz w:val="18"/>
                <w:szCs w:val="18"/>
              </w:rPr>
            </w:pPr>
            <w:r w:rsidRPr="00D63D99">
              <w:rPr>
                <w:i/>
                <w:iCs/>
                <w:sz w:val="18"/>
                <w:szCs w:val="18"/>
              </w:rPr>
              <w:t>-Service carte virtuelle…</w:t>
            </w:r>
          </w:p>
        </w:tc>
        <w:tc>
          <w:tcPr>
            <w:tcW w:w="1516" w:type="dxa"/>
          </w:tcPr>
          <w:p w14:paraId="22AA1093" w14:textId="77777777" w:rsidR="007F45C1" w:rsidRPr="00D63D99" w:rsidRDefault="007F45C1" w:rsidP="00D63D99">
            <w:pPr>
              <w:rPr>
                <w:sz w:val="18"/>
                <w:szCs w:val="18"/>
              </w:rPr>
            </w:pPr>
            <w:r w:rsidRPr="00D63D99">
              <w:rPr>
                <w:i/>
                <w:iCs/>
                <w:sz w:val="18"/>
                <w:szCs w:val="18"/>
              </w:rPr>
              <w:t>Ex : Particuliers</w:t>
            </w:r>
          </w:p>
          <w:p w14:paraId="714AAD91" w14:textId="77777777" w:rsidR="005A28EA" w:rsidRPr="00D63D99" w:rsidRDefault="005A28EA" w:rsidP="005A28EA">
            <w:pPr>
              <w:jc w:val="left"/>
              <w:rPr>
                <w:rFonts w:ascii="Times New Roman" w:hAnsi="Times New Roman"/>
                <w:sz w:val="18"/>
                <w:szCs w:val="18"/>
              </w:rPr>
            </w:pPr>
          </w:p>
        </w:tc>
        <w:tc>
          <w:tcPr>
            <w:tcW w:w="1744" w:type="dxa"/>
          </w:tcPr>
          <w:p w14:paraId="58F18F88" w14:textId="77777777" w:rsidR="007F45C1" w:rsidRPr="00D63D99" w:rsidRDefault="007F45C1" w:rsidP="007F45C1">
            <w:pPr>
              <w:jc w:val="left"/>
              <w:rPr>
                <w:sz w:val="18"/>
                <w:szCs w:val="18"/>
              </w:rPr>
            </w:pPr>
            <w:r w:rsidRPr="00D63D99">
              <w:rPr>
                <w:i/>
                <w:iCs/>
                <w:sz w:val="18"/>
                <w:szCs w:val="18"/>
              </w:rPr>
              <w:t xml:space="preserve">Ex : Au point </w:t>
            </w:r>
          </w:p>
          <w:p w14:paraId="461C37FC" w14:textId="77777777" w:rsidR="007F45C1" w:rsidRPr="00D63D99" w:rsidRDefault="007F45C1" w:rsidP="007F45C1">
            <w:pPr>
              <w:jc w:val="left"/>
              <w:rPr>
                <w:sz w:val="18"/>
                <w:szCs w:val="18"/>
              </w:rPr>
            </w:pPr>
            <w:r w:rsidRPr="00D63D99">
              <w:rPr>
                <w:i/>
                <w:iCs/>
                <w:sz w:val="18"/>
                <w:szCs w:val="18"/>
              </w:rPr>
              <w:t>de vente ou sur automate, paiement à distance,…</w:t>
            </w:r>
          </w:p>
          <w:p w14:paraId="439CA7BF" w14:textId="77777777" w:rsidR="005A28EA" w:rsidRPr="00D63D99" w:rsidRDefault="005A28EA" w:rsidP="005A28EA">
            <w:pPr>
              <w:jc w:val="left"/>
              <w:rPr>
                <w:rFonts w:ascii="Times New Roman" w:hAnsi="Times New Roman"/>
                <w:sz w:val="18"/>
                <w:szCs w:val="18"/>
              </w:rPr>
            </w:pPr>
          </w:p>
        </w:tc>
        <w:tc>
          <w:tcPr>
            <w:tcW w:w="2977" w:type="dxa"/>
          </w:tcPr>
          <w:p w14:paraId="6BDC251F" w14:textId="77777777" w:rsidR="007F45C1" w:rsidRPr="00D63D99" w:rsidRDefault="007F45C1" w:rsidP="007F45C1">
            <w:pPr>
              <w:jc w:val="left"/>
              <w:rPr>
                <w:sz w:val="18"/>
                <w:szCs w:val="18"/>
              </w:rPr>
            </w:pPr>
            <w:r w:rsidRPr="00D63D99">
              <w:rPr>
                <w:i/>
                <w:iCs/>
                <w:sz w:val="18"/>
                <w:szCs w:val="18"/>
              </w:rPr>
              <w:t>Préciser les facteurs explicatifs des variations significatives de l’activité (nombre et montant)</w:t>
            </w:r>
          </w:p>
          <w:p w14:paraId="77891530" w14:textId="77777777" w:rsidR="005A28EA" w:rsidRPr="00D63D99" w:rsidRDefault="005A28EA" w:rsidP="005A28EA">
            <w:pPr>
              <w:jc w:val="left"/>
              <w:rPr>
                <w:rFonts w:ascii="Times New Roman" w:hAnsi="Times New Roman"/>
                <w:sz w:val="18"/>
                <w:szCs w:val="18"/>
              </w:rPr>
            </w:pPr>
          </w:p>
        </w:tc>
        <w:tc>
          <w:tcPr>
            <w:tcW w:w="4111" w:type="dxa"/>
          </w:tcPr>
          <w:p w14:paraId="60FEC740" w14:textId="77777777" w:rsidR="007F45C1" w:rsidRPr="00D63D99" w:rsidRDefault="007F45C1" w:rsidP="007F45C1">
            <w:pPr>
              <w:jc w:val="left"/>
              <w:rPr>
                <w:sz w:val="18"/>
                <w:szCs w:val="18"/>
              </w:rPr>
            </w:pPr>
            <w:r w:rsidRPr="00D63D99">
              <w:rPr>
                <w:i/>
                <w:iCs/>
                <w:sz w:val="18"/>
                <w:szCs w:val="18"/>
              </w:rPr>
              <w:t>Indiquer les évolutions intervenues au cours de l’exercice sous revue</w:t>
            </w:r>
          </w:p>
          <w:p w14:paraId="292EC2FC" w14:textId="77777777" w:rsidR="007F45C1" w:rsidRPr="00D63D99" w:rsidRDefault="007F45C1" w:rsidP="007F45C1">
            <w:pPr>
              <w:jc w:val="left"/>
              <w:rPr>
                <w:sz w:val="18"/>
                <w:szCs w:val="18"/>
              </w:rPr>
            </w:pPr>
            <w:r w:rsidRPr="00D63D99">
              <w:rPr>
                <w:i/>
                <w:iCs/>
                <w:sz w:val="18"/>
                <w:szCs w:val="18"/>
              </w:rPr>
              <w:t xml:space="preserve">Ex : réalisation de pilote, mise en place d’alertes SMS pour les transactions des cartes haut de gamme à l’international,… </w:t>
            </w:r>
          </w:p>
          <w:p w14:paraId="01FB0422" w14:textId="77777777" w:rsidR="005A28EA" w:rsidRPr="00D63D99" w:rsidRDefault="005A28EA" w:rsidP="005A28EA">
            <w:pPr>
              <w:jc w:val="left"/>
              <w:rPr>
                <w:rFonts w:ascii="Times New Roman" w:hAnsi="Times New Roman"/>
                <w:sz w:val="18"/>
                <w:szCs w:val="18"/>
              </w:rPr>
            </w:pPr>
          </w:p>
        </w:tc>
      </w:tr>
      <w:tr w:rsidR="005A28EA" w:rsidRPr="00C0062E" w14:paraId="11BC3AAA" w14:textId="77777777" w:rsidTr="005A28EA">
        <w:tc>
          <w:tcPr>
            <w:tcW w:w="1501" w:type="dxa"/>
          </w:tcPr>
          <w:p w14:paraId="716AB2B4" w14:textId="77777777" w:rsidR="005A28EA" w:rsidRPr="00D63D99" w:rsidRDefault="007F45C1" w:rsidP="00C30A7D">
            <w:pPr>
              <w:jc w:val="left"/>
              <w:rPr>
                <w:rFonts w:ascii="Times New Roman" w:hAnsi="Times New Roman"/>
                <w:sz w:val="18"/>
                <w:szCs w:val="18"/>
              </w:rPr>
            </w:pPr>
            <w:r w:rsidRPr="00D63D99">
              <w:rPr>
                <w:i/>
                <w:iCs/>
                <w:sz w:val="18"/>
                <w:szCs w:val="18"/>
              </w:rPr>
              <w:t xml:space="preserve">Ex : </w:t>
            </w:r>
            <w:r w:rsidRPr="00D63D99">
              <w:rPr>
                <w:b/>
                <w:bCs/>
                <w:i/>
                <w:iCs/>
                <w:sz w:val="18"/>
                <w:szCs w:val="18"/>
              </w:rPr>
              <w:t>Carte de retrait</w:t>
            </w:r>
          </w:p>
        </w:tc>
        <w:tc>
          <w:tcPr>
            <w:tcW w:w="2293" w:type="dxa"/>
          </w:tcPr>
          <w:p w14:paraId="25569B6D" w14:textId="77777777" w:rsidR="005A28EA" w:rsidRPr="00D63D99" w:rsidRDefault="005A28EA" w:rsidP="005A28EA">
            <w:pPr>
              <w:jc w:val="left"/>
              <w:rPr>
                <w:rFonts w:ascii="Times New Roman" w:hAnsi="Times New Roman"/>
                <w:sz w:val="18"/>
                <w:szCs w:val="18"/>
              </w:rPr>
            </w:pPr>
          </w:p>
        </w:tc>
        <w:tc>
          <w:tcPr>
            <w:tcW w:w="1516" w:type="dxa"/>
          </w:tcPr>
          <w:p w14:paraId="06957E24" w14:textId="77777777" w:rsidR="005A28EA" w:rsidRPr="00D63D99" w:rsidRDefault="005A28EA" w:rsidP="005A28EA">
            <w:pPr>
              <w:jc w:val="left"/>
              <w:rPr>
                <w:rFonts w:ascii="Times New Roman" w:hAnsi="Times New Roman"/>
                <w:sz w:val="18"/>
                <w:szCs w:val="18"/>
              </w:rPr>
            </w:pPr>
          </w:p>
        </w:tc>
        <w:tc>
          <w:tcPr>
            <w:tcW w:w="1744" w:type="dxa"/>
          </w:tcPr>
          <w:p w14:paraId="3014E0E1" w14:textId="77777777" w:rsidR="005A28EA" w:rsidRPr="00D63D99" w:rsidRDefault="005A28EA" w:rsidP="005A28EA">
            <w:pPr>
              <w:jc w:val="left"/>
              <w:rPr>
                <w:rFonts w:ascii="Times New Roman" w:hAnsi="Times New Roman"/>
                <w:sz w:val="18"/>
                <w:szCs w:val="18"/>
              </w:rPr>
            </w:pPr>
          </w:p>
        </w:tc>
        <w:tc>
          <w:tcPr>
            <w:tcW w:w="2977" w:type="dxa"/>
          </w:tcPr>
          <w:p w14:paraId="2C03DB40" w14:textId="77777777" w:rsidR="005A28EA" w:rsidRPr="00D63D99" w:rsidRDefault="005A28EA" w:rsidP="005A28EA">
            <w:pPr>
              <w:jc w:val="left"/>
              <w:rPr>
                <w:rFonts w:ascii="Times New Roman" w:hAnsi="Times New Roman"/>
                <w:sz w:val="18"/>
                <w:szCs w:val="18"/>
              </w:rPr>
            </w:pPr>
          </w:p>
        </w:tc>
        <w:tc>
          <w:tcPr>
            <w:tcW w:w="4111" w:type="dxa"/>
          </w:tcPr>
          <w:p w14:paraId="2AFEF2FA" w14:textId="77777777" w:rsidR="005A28EA" w:rsidRPr="00D63D99" w:rsidRDefault="005A28EA" w:rsidP="005A28EA">
            <w:pPr>
              <w:jc w:val="left"/>
              <w:rPr>
                <w:rFonts w:ascii="Times New Roman" w:hAnsi="Times New Roman"/>
                <w:sz w:val="18"/>
                <w:szCs w:val="18"/>
              </w:rPr>
            </w:pPr>
          </w:p>
        </w:tc>
      </w:tr>
      <w:tr w:rsidR="005A28EA" w:rsidRPr="00C0062E" w14:paraId="540E73EF" w14:textId="77777777" w:rsidTr="005A28EA">
        <w:tc>
          <w:tcPr>
            <w:tcW w:w="1501" w:type="dxa"/>
            <w:tcBorders>
              <w:bottom w:val="single" w:sz="4" w:space="0" w:color="auto"/>
            </w:tcBorders>
          </w:tcPr>
          <w:p w14:paraId="7D233710" w14:textId="77777777" w:rsidR="005A28EA" w:rsidRPr="00D63D99" w:rsidRDefault="007F45C1" w:rsidP="00C30A7D">
            <w:pPr>
              <w:jc w:val="left"/>
              <w:rPr>
                <w:rFonts w:ascii="Times New Roman" w:hAnsi="Times New Roman"/>
                <w:b/>
                <w:sz w:val="18"/>
                <w:szCs w:val="18"/>
              </w:rPr>
            </w:pPr>
            <w:r w:rsidRPr="00D63D99">
              <w:rPr>
                <w:b/>
                <w:i/>
                <w:iCs/>
                <w:sz w:val="18"/>
                <w:szCs w:val="18"/>
              </w:rPr>
              <w:t xml:space="preserve">Ex : </w:t>
            </w:r>
            <w:r w:rsidRPr="00D63D99">
              <w:rPr>
                <w:b/>
                <w:bCs/>
                <w:i/>
                <w:iCs/>
                <w:sz w:val="18"/>
                <w:szCs w:val="18"/>
              </w:rPr>
              <w:t>Enrôlement dans des wallets</w:t>
            </w:r>
          </w:p>
        </w:tc>
        <w:tc>
          <w:tcPr>
            <w:tcW w:w="2293" w:type="dxa"/>
            <w:tcBorders>
              <w:bottom w:val="single" w:sz="4" w:space="0" w:color="auto"/>
            </w:tcBorders>
          </w:tcPr>
          <w:p w14:paraId="4B046091" w14:textId="77777777" w:rsidR="005A28EA" w:rsidRPr="00D63D99" w:rsidRDefault="005A28EA" w:rsidP="005A28EA">
            <w:pPr>
              <w:jc w:val="left"/>
              <w:rPr>
                <w:rFonts w:ascii="Times New Roman" w:hAnsi="Times New Roman"/>
                <w:sz w:val="18"/>
                <w:szCs w:val="18"/>
              </w:rPr>
            </w:pPr>
          </w:p>
        </w:tc>
        <w:tc>
          <w:tcPr>
            <w:tcW w:w="1516" w:type="dxa"/>
            <w:tcBorders>
              <w:bottom w:val="single" w:sz="4" w:space="0" w:color="auto"/>
            </w:tcBorders>
          </w:tcPr>
          <w:p w14:paraId="01F968FB" w14:textId="77777777" w:rsidR="005A28EA" w:rsidRPr="00D63D99" w:rsidRDefault="005A28EA" w:rsidP="005A28EA">
            <w:pPr>
              <w:jc w:val="left"/>
              <w:rPr>
                <w:rFonts w:ascii="Times New Roman" w:hAnsi="Times New Roman"/>
                <w:sz w:val="18"/>
                <w:szCs w:val="18"/>
              </w:rPr>
            </w:pPr>
          </w:p>
        </w:tc>
        <w:tc>
          <w:tcPr>
            <w:tcW w:w="1744" w:type="dxa"/>
            <w:tcBorders>
              <w:bottom w:val="single" w:sz="4" w:space="0" w:color="auto"/>
            </w:tcBorders>
          </w:tcPr>
          <w:p w14:paraId="583D118A" w14:textId="77777777" w:rsidR="005A28EA" w:rsidRPr="00D63D99" w:rsidRDefault="005A28EA" w:rsidP="005A28EA">
            <w:pPr>
              <w:jc w:val="left"/>
              <w:rPr>
                <w:rFonts w:ascii="Times New Roman" w:hAnsi="Times New Roman"/>
                <w:sz w:val="18"/>
                <w:szCs w:val="18"/>
              </w:rPr>
            </w:pPr>
          </w:p>
        </w:tc>
        <w:tc>
          <w:tcPr>
            <w:tcW w:w="2977" w:type="dxa"/>
            <w:tcBorders>
              <w:bottom w:val="single" w:sz="4" w:space="0" w:color="auto"/>
            </w:tcBorders>
          </w:tcPr>
          <w:p w14:paraId="39D6C95B" w14:textId="77777777" w:rsidR="005A28EA" w:rsidRPr="00D63D99" w:rsidRDefault="005A28EA" w:rsidP="005A28EA">
            <w:pPr>
              <w:jc w:val="left"/>
              <w:rPr>
                <w:rFonts w:ascii="Times New Roman" w:hAnsi="Times New Roman"/>
                <w:sz w:val="18"/>
                <w:szCs w:val="18"/>
              </w:rPr>
            </w:pPr>
          </w:p>
        </w:tc>
        <w:tc>
          <w:tcPr>
            <w:tcW w:w="4111" w:type="dxa"/>
            <w:tcBorders>
              <w:bottom w:val="single" w:sz="4" w:space="0" w:color="auto"/>
            </w:tcBorders>
          </w:tcPr>
          <w:p w14:paraId="7FF779F4" w14:textId="77777777" w:rsidR="005A28EA" w:rsidRPr="00D63D99" w:rsidRDefault="005A28EA" w:rsidP="005A28EA">
            <w:pPr>
              <w:jc w:val="left"/>
              <w:rPr>
                <w:rFonts w:ascii="Times New Roman" w:hAnsi="Times New Roman"/>
                <w:sz w:val="18"/>
                <w:szCs w:val="18"/>
              </w:rPr>
            </w:pPr>
          </w:p>
        </w:tc>
      </w:tr>
      <w:tr w:rsidR="005A28EA" w:rsidRPr="00C0062E" w14:paraId="2E773F9A" w14:textId="77777777" w:rsidTr="005A28EA">
        <w:tc>
          <w:tcPr>
            <w:tcW w:w="14142" w:type="dxa"/>
            <w:gridSpan w:val="6"/>
            <w:shd w:val="pct10" w:color="auto" w:fill="auto"/>
          </w:tcPr>
          <w:p w14:paraId="4982800D" w14:textId="77777777"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14:paraId="553A89DA" w14:textId="77777777" w:rsidTr="005A28EA">
        <w:tc>
          <w:tcPr>
            <w:tcW w:w="1501" w:type="dxa"/>
          </w:tcPr>
          <w:p w14:paraId="2FCFB85C" w14:textId="77777777"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proximité</w:t>
            </w:r>
          </w:p>
          <w:p w14:paraId="4EE06ADA" w14:textId="77777777" w:rsidR="005A28EA" w:rsidRPr="00D63D99" w:rsidRDefault="005A28EA" w:rsidP="005A28EA">
            <w:pPr>
              <w:jc w:val="left"/>
              <w:rPr>
                <w:rFonts w:ascii="Times New Roman" w:hAnsi="Times New Roman"/>
                <w:sz w:val="18"/>
                <w:szCs w:val="18"/>
              </w:rPr>
            </w:pPr>
          </w:p>
        </w:tc>
        <w:tc>
          <w:tcPr>
            <w:tcW w:w="2293" w:type="dxa"/>
          </w:tcPr>
          <w:p w14:paraId="12700756" w14:textId="77777777" w:rsidR="005A28EA" w:rsidRPr="00460E3D" w:rsidRDefault="005A28EA" w:rsidP="005A28EA">
            <w:pPr>
              <w:jc w:val="left"/>
              <w:rPr>
                <w:rFonts w:ascii="Times New Roman" w:hAnsi="Times New Roman"/>
                <w:sz w:val="22"/>
              </w:rPr>
            </w:pPr>
          </w:p>
        </w:tc>
        <w:tc>
          <w:tcPr>
            <w:tcW w:w="1516" w:type="dxa"/>
          </w:tcPr>
          <w:p w14:paraId="6ED6356C" w14:textId="77777777" w:rsidR="005A28EA" w:rsidRPr="00460E3D" w:rsidRDefault="005A28EA" w:rsidP="005A28EA">
            <w:pPr>
              <w:jc w:val="left"/>
              <w:rPr>
                <w:rFonts w:ascii="Times New Roman" w:hAnsi="Times New Roman"/>
                <w:sz w:val="22"/>
              </w:rPr>
            </w:pPr>
          </w:p>
        </w:tc>
        <w:tc>
          <w:tcPr>
            <w:tcW w:w="1744" w:type="dxa"/>
          </w:tcPr>
          <w:p w14:paraId="2ACC5F81" w14:textId="77777777" w:rsidR="005A28EA" w:rsidRPr="00460E3D" w:rsidRDefault="005A28EA" w:rsidP="005A28EA">
            <w:pPr>
              <w:jc w:val="left"/>
              <w:rPr>
                <w:rFonts w:ascii="Times New Roman" w:hAnsi="Times New Roman"/>
                <w:sz w:val="22"/>
              </w:rPr>
            </w:pPr>
          </w:p>
        </w:tc>
        <w:tc>
          <w:tcPr>
            <w:tcW w:w="2977" w:type="dxa"/>
          </w:tcPr>
          <w:p w14:paraId="7D78A7A9" w14:textId="77777777" w:rsidR="005A28EA" w:rsidRPr="00460E3D" w:rsidRDefault="005A28EA" w:rsidP="005A28EA">
            <w:pPr>
              <w:jc w:val="left"/>
              <w:rPr>
                <w:rFonts w:ascii="Times New Roman" w:hAnsi="Times New Roman"/>
                <w:sz w:val="22"/>
              </w:rPr>
            </w:pPr>
          </w:p>
        </w:tc>
        <w:tc>
          <w:tcPr>
            <w:tcW w:w="4111" w:type="dxa"/>
          </w:tcPr>
          <w:p w14:paraId="18C4E965" w14:textId="77777777" w:rsidR="005A28EA" w:rsidRPr="00460E3D" w:rsidRDefault="005A28EA" w:rsidP="005A28EA">
            <w:pPr>
              <w:jc w:val="left"/>
              <w:rPr>
                <w:rFonts w:ascii="Times New Roman" w:hAnsi="Times New Roman"/>
                <w:sz w:val="22"/>
              </w:rPr>
            </w:pPr>
          </w:p>
        </w:tc>
      </w:tr>
      <w:tr w:rsidR="005A28EA" w:rsidRPr="00C0062E" w14:paraId="0DD172D8" w14:textId="77777777" w:rsidTr="005A28EA">
        <w:tc>
          <w:tcPr>
            <w:tcW w:w="1501" w:type="dxa"/>
          </w:tcPr>
          <w:p w14:paraId="41C758F2" w14:textId="77777777"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VAD</w:t>
            </w:r>
          </w:p>
          <w:p w14:paraId="17AC1335" w14:textId="77777777" w:rsidR="005A28EA" w:rsidRPr="00D63D99" w:rsidRDefault="005A28EA" w:rsidP="005A28EA">
            <w:pPr>
              <w:jc w:val="left"/>
              <w:rPr>
                <w:rFonts w:ascii="Times New Roman" w:hAnsi="Times New Roman"/>
                <w:sz w:val="18"/>
                <w:szCs w:val="18"/>
              </w:rPr>
            </w:pPr>
          </w:p>
        </w:tc>
        <w:tc>
          <w:tcPr>
            <w:tcW w:w="2293" w:type="dxa"/>
          </w:tcPr>
          <w:p w14:paraId="3F69A32F" w14:textId="77777777" w:rsidR="005A28EA" w:rsidRPr="00460E3D" w:rsidRDefault="005A28EA" w:rsidP="005A28EA">
            <w:pPr>
              <w:jc w:val="left"/>
              <w:rPr>
                <w:rFonts w:ascii="Times New Roman" w:hAnsi="Times New Roman"/>
                <w:sz w:val="22"/>
              </w:rPr>
            </w:pPr>
          </w:p>
        </w:tc>
        <w:tc>
          <w:tcPr>
            <w:tcW w:w="1516" w:type="dxa"/>
          </w:tcPr>
          <w:p w14:paraId="52A60E20" w14:textId="77777777" w:rsidR="005A28EA" w:rsidRPr="00460E3D" w:rsidRDefault="005A28EA" w:rsidP="005A28EA">
            <w:pPr>
              <w:jc w:val="left"/>
              <w:rPr>
                <w:rFonts w:ascii="Times New Roman" w:hAnsi="Times New Roman"/>
                <w:sz w:val="22"/>
              </w:rPr>
            </w:pPr>
          </w:p>
        </w:tc>
        <w:tc>
          <w:tcPr>
            <w:tcW w:w="1744" w:type="dxa"/>
          </w:tcPr>
          <w:p w14:paraId="4778C97A" w14:textId="77777777" w:rsidR="005A28EA" w:rsidRPr="00460E3D" w:rsidRDefault="005A28EA" w:rsidP="005A28EA">
            <w:pPr>
              <w:jc w:val="left"/>
              <w:rPr>
                <w:rFonts w:ascii="Times New Roman" w:hAnsi="Times New Roman"/>
                <w:sz w:val="22"/>
              </w:rPr>
            </w:pPr>
          </w:p>
        </w:tc>
        <w:tc>
          <w:tcPr>
            <w:tcW w:w="2977" w:type="dxa"/>
          </w:tcPr>
          <w:p w14:paraId="7FD61DB7" w14:textId="77777777" w:rsidR="005A28EA" w:rsidRPr="00460E3D" w:rsidRDefault="005A28EA" w:rsidP="005A28EA">
            <w:pPr>
              <w:jc w:val="left"/>
              <w:rPr>
                <w:rFonts w:ascii="Times New Roman" w:hAnsi="Times New Roman"/>
                <w:sz w:val="22"/>
              </w:rPr>
            </w:pPr>
          </w:p>
        </w:tc>
        <w:tc>
          <w:tcPr>
            <w:tcW w:w="4111" w:type="dxa"/>
          </w:tcPr>
          <w:p w14:paraId="543EF1DC" w14:textId="77777777" w:rsidR="005A28EA" w:rsidRPr="00460E3D" w:rsidRDefault="005A28EA" w:rsidP="005A28EA">
            <w:pPr>
              <w:jc w:val="left"/>
              <w:rPr>
                <w:rFonts w:ascii="Times New Roman" w:hAnsi="Times New Roman"/>
                <w:sz w:val="22"/>
              </w:rPr>
            </w:pPr>
          </w:p>
        </w:tc>
      </w:tr>
      <w:tr w:rsidR="005A28EA" w:rsidRPr="00C0062E" w14:paraId="494427CB" w14:textId="77777777" w:rsidTr="005A28EA">
        <w:tc>
          <w:tcPr>
            <w:tcW w:w="1501" w:type="dxa"/>
          </w:tcPr>
          <w:p w14:paraId="372F8DDA" w14:textId="77777777" w:rsidR="005A28EA" w:rsidRPr="00460E3D" w:rsidRDefault="005A28EA" w:rsidP="005A28EA">
            <w:pPr>
              <w:jc w:val="left"/>
              <w:rPr>
                <w:rFonts w:ascii="Times New Roman" w:hAnsi="Times New Roman"/>
                <w:sz w:val="22"/>
              </w:rPr>
            </w:pPr>
          </w:p>
        </w:tc>
        <w:tc>
          <w:tcPr>
            <w:tcW w:w="2293" w:type="dxa"/>
          </w:tcPr>
          <w:p w14:paraId="3661C5AE" w14:textId="77777777" w:rsidR="005A28EA" w:rsidRPr="00460E3D" w:rsidRDefault="005A28EA" w:rsidP="005A28EA">
            <w:pPr>
              <w:jc w:val="left"/>
              <w:rPr>
                <w:rFonts w:ascii="Times New Roman" w:hAnsi="Times New Roman"/>
                <w:sz w:val="22"/>
              </w:rPr>
            </w:pPr>
          </w:p>
        </w:tc>
        <w:tc>
          <w:tcPr>
            <w:tcW w:w="1516" w:type="dxa"/>
          </w:tcPr>
          <w:p w14:paraId="5FE963C0" w14:textId="77777777" w:rsidR="005A28EA" w:rsidRPr="00460E3D" w:rsidRDefault="005A28EA" w:rsidP="005A28EA">
            <w:pPr>
              <w:jc w:val="left"/>
              <w:rPr>
                <w:rFonts w:ascii="Times New Roman" w:hAnsi="Times New Roman"/>
                <w:sz w:val="22"/>
              </w:rPr>
            </w:pPr>
          </w:p>
        </w:tc>
        <w:tc>
          <w:tcPr>
            <w:tcW w:w="1744" w:type="dxa"/>
          </w:tcPr>
          <w:p w14:paraId="17A497CA" w14:textId="77777777" w:rsidR="005A28EA" w:rsidRPr="00460E3D" w:rsidRDefault="005A28EA" w:rsidP="005A28EA">
            <w:pPr>
              <w:jc w:val="left"/>
              <w:rPr>
                <w:rFonts w:ascii="Times New Roman" w:hAnsi="Times New Roman"/>
                <w:sz w:val="22"/>
              </w:rPr>
            </w:pPr>
          </w:p>
        </w:tc>
        <w:tc>
          <w:tcPr>
            <w:tcW w:w="2977" w:type="dxa"/>
          </w:tcPr>
          <w:p w14:paraId="205FEE76" w14:textId="77777777" w:rsidR="005A28EA" w:rsidRPr="00460E3D" w:rsidRDefault="005A28EA" w:rsidP="005A28EA">
            <w:pPr>
              <w:jc w:val="left"/>
              <w:rPr>
                <w:rFonts w:ascii="Times New Roman" w:hAnsi="Times New Roman"/>
                <w:sz w:val="22"/>
              </w:rPr>
            </w:pPr>
          </w:p>
        </w:tc>
        <w:tc>
          <w:tcPr>
            <w:tcW w:w="4111" w:type="dxa"/>
          </w:tcPr>
          <w:p w14:paraId="1B4BE2B0" w14:textId="77777777" w:rsidR="005A28EA" w:rsidRPr="00460E3D" w:rsidRDefault="005A28EA" w:rsidP="005A28EA">
            <w:pPr>
              <w:jc w:val="left"/>
              <w:rPr>
                <w:rFonts w:ascii="Times New Roman" w:hAnsi="Times New Roman"/>
                <w:sz w:val="22"/>
              </w:rPr>
            </w:pPr>
          </w:p>
        </w:tc>
      </w:tr>
    </w:tbl>
    <w:p w14:paraId="56B776E1"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5758714D"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76FF6F76"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0B0889C8" w14:textId="77777777" w:rsidTr="005A28EA">
        <w:tc>
          <w:tcPr>
            <w:tcW w:w="9212" w:type="dxa"/>
          </w:tcPr>
          <w:p w14:paraId="4063EF90" w14:textId="77777777" w:rsidR="007F45C1" w:rsidRDefault="005A28EA" w:rsidP="005A28EA">
            <w:pPr>
              <w:rPr>
                <w:i/>
                <w:sz w:val="22"/>
              </w:rPr>
            </w:pPr>
            <w:r w:rsidRPr="00460E3D">
              <w:rPr>
                <w:i/>
                <w:sz w:val="22"/>
              </w:rPr>
              <w:t xml:space="preserve">Décrire les projets </w:t>
            </w:r>
            <w:r w:rsidR="00406390">
              <w:rPr>
                <w:i/>
                <w:sz w:val="22"/>
              </w:rPr>
              <w:t xml:space="preserve">de commercialisation de nouveaux produits/services ou d’évolution de l’offre existante d’ordre technologique, fonctionnel et sécuritaire </w:t>
            </w:r>
            <w:r w:rsidR="00406390" w:rsidRPr="00460E3D">
              <w:rPr>
                <w:i/>
                <w:sz w:val="22"/>
              </w:rPr>
              <w:t>prévus à court et moyen terme</w:t>
            </w:r>
            <w:r w:rsidR="00406390">
              <w:rPr>
                <w:i/>
                <w:sz w:val="22"/>
              </w:rPr>
              <w:t>.</w:t>
            </w:r>
          </w:p>
          <w:p w14:paraId="54EA3E27" w14:textId="77777777" w:rsidR="005A28EA" w:rsidRPr="00460E3D" w:rsidRDefault="005A28EA" w:rsidP="005A28EA">
            <w:pPr>
              <w:rPr>
                <w:rFonts w:ascii="Times New Roman" w:hAnsi="Times New Roman"/>
                <w:szCs w:val="24"/>
              </w:rPr>
            </w:pPr>
          </w:p>
          <w:p w14:paraId="395F4C03" w14:textId="77777777" w:rsidR="005A28EA" w:rsidRPr="00460E3D" w:rsidRDefault="005A28EA" w:rsidP="005A28EA">
            <w:pPr>
              <w:rPr>
                <w:rFonts w:ascii="Times New Roman" w:hAnsi="Times New Roman"/>
                <w:szCs w:val="24"/>
              </w:rPr>
            </w:pPr>
          </w:p>
          <w:p w14:paraId="17F3F3DF" w14:textId="77777777" w:rsidR="005A28EA" w:rsidRPr="00460E3D" w:rsidRDefault="005A28EA" w:rsidP="005A28EA">
            <w:pPr>
              <w:rPr>
                <w:rFonts w:ascii="Times New Roman" w:hAnsi="Times New Roman"/>
                <w:szCs w:val="24"/>
              </w:rPr>
            </w:pPr>
          </w:p>
          <w:p w14:paraId="04DF7141" w14:textId="77777777" w:rsidR="005A28EA" w:rsidRPr="00460E3D" w:rsidRDefault="005A28EA" w:rsidP="005A28EA">
            <w:pPr>
              <w:rPr>
                <w:rFonts w:ascii="Times New Roman" w:hAnsi="Times New Roman"/>
                <w:szCs w:val="24"/>
              </w:rPr>
            </w:pPr>
          </w:p>
        </w:tc>
      </w:tr>
    </w:tbl>
    <w:p w14:paraId="619A75DA" w14:textId="77777777" w:rsidR="005A28EA" w:rsidRPr="00460E3D" w:rsidRDefault="005A28EA" w:rsidP="005A28EA">
      <w:pPr>
        <w:jc w:val="left"/>
        <w:rPr>
          <w:rFonts w:eastAsia="Calibri"/>
          <w:sz w:val="22"/>
          <w:szCs w:val="22"/>
          <w:lang w:eastAsia="en-US"/>
        </w:rPr>
      </w:pPr>
    </w:p>
    <w:p w14:paraId="7DA80EDF"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0D61BE0B" w14:textId="77777777" w:rsidTr="005A28EA">
        <w:tc>
          <w:tcPr>
            <w:tcW w:w="9212" w:type="dxa"/>
            <w:shd w:val="clear" w:color="auto" w:fill="8DB3E2" w:themeFill="text2" w:themeFillTint="66"/>
          </w:tcPr>
          <w:p w14:paraId="334F89AF" w14:textId="77777777"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14:paraId="79C459B3" w14:textId="77777777" w:rsidR="005A28EA" w:rsidRPr="00460E3D" w:rsidRDefault="005A28EA" w:rsidP="005A28EA">
      <w:pPr>
        <w:jc w:val="left"/>
        <w:rPr>
          <w:rFonts w:eastAsia="Calibri"/>
          <w:sz w:val="22"/>
          <w:szCs w:val="22"/>
          <w:lang w:eastAsia="en-US"/>
        </w:rPr>
      </w:pPr>
    </w:p>
    <w:p w14:paraId="7CB22095"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8F54D5">
        <w:rPr>
          <w:rFonts w:eastAsia="Calibri"/>
          <w:i/>
          <w:sz w:val="22"/>
          <w:szCs w:val="22"/>
          <w:lang w:eastAsia="en-US"/>
        </w:rPr>
        <w:t>du moyen/service de paiement depuis son émission/réception jusqu’à sa remise aux systèmes d’échange/imputation en compte</w:t>
      </w:r>
      <w:r w:rsidR="005E616C">
        <w:rPr>
          <w:rFonts w:eastAsia="Calibri"/>
          <w:i/>
          <w:sz w:val="22"/>
          <w:szCs w:val="22"/>
          <w:lang w:eastAsia="en-US"/>
        </w:rPr>
        <w:t xml:space="preserve"> </w:t>
      </w:r>
      <w:r w:rsidRPr="00460E3D">
        <w:rPr>
          <w:rFonts w:eastAsia="Calibri"/>
          <w:i/>
          <w:sz w:val="22"/>
          <w:szCs w:val="22"/>
          <w:lang w:eastAsia="en-US"/>
        </w:rPr>
        <w:t>en précisant en particulier les traitements externalisés (y compris auprès d’entités du groupe) et ceux mutualisés avec d’autres établissements.</w:t>
      </w:r>
      <w:r w:rsidR="005E616C">
        <w:rPr>
          <w:rFonts w:eastAsia="Calibri"/>
          <w:i/>
          <w:sz w:val="22"/>
          <w:szCs w:val="22"/>
          <w:lang w:eastAsia="en-US"/>
        </w:rPr>
        <w:t xml:space="preserve"> Un schéma organisationnel peut-être inséré si nécessaire.</w:t>
      </w:r>
    </w:p>
    <w:p w14:paraId="5898FE5F"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4"/>
        <w:gridCol w:w="5728"/>
      </w:tblGrid>
      <w:tr w:rsidR="005A28EA" w:rsidRPr="00C0062E" w14:paraId="1653CE53" w14:textId="77777777" w:rsidTr="005A28EA">
        <w:tc>
          <w:tcPr>
            <w:tcW w:w="3369" w:type="dxa"/>
            <w:tcBorders>
              <w:bottom w:val="single" w:sz="4" w:space="0" w:color="auto"/>
            </w:tcBorders>
            <w:shd w:val="clear" w:color="auto" w:fill="D6E3BC" w:themeFill="accent3" w:themeFillTint="66"/>
          </w:tcPr>
          <w:p w14:paraId="0063614D" w14:textId="77777777" w:rsidR="005A28EA" w:rsidRPr="00460E3D" w:rsidRDefault="005A28EA" w:rsidP="005A28EA">
            <w:pPr>
              <w:jc w:val="center"/>
              <w:rPr>
                <w:rFonts w:ascii="Times New Roman" w:hAnsi="Times New Roman"/>
                <w:b/>
                <w:sz w:val="22"/>
              </w:rPr>
            </w:pPr>
            <w:r w:rsidRPr="00C0062E">
              <w:rPr>
                <w:b/>
                <w:sz w:val="22"/>
              </w:rPr>
              <w:t>Acteurs</w:t>
            </w:r>
            <w:r w:rsidR="005E616C">
              <w:rPr>
                <w:b/>
                <w:sz w:val="22"/>
              </w:rPr>
              <w:t xml:space="preserve"> </w:t>
            </w:r>
          </w:p>
        </w:tc>
        <w:tc>
          <w:tcPr>
            <w:tcW w:w="5811" w:type="dxa"/>
            <w:tcBorders>
              <w:bottom w:val="single" w:sz="4" w:space="0" w:color="auto"/>
            </w:tcBorders>
            <w:shd w:val="clear" w:color="auto" w:fill="D6E3BC" w:themeFill="accent3" w:themeFillTint="66"/>
          </w:tcPr>
          <w:p w14:paraId="7F9871D4"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4B7D3791" w14:textId="77777777" w:rsidTr="005A28EA">
        <w:tc>
          <w:tcPr>
            <w:tcW w:w="9180" w:type="dxa"/>
            <w:gridSpan w:val="2"/>
            <w:shd w:val="pct10" w:color="auto" w:fill="auto"/>
          </w:tcPr>
          <w:p w14:paraId="281F1534"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7BE379ED" w14:textId="77777777" w:rsidTr="005A28EA">
        <w:tc>
          <w:tcPr>
            <w:tcW w:w="3369" w:type="dxa"/>
          </w:tcPr>
          <w:p w14:paraId="1DC9A10D" w14:textId="77777777" w:rsidR="005A28EA" w:rsidRPr="00D63D99" w:rsidRDefault="005E616C" w:rsidP="005A28EA">
            <w:pPr>
              <w:jc w:val="left"/>
              <w:rPr>
                <w:rFonts w:asciiTheme="minorHAnsi" w:hAnsiTheme="minorHAnsi" w:cstheme="minorHAnsi"/>
                <w:sz w:val="18"/>
                <w:szCs w:val="18"/>
              </w:rPr>
            </w:pPr>
            <w:r w:rsidRPr="00D63D99">
              <w:rPr>
                <w:rFonts w:asciiTheme="minorHAnsi" w:hAnsiTheme="minorHAnsi" w:cstheme="minorHAnsi"/>
                <w:sz w:val="18"/>
                <w:szCs w:val="18"/>
              </w:rPr>
              <w:t>Directions, services, prestataires,…</w:t>
            </w:r>
          </w:p>
        </w:tc>
        <w:tc>
          <w:tcPr>
            <w:tcW w:w="5811" w:type="dxa"/>
          </w:tcPr>
          <w:p w14:paraId="5B342E5D" w14:textId="77777777" w:rsidR="005A28EA" w:rsidRPr="00460E3D" w:rsidRDefault="005A28EA" w:rsidP="005A28EA">
            <w:pPr>
              <w:jc w:val="left"/>
              <w:rPr>
                <w:rFonts w:ascii="Times New Roman" w:hAnsi="Times New Roman"/>
                <w:sz w:val="22"/>
              </w:rPr>
            </w:pPr>
          </w:p>
        </w:tc>
      </w:tr>
      <w:tr w:rsidR="005A28EA" w:rsidRPr="00C0062E" w14:paraId="3391AA0F" w14:textId="77777777" w:rsidTr="005A28EA">
        <w:tc>
          <w:tcPr>
            <w:tcW w:w="3369" w:type="dxa"/>
          </w:tcPr>
          <w:p w14:paraId="60C978A0" w14:textId="77777777" w:rsidR="005A28EA" w:rsidRPr="00460E3D" w:rsidRDefault="005A28EA" w:rsidP="005A28EA">
            <w:pPr>
              <w:jc w:val="left"/>
              <w:rPr>
                <w:rFonts w:ascii="Times New Roman" w:hAnsi="Times New Roman"/>
                <w:sz w:val="22"/>
              </w:rPr>
            </w:pPr>
          </w:p>
        </w:tc>
        <w:tc>
          <w:tcPr>
            <w:tcW w:w="5811" w:type="dxa"/>
          </w:tcPr>
          <w:p w14:paraId="2C2571F6" w14:textId="77777777" w:rsidR="005A28EA" w:rsidRPr="00460E3D" w:rsidRDefault="005A28EA" w:rsidP="005A28EA">
            <w:pPr>
              <w:jc w:val="left"/>
              <w:rPr>
                <w:rFonts w:ascii="Times New Roman" w:hAnsi="Times New Roman"/>
                <w:sz w:val="22"/>
              </w:rPr>
            </w:pPr>
          </w:p>
        </w:tc>
      </w:tr>
      <w:tr w:rsidR="005A28EA" w:rsidRPr="00C0062E" w14:paraId="6DF521DE" w14:textId="77777777" w:rsidTr="005A28EA">
        <w:tc>
          <w:tcPr>
            <w:tcW w:w="3369" w:type="dxa"/>
          </w:tcPr>
          <w:p w14:paraId="7635C40F" w14:textId="77777777" w:rsidR="005A28EA" w:rsidRPr="00460E3D" w:rsidRDefault="005A28EA" w:rsidP="005A28EA">
            <w:pPr>
              <w:jc w:val="left"/>
              <w:rPr>
                <w:rFonts w:ascii="Times New Roman" w:hAnsi="Times New Roman"/>
                <w:sz w:val="22"/>
              </w:rPr>
            </w:pPr>
          </w:p>
        </w:tc>
        <w:tc>
          <w:tcPr>
            <w:tcW w:w="5811" w:type="dxa"/>
          </w:tcPr>
          <w:p w14:paraId="07AF5FA6" w14:textId="77777777" w:rsidR="005A28EA" w:rsidRPr="00460E3D" w:rsidRDefault="005A28EA" w:rsidP="005A28EA">
            <w:pPr>
              <w:jc w:val="left"/>
              <w:rPr>
                <w:rFonts w:ascii="Times New Roman" w:hAnsi="Times New Roman"/>
                <w:sz w:val="22"/>
              </w:rPr>
            </w:pPr>
          </w:p>
        </w:tc>
      </w:tr>
      <w:tr w:rsidR="005A28EA" w:rsidRPr="00C0062E" w14:paraId="04BF0B56" w14:textId="77777777" w:rsidTr="005A28EA">
        <w:tc>
          <w:tcPr>
            <w:tcW w:w="3369" w:type="dxa"/>
          </w:tcPr>
          <w:p w14:paraId="7021352F" w14:textId="77777777" w:rsidR="005A28EA" w:rsidRPr="00460E3D" w:rsidRDefault="005A28EA" w:rsidP="005A28EA">
            <w:pPr>
              <w:jc w:val="left"/>
              <w:rPr>
                <w:rFonts w:ascii="Times New Roman" w:hAnsi="Times New Roman"/>
                <w:sz w:val="22"/>
              </w:rPr>
            </w:pPr>
          </w:p>
        </w:tc>
        <w:tc>
          <w:tcPr>
            <w:tcW w:w="5811" w:type="dxa"/>
          </w:tcPr>
          <w:p w14:paraId="45024FE0" w14:textId="77777777" w:rsidR="005A28EA" w:rsidRPr="00460E3D" w:rsidRDefault="005A28EA" w:rsidP="005A28EA">
            <w:pPr>
              <w:jc w:val="left"/>
              <w:rPr>
                <w:rFonts w:ascii="Times New Roman" w:hAnsi="Times New Roman"/>
                <w:sz w:val="22"/>
              </w:rPr>
            </w:pPr>
          </w:p>
        </w:tc>
      </w:tr>
      <w:tr w:rsidR="005A28EA" w:rsidRPr="00C0062E" w14:paraId="39EAA49C" w14:textId="77777777" w:rsidTr="005A28EA">
        <w:tc>
          <w:tcPr>
            <w:tcW w:w="9180" w:type="dxa"/>
            <w:gridSpan w:val="2"/>
            <w:shd w:val="pct10" w:color="auto" w:fill="auto"/>
          </w:tcPr>
          <w:p w14:paraId="3022963E" w14:textId="77777777"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14:paraId="58337593" w14:textId="77777777" w:rsidTr="005A28EA">
        <w:tc>
          <w:tcPr>
            <w:tcW w:w="3369" w:type="dxa"/>
          </w:tcPr>
          <w:p w14:paraId="79B9D793" w14:textId="77777777" w:rsidR="005A28EA" w:rsidRPr="00460E3D" w:rsidRDefault="005A28EA" w:rsidP="005A28EA">
            <w:pPr>
              <w:jc w:val="left"/>
              <w:rPr>
                <w:rFonts w:ascii="Times New Roman" w:hAnsi="Times New Roman"/>
                <w:sz w:val="22"/>
              </w:rPr>
            </w:pPr>
          </w:p>
        </w:tc>
        <w:tc>
          <w:tcPr>
            <w:tcW w:w="5811" w:type="dxa"/>
          </w:tcPr>
          <w:p w14:paraId="6990199C" w14:textId="77777777" w:rsidR="005A28EA" w:rsidRPr="00460E3D" w:rsidRDefault="005A28EA" w:rsidP="005A28EA">
            <w:pPr>
              <w:jc w:val="left"/>
              <w:rPr>
                <w:rFonts w:ascii="Times New Roman" w:hAnsi="Times New Roman"/>
                <w:sz w:val="22"/>
              </w:rPr>
            </w:pPr>
          </w:p>
        </w:tc>
      </w:tr>
      <w:tr w:rsidR="005A28EA" w:rsidRPr="00C0062E" w14:paraId="5DB4482A" w14:textId="77777777" w:rsidTr="005A28EA">
        <w:tc>
          <w:tcPr>
            <w:tcW w:w="3369" w:type="dxa"/>
          </w:tcPr>
          <w:p w14:paraId="49326490" w14:textId="77777777" w:rsidR="005A28EA" w:rsidRPr="00460E3D" w:rsidRDefault="005A28EA" w:rsidP="005A28EA">
            <w:pPr>
              <w:jc w:val="left"/>
              <w:rPr>
                <w:rFonts w:ascii="Times New Roman" w:hAnsi="Times New Roman"/>
                <w:sz w:val="22"/>
              </w:rPr>
            </w:pPr>
          </w:p>
        </w:tc>
        <w:tc>
          <w:tcPr>
            <w:tcW w:w="5811" w:type="dxa"/>
          </w:tcPr>
          <w:p w14:paraId="2D48D230" w14:textId="77777777" w:rsidR="005A28EA" w:rsidRPr="00460E3D" w:rsidRDefault="005A28EA" w:rsidP="005A28EA">
            <w:pPr>
              <w:jc w:val="left"/>
              <w:rPr>
                <w:rFonts w:ascii="Times New Roman" w:hAnsi="Times New Roman"/>
                <w:sz w:val="22"/>
              </w:rPr>
            </w:pPr>
          </w:p>
        </w:tc>
      </w:tr>
      <w:tr w:rsidR="005A28EA" w:rsidRPr="00C0062E" w14:paraId="69AC8A80" w14:textId="77777777" w:rsidTr="005A28EA">
        <w:tc>
          <w:tcPr>
            <w:tcW w:w="3369" w:type="dxa"/>
          </w:tcPr>
          <w:p w14:paraId="68414D18" w14:textId="77777777" w:rsidR="005A28EA" w:rsidRPr="00460E3D" w:rsidRDefault="005A28EA" w:rsidP="005A28EA">
            <w:pPr>
              <w:jc w:val="left"/>
              <w:rPr>
                <w:rFonts w:ascii="Times New Roman" w:hAnsi="Times New Roman"/>
                <w:sz w:val="22"/>
              </w:rPr>
            </w:pPr>
          </w:p>
        </w:tc>
        <w:tc>
          <w:tcPr>
            <w:tcW w:w="5811" w:type="dxa"/>
          </w:tcPr>
          <w:p w14:paraId="2C3789C1" w14:textId="77777777" w:rsidR="005A28EA" w:rsidRPr="00460E3D" w:rsidRDefault="005A28EA" w:rsidP="005A28EA">
            <w:pPr>
              <w:jc w:val="left"/>
              <w:rPr>
                <w:rFonts w:ascii="Times New Roman" w:hAnsi="Times New Roman"/>
                <w:sz w:val="22"/>
              </w:rPr>
            </w:pPr>
          </w:p>
        </w:tc>
      </w:tr>
      <w:tr w:rsidR="005A28EA" w:rsidRPr="00C0062E" w14:paraId="166CB127" w14:textId="77777777" w:rsidTr="005A28EA">
        <w:tc>
          <w:tcPr>
            <w:tcW w:w="3369" w:type="dxa"/>
          </w:tcPr>
          <w:p w14:paraId="1B4A4517" w14:textId="77777777" w:rsidR="005A28EA" w:rsidRPr="00460E3D" w:rsidRDefault="005A28EA" w:rsidP="005A28EA">
            <w:pPr>
              <w:jc w:val="left"/>
              <w:rPr>
                <w:rFonts w:ascii="Times New Roman" w:hAnsi="Times New Roman"/>
                <w:sz w:val="22"/>
              </w:rPr>
            </w:pPr>
          </w:p>
        </w:tc>
        <w:tc>
          <w:tcPr>
            <w:tcW w:w="5811" w:type="dxa"/>
          </w:tcPr>
          <w:p w14:paraId="0B494F1D" w14:textId="77777777" w:rsidR="005A28EA" w:rsidRPr="00460E3D" w:rsidRDefault="005A28EA" w:rsidP="005A28EA">
            <w:pPr>
              <w:jc w:val="left"/>
              <w:rPr>
                <w:rFonts w:ascii="Times New Roman" w:hAnsi="Times New Roman"/>
                <w:sz w:val="22"/>
              </w:rPr>
            </w:pPr>
          </w:p>
        </w:tc>
      </w:tr>
    </w:tbl>
    <w:p w14:paraId="62D4DFAF" w14:textId="77777777" w:rsidR="005A28EA" w:rsidRPr="00460E3D" w:rsidRDefault="005A28EA" w:rsidP="005A28EA">
      <w:pPr>
        <w:jc w:val="left"/>
        <w:rPr>
          <w:rFonts w:eastAsia="Calibri"/>
          <w:sz w:val="22"/>
          <w:szCs w:val="22"/>
          <w:lang w:eastAsia="en-US"/>
        </w:rPr>
      </w:pPr>
    </w:p>
    <w:p w14:paraId="1B96377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86D4BED" w14:textId="77777777" w:rsidTr="005A28EA">
        <w:tc>
          <w:tcPr>
            <w:tcW w:w="9212" w:type="dxa"/>
          </w:tcPr>
          <w:p w14:paraId="6CDA5925"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F9AD1E3" w14:textId="77777777" w:rsidR="005A28EA" w:rsidRPr="00460E3D" w:rsidRDefault="005A28EA" w:rsidP="005A28EA">
            <w:pPr>
              <w:jc w:val="left"/>
              <w:rPr>
                <w:rFonts w:ascii="Times New Roman" w:hAnsi="Times New Roman"/>
                <w:i/>
                <w:sz w:val="22"/>
              </w:rPr>
            </w:pPr>
          </w:p>
          <w:p w14:paraId="4172A53E" w14:textId="77777777" w:rsidR="005A28EA" w:rsidRPr="00460E3D" w:rsidRDefault="005A28EA" w:rsidP="005A28EA">
            <w:pPr>
              <w:jc w:val="left"/>
              <w:rPr>
                <w:rFonts w:ascii="Times New Roman" w:hAnsi="Times New Roman"/>
                <w:i/>
                <w:sz w:val="22"/>
              </w:rPr>
            </w:pPr>
          </w:p>
          <w:p w14:paraId="663A02B4" w14:textId="77777777" w:rsidR="005A28EA" w:rsidRDefault="005A28EA" w:rsidP="005A28EA">
            <w:pPr>
              <w:jc w:val="left"/>
              <w:rPr>
                <w:rFonts w:ascii="Times New Roman" w:hAnsi="Times New Roman"/>
                <w:sz w:val="22"/>
              </w:rPr>
            </w:pPr>
          </w:p>
          <w:p w14:paraId="5A86A2A8" w14:textId="77777777" w:rsidR="00743D9E" w:rsidRPr="00460E3D" w:rsidRDefault="00743D9E" w:rsidP="005A28EA">
            <w:pPr>
              <w:jc w:val="left"/>
              <w:rPr>
                <w:rFonts w:ascii="Times New Roman" w:hAnsi="Times New Roman"/>
                <w:sz w:val="22"/>
              </w:rPr>
            </w:pPr>
          </w:p>
          <w:p w14:paraId="7A1AFD1D" w14:textId="77777777" w:rsidR="005A28EA" w:rsidRPr="00460E3D" w:rsidRDefault="005A28EA" w:rsidP="005A28EA">
            <w:pPr>
              <w:jc w:val="left"/>
              <w:rPr>
                <w:rFonts w:ascii="Times New Roman" w:hAnsi="Times New Roman"/>
                <w:sz w:val="22"/>
              </w:rPr>
            </w:pPr>
          </w:p>
        </w:tc>
      </w:tr>
    </w:tbl>
    <w:p w14:paraId="1406AFD2" w14:textId="77777777" w:rsidR="005A28EA" w:rsidRPr="00460E3D" w:rsidRDefault="005A28EA" w:rsidP="005A28EA">
      <w:pPr>
        <w:jc w:val="left"/>
        <w:rPr>
          <w:rFonts w:eastAsia="Calibri"/>
          <w:sz w:val="22"/>
          <w:szCs w:val="22"/>
          <w:lang w:eastAsia="en-US"/>
        </w:rPr>
      </w:pPr>
    </w:p>
    <w:p w14:paraId="5F93D458"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C1F2947" w14:textId="77777777" w:rsidTr="005A28EA">
        <w:tc>
          <w:tcPr>
            <w:tcW w:w="9212" w:type="dxa"/>
            <w:shd w:val="clear" w:color="auto" w:fill="8DB3E2" w:themeFill="text2" w:themeFillTint="66"/>
          </w:tcPr>
          <w:p w14:paraId="454611A1" w14:textId="77777777"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14:paraId="427F4FD3" w14:textId="77777777" w:rsidR="005A28EA" w:rsidRPr="00460E3D" w:rsidRDefault="005A28EA" w:rsidP="005A28EA">
      <w:pPr>
        <w:ind w:left="720"/>
        <w:jc w:val="left"/>
        <w:rPr>
          <w:rFonts w:eastAsia="Calibri"/>
          <w:b/>
          <w:sz w:val="22"/>
          <w:szCs w:val="22"/>
          <w:lang w:eastAsia="en-US"/>
        </w:rPr>
      </w:pPr>
    </w:p>
    <w:p w14:paraId="7E09F0ED" w14:textId="77777777" w:rsidR="0029217F" w:rsidRPr="00460E3D" w:rsidRDefault="0029217F" w:rsidP="0029217F">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397EC583"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29"/>
        <w:gridCol w:w="6433"/>
      </w:tblGrid>
      <w:tr w:rsidR="005A28EA" w:rsidRPr="00C0062E" w14:paraId="2991A377" w14:textId="77777777" w:rsidTr="00AC07EF">
        <w:tc>
          <w:tcPr>
            <w:tcW w:w="2629" w:type="dxa"/>
            <w:shd w:val="clear" w:color="auto" w:fill="B6DDE8" w:themeFill="accent5" w:themeFillTint="66"/>
          </w:tcPr>
          <w:p w14:paraId="4F6C15DF"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433" w:type="dxa"/>
            <w:shd w:val="clear" w:color="auto" w:fill="B6DDE8" w:themeFill="accent5" w:themeFillTint="66"/>
          </w:tcPr>
          <w:p w14:paraId="008FD958"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4256693D" w14:textId="77777777" w:rsidTr="00AC07EF">
        <w:tc>
          <w:tcPr>
            <w:tcW w:w="2629" w:type="dxa"/>
          </w:tcPr>
          <w:p w14:paraId="5338E34C" w14:textId="6C4F8CFF" w:rsidR="005A28EA" w:rsidRPr="00460E3D" w:rsidRDefault="0077000F" w:rsidP="005A28EA">
            <w:pPr>
              <w:jc w:val="left"/>
              <w:rPr>
                <w:rFonts w:ascii="Times New Roman" w:hAnsi="Times New Roman"/>
                <w:sz w:val="22"/>
              </w:rPr>
            </w:pPr>
            <w:r>
              <w:rPr>
                <w:sz w:val="22"/>
              </w:rPr>
              <w:t>Carte perdue ou volée</w:t>
            </w:r>
          </w:p>
        </w:tc>
        <w:tc>
          <w:tcPr>
            <w:tcW w:w="6433" w:type="dxa"/>
          </w:tcPr>
          <w:p w14:paraId="4874C27F" w14:textId="190AF2C9" w:rsidR="005A28EA" w:rsidRPr="00460E3D" w:rsidRDefault="0077000F" w:rsidP="0077000F">
            <w:pPr>
              <w:rPr>
                <w:rFonts w:ascii="Times New Roman" w:hAnsi="Times New Roman"/>
                <w:sz w:val="22"/>
              </w:rPr>
            </w:pPr>
            <w:r w:rsidRPr="00472EE8">
              <w:rPr>
                <w:rFonts w:asciiTheme="minorHAnsi" w:hAnsiTheme="minorHAnsi" w:cstheme="minorHAnsi"/>
                <w:sz w:val="22"/>
                <w:szCs w:val="20"/>
              </w:rPr>
              <w:t>Le fraudeur utilise une carte de paiement à la suite d’une perte ou d’un vol, à l’insu du titulaire légitime.</w:t>
            </w:r>
            <w:r>
              <w:rPr>
                <w:rFonts w:asciiTheme="minorHAnsi" w:hAnsiTheme="minorHAnsi" w:cstheme="minorHAnsi"/>
                <w:sz w:val="22"/>
                <w:szCs w:val="20"/>
              </w:rPr>
              <w:t xml:space="preserve"> </w:t>
            </w:r>
          </w:p>
        </w:tc>
      </w:tr>
      <w:tr w:rsidR="005A28EA" w:rsidRPr="00C0062E" w14:paraId="094BE431" w14:textId="77777777" w:rsidTr="00AC07EF">
        <w:tc>
          <w:tcPr>
            <w:tcW w:w="2629" w:type="dxa"/>
          </w:tcPr>
          <w:p w14:paraId="0810209B" w14:textId="77777777" w:rsidR="005A28EA" w:rsidRPr="00460E3D" w:rsidRDefault="005A28EA" w:rsidP="005A28EA">
            <w:pPr>
              <w:jc w:val="left"/>
              <w:rPr>
                <w:rFonts w:ascii="Times New Roman" w:hAnsi="Times New Roman"/>
                <w:sz w:val="22"/>
              </w:rPr>
            </w:pPr>
            <w:r w:rsidRPr="00C0062E">
              <w:rPr>
                <w:sz w:val="22"/>
              </w:rPr>
              <w:t>Carte non parvenue</w:t>
            </w:r>
          </w:p>
        </w:tc>
        <w:tc>
          <w:tcPr>
            <w:tcW w:w="6433" w:type="dxa"/>
          </w:tcPr>
          <w:p w14:paraId="6DBF8CCF" w14:textId="77777777"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14:paraId="6889CB5F" w14:textId="3350464E" w:rsidR="005A28EA" w:rsidRPr="00460E3D" w:rsidRDefault="005A28EA" w:rsidP="0011204C">
            <w:pPr>
              <w:rPr>
                <w:rFonts w:ascii="Times New Roman" w:hAnsi="Times New Roman"/>
                <w:sz w:val="22"/>
              </w:rPr>
            </w:pPr>
            <w:r w:rsidRPr="00C0062E">
              <w:rPr>
                <w:sz w:val="22"/>
              </w:rPr>
              <w:t>Ce type d</w:t>
            </w:r>
            <w:r w:rsidR="0077000F">
              <w:rPr>
                <w:sz w:val="22"/>
              </w:rPr>
              <w:t>e fraude</w:t>
            </w:r>
            <w:r w:rsidRPr="00C0062E">
              <w:rPr>
                <w:sz w:val="22"/>
              </w:rPr>
              <w:t xml:space="preserve"> se rapproche de la perte ou du vol. Cependant, il s’en distingue dans la mesure où le porteur peut </w:t>
            </w:r>
            <w:r w:rsidR="0077000F">
              <w:rPr>
                <w:sz w:val="22"/>
              </w:rPr>
              <w:t>difficilement</w:t>
            </w:r>
            <w:r w:rsidRPr="00C0062E">
              <w:rPr>
                <w:sz w:val="22"/>
              </w:rPr>
              <w:t xml:space="preserve"> constater qu’un fraudeur est en possession d’une carte lui </w:t>
            </w:r>
            <w:r w:rsidR="0011204C">
              <w:rPr>
                <w:sz w:val="22"/>
              </w:rPr>
              <w:t>étant destinée. Dans ce cas de figure,</w:t>
            </w:r>
            <w:r w:rsidR="0011204C" w:rsidRPr="00C0062E">
              <w:rPr>
                <w:sz w:val="22"/>
              </w:rPr>
              <w:t xml:space="preserve"> </w:t>
            </w:r>
            <w:r w:rsidR="0011204C">
              <w:rPr>
                <w:sz w:val="22"/>
              </w:rPr>
              <w:t>le fraudeur s’attache à exploiter des vulnérabilités dans les</w:t>
            </w:r>
            <w:r w:rsidR="0011204C" w:rsidRPr="00C0062E">
              <w:rPr>
                <w:sz w:val="22"/>
              </w:rPr>
              <w:t xml:space="preserve"> </w:t>
            </w:r>
            <w:r w:rsidRPr="00C0062E">
              <w:rPr>
                <w:sz w:val="22"/>
              </w:rPr>
              <w:t>procédures d’envoi des cartes.</w:t>
            </w:r>
          </w:p>
        </w:tc>
      </w:tr>
      <w:tr w:rsidR="005A28EA" w:rsidRPr="00C0062E" w14:paraId="618ABE81" w14:textId="77777777" w:rsidTr="00AC07EF">
        <w:tc>
          <w:tcPr>
            <w:tcW w:w="2629" w:type="dxa"/>
          </w:tcPr>
          <w:p w14:paraId="3F7DD5C3" w14:textId="01E28CE9" w:rsidR="005A28EA" w:rsidRPr="00460E3D" w:rsidRDefault="005A28EA" w:rsidP="0011204C">
            <w:pPr>
              <w:jc w:val="left"/>
              <w:rPr>
                <w:rFonts w:ascii="Times New Roman" w:hAnsi="Times New Roman"/>
                <w:sz w:val="22"/>
              </w:rPr>
            </w:pPr>
            <w:r w:rsidRPr="00C0062E">
              <w:rPr>
                <w:sz w:val="22"/>
              </w:rPr>
              <w:t>Carte contrefaite</w:t>
            </w:r>
          </w:p>
        </w:tc>
        <w:tc>
          <w:tcPr>
            <w:tcW w:w="6433" w:type="dxa"/>
          </w:tcPr>
          <w:p w14:paraId="597E68E3" w14:textId="16576C17" w:rsidR="005A28EA" w:rsidRPr="00460E3D" w:rsidRDefault="00DA3FC8" w:rsidP="00460E3D">
            <w:pPr>
              <w:rPr>
                <w:rFonts w:ascii="Times New Roman" w:hAnsi="Times New Roman"/>
                <w:sz w:val="22"/>
              </w:rPr>
            </w:pPr>
            <w:r w:rsidRPr="00472EE8">
              <w:rPr>
                <w:rFonts w:cstheme="minorHAnsi"/>
                <w:sz w:val="22"/>
              </w:rPr>
              <w:t>Le fraudeur utilise (i) une carte contrefaite, qui suppose la création d’un support donnant l’illusion d’être une carte de paiement authentique et/ou susceptible de tromper un automate ou un terminal de paiement de commerçant ou (ii) d’une carte falsifiée qui consiste à modifier les données magnétiques, d’embossage ou de programmation d’une carte authentique. Dans les deux cas, le fraudeur s’attache à ce qu’une telle carte supporte les données nécessaires pour tromper le système d’acceptation.</w:t>
            </w:r>
          </w:p>
        </w:tc>
      </w:tr>
      <w:tr w:rsidR="005A28EA" w:rsidRPr="00C0062E" w14:paraId="291F3291" w14:textId="77777777" w:rsidTr="00AC07EF">
        <w:tc>
          <w:tcPr>
            <w:tcW w:w="2629" w:type="dxa"/>
          </w:tcPr>
          <w:p w14:paraId="22BB463D" w14:textId="738D84C9" w:rsidR="005A28EA" w:rsidRPr="00460E3D" w:rsidRDefault="005A28EA" w:rsidP="00333649">
            <w:pPr>
              <w:jc w:val="left"/>
              <w:rPr>
                <w:rFonts w:ascii="Times New Roman" w:hAnsi="Times New Roman"/>
                <w:sz w:val="22"/>
              </w:rPr>
            </w:pPr>
            <w:r w:rsidRPr="00C0062E">
              <w:rPr>
                <w:sz w:val="22"/>
              </w:rPr>
              <w:t xml:space="preserve">Numéro de carte usurpé </w:t>
            </w:r>
          </w:p>
        </w:tc>
        <w:tc>
          <w:tcPr>
            <w:tcW w:w="6433" w:type="dxa"/>
          </w:tcPr>
          <w:p w14:paraId="73629C9D" w14:textId="43714BEF" w:rsidR="005A28EA" w:rsidRPr="00460E3D" w:rsidRDefault="005A28EA">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tc>
      </w:tr>
      <w:tr w:rsidR="00AC07EF" w:rsidRPr="00C0062E" w14:paraId="417393D8" w14:textId="77777777" w:rsidTr="00AC07EF">
        <w:tc>
          <w:tcPr>
            <w:tcW w:w="2629" w:type="dxa"/>
          </w:tcPr>
          <w:p w14:paraId="6D563DD9" w14:textId="28D2FA76" w:rsidR="00AC07EF" w:rsidRPr="00C0062E" w:rsidRDefault="00AC07EF" w:rsidP="00AC07EF">
            <w:pPr>
              <w:jc w:val="left"/>
              <w:rPr>
                <w:sz w:val="22"/>
              </w:rPr>
            </w:pPr>
            <w:r>
              <w:rPr>
                <w:sz w:val="22"/>
              </w:rPr>
              <w:t>Autre</w:t>
            </w:r>
          </w:p>
        </w:tc>
        <w:tc>
          <w:tcPr>
            <w:tcW w:w="6433" w:type="dxa"/>
          </w:tcPr>
          <w:p w14:paraId="208FA32C" w14:textId="40DF49DA" w:rsidR="00AC07EF" w:rsidRPr="00C0062E" w:rsidDel="00333649" w:rsidRDefault="00AC07EF" w:rsidP="00AC07EF">
            <w:pPr>
              <w:rPr>
                <w:sz w:val="22"/>
              </w:rPr>
            </w:pPr>
            <w:r w:rsidRPr="00EB6D95">
              <w:rPr>
                <w:sz w:val="22"/>
              </w:rPr>
              <w:t xml:space="preserve">Tout autre motif de fraude comme l’utilisation d’un numéro de carte cohérent mais non attribué à un porteur puis utilisé en vente à distance, la modification par le fraudeur d’un ordre de paiement légitime (falsification), la manipulation du payeur </w:t>
            </w:r>
            <w:r>
              <w:rPr>
                <w:sz w:val="22"/>
              </w:rPr>
              <w:t xml:space="preserve">ou la contrainte à l’égard de celui-ci </w:t>
            </w:r>
            <w:r w:rsidRPr="00EB6D95">
              <w:rPr>
                <w:sz w:val="22"/>
              </w:rPr>
              <w:t>ayant pour effet d’obtenir un paiement par carte (détournement) etc.</w:t>
            </w:r>
          </w:p>
        </w:tc>
      </w:tr>
    </w:tbl>
    <w:p w14:paraId="2CE39E26" w14:textId="77777777" w:rsidR="005A28EA" w:rsidRPr="00460E3D" w:rsidRDefault="005A28EA" w:rsidP="005A28EA">
      <w:pPr>
        <w:jc w:val="left"/>
        <w:rPr>
          <w:rFonts w:eastAsia="Calibri"/>
          <w:b/>
          <w:sz w:val="22"/>
          <w:szCs w:val="22"/>
          <w:lang w:eastAsia="en-US"/>
        </w:rPr>
      </w:pPr>
    </w:p>
    <w:p w14:paraId="3336D77F"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14:paraId="59F5E5BF"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497BBC95" w14:textId="77777777"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BF5BB75" w14:textId="77777777" w:rsidTr="005A28EA">
        <w:tc>
          <w:tcPr>
            <w:tcW w:w="2977" w:type="dxa"/>
            <w:shd w:val="clear" w:color="auto" w:fill="F2DBDB" w:themeFill="accent2" w:themeFillTint="33"/>
          </w:tcPr>
          <w:p w14:paraId="2AFE850F"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01435DA1"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106BA06A" w14:textId="77777777" w:rsidR="005A28EA" w:rsidRPr="00460E3D" w:rsidRDefault="005A28EA" w:rsidP="005A28EA">
            <w:pPr>
              <w:jc w:val="left"/>
              <w:rPr>
                <w:rFonts w:ascii="Times New Roman" w:hAnsi="Times New Roman"/>
                <w:szCs w:val="24"/>
              </w:rPr>
            </w:pPr>
          </w:p>
        </w:tc>
      </w:tr>
      <w:tr w:rsidR="005A28EA" w:rsidRPr="00C0062E" w14:paraId="3BC7366E" w14:textId="77777777" w:rsidTr="005A28EA">
        <w:tc>
          <w:tcPr>
            <w:tcW w:w="2977" w:type="dxa"/>
            <w:shd w:val="clear" w:color="auto" w:fill="F2DBDB" w:themeFill="accent2" w:themeFillTint="33"/>
          </w:tcPr>
          <w:p w14:paraId="6D253847"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47ECE9E6"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6D60694" w14:textId="77777777" w:rsidR="005A28EA" w:rsidRPr="00460E3D" w:rsidRDefault="005A28EA" w:rsidP="005A28EA">
            <w:pPr>
              <w:jc w:val="left"/>
              <w:rPr>
                <w:rFonts w:ascii="Times New Roman" w:hAnsi="Times New Roman"/>
                <w:szCs w:val="24"/>
              </w:rPr>
            </w:pPr>
          </w:p>
        </w:tc>
      </w:tr>
    </w:tbl>
    <w:p w14:paraId="647FEB8E" w14:textId="77777777" w:rsidR="005A28EA" w:rsidRPr="00460E3D" w:rsidRDefault="005A28EA" w:rsidP="005A28EA">
      <w:pPr>
        <w:ind w:left="360"/>
        <w:jc w:val="left"/>
        <w:rPr>
          <w:rFonts w:eastAsia="Calibri"/>
          <w:szCs w:val="24"/>
          <w:lang w:eastAsia="en-US"/>
        </w:rPr>
      </w:pPr>
    </w:p>
    <w:p w14:paraId="1A7C9F5F"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39FAD1DC"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6651B04C" w14:textId="77777777" w:rsidR="005A28EA" w:rsidRPr="00460E3D" w:rsidRDefault="005A28EA" w:rsidP="005A28EA">
      <w:pPr>
        <w:jc w:val="left"/>
        <w:rPr>
          <w:rFonts w:eastAsia="Calibri"/>
          <w:i/>
          <w:sz w:val="22"/>
          <w:szCs w:val="22"/>
          <w:lang w:eastAsia="en-US"/>
        </w:rPr>
      </w:pPr>
    </w:p>
    <w:p w14:paraId="66E5497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05407616"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49773B7A" w14:textId="77777777" w:rsidTr="005A28EA">
        <w:tc>
          <w:tcPr>
            <w:tcW w:w="2093" w:type="dxa"/>
            <w:shd w:val="clear" w:color="auto" w:fill="D6E3BC" w:themeFill="accent3" w:themeFillTint="66"/>
            <w:vAlign w:val="center"/>
          </w:tcPr>
          <w:p w14:paraId="14FED64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0F6F22AF"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35925297"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7554760" w14:textId="77777777" w:rsidTr="005A28EA">
        <w:tc>
          <w:tcPr>
            <w:tcW w:w="2093" w:type="dxa"/>
          </w:tcPr>
          <w:p w14:paraId="7E31A23D" w14:textId="326EBC87" w:rsidR="005A28EA" w:rsidRPr="00460E3D" w:rsidRDefault="00AC07EF" w:rsidP="00460E3D">
            <w:pPr>
              <w:rPr>
                <w:rFonts w:ascii="Times New Roman" w:hAnsi="Times New Roman"/>
                <w:sz w:val="22"/>
              </w:rPr>
            </w:pPr>
            <w:r>
              <w:rPr>
                <w:sz w:val="22"/>
              </w:rPr>
              <w:t>Carte perdue ou volée</w:t>
            </w:r>
          </w:p>
        </w:tc>
        <w:tc>
          <w:tcPr>
            <w:tcW w:w="1701" w:type="dxa"/>
          </w:tcPr>
          <w:p w14:paraId="512A0614" w14:textId="77777777" w:rsidR="005A28EA" w:rsidRPr="00D63D99" w:rsidRDefault="005E616C" w:rsidP="005A28EA">
            <w:pPr>
              <w:jc w:val="left"/>
              <w:rPr>
                <w:rFonts w:asciiTheme="minorHAnsi" w:hAnsiTheme="minorHAnsi" w:cstheme="minorHAnsi"/>
                <w:i/>
                <w:sz w:val="18"/>
                <w:szCs w:val="18"/>
              </w:rPr>
            </w:pPr>
            <w:r w:rsidRPr="00D63D99">
              <w:rPr>
                <w:rFonts w:asciiTheme="minorHAnsi" w:hAnsiTheme="minorHAnsi" w:cstheme="minorHAnsi"/>
                <w:i/>
                <w:sz w:val="18"/>
                <w:szCs w:val="18"/>
              </w:rPr>
              <w:t>Ex : au point de vente</w:t>
            </w:r>
          </w:p>
        </w:tc>
        <w:tc>
          <w:tcPr>
            <w:tcW w:w="5418" w:type="dxa"/>
          </w:tcPr>
          <w:p w14:paraId="54381A49" w14:textId="77777777" w:rsidR="005A28EA" w:rsidRPr="00D63D99" w:rsidRDefault="005A28EA" w:rsidP="005A28EA">
            <w:pPr>
              <w:jc w:val="left"/>
              <w:rPr>
                <w:rFonts w:asciiTheme="minorHAnsi" w:hAnsiTheme="minorHAnsi" w:cstheme="minorHAnsi"/>
                <w:i/>
                <w:sz w:val="18"/>
                <w:szCs w:val="18"/>
              </w:rPr>
            </w:pPr>
          </w:p>
        </w:tc>
      </w:tr>
      <w:tr w:rsidR="005A28EA" w:rsidRPr="00C0062E" w14:paraId="100F450E" w14:textId="77777777" w:rsidTr="005A28EA">
        <w:tc>
          <w:tcPr>
            <w:tcW w:w="2093" w:type="dxa"/>
          </w:tcPr>
          <w:p w14:paraId="6D9FF415"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2C63AB0A" w14:textId="77777777" w:rsidR="005A28EA" w:rsidRPr="00460E3D" w:rsidRDefault="005A28EA" w:rsidP="005A28EA">
            <w:pPr>
              <w:jc w:val="left"/>
              <w:rPr>
                <w:rFonts w:ascii="Times New Roman" w:hAnsi="Times New Roman"/>
                <w:b/>
                <w:sz w:val="22"/>
              </w:rPr>
            </w:pPr>
          </w:p>
        </w:tc>
        <w:tc>
          <w:tcPr>
            <w:tcW w:w="5418" w:type="dxa"/>
          </w:tcPr>
          <w:p w14:paraId="06A55735" w14:textId="77777777" w:rsidR="005A28EA" w:rsidRPr="00460E3D" w:rsidRDefault="005A28EA" w:rsidP="005A28EA">
            <w:pPr>
              <w:jc w:val="left"/>
              <w:rPr>
                <w:rFonts w:ascii="Times New Roman" w:hAnsi="Times New Roman"/>
                <w:b/>
                <w:sz w:val="22"/>
              </w:rPr>
            </w:pPr>
          </w:p>
        </w:tc>
      </w:tr>
      <w:tr w:rsidR="005A28EA" w:rsidRPr="00C0062E" w14:paraId="12E74EA4" w14:textId="77777777" w:rsidTr="005A28EA">
        <w:tc>
          <w:tcPr>
            <w:tcW w:w="2093" w:type="dxa"/>
          </w:tcPr>
          <w:p w14:paraId="34D8D16D" w14:textId="0D8E770D" w:rsidR="005A28EA" w:rsidRPr="00460E3D" w:rsidRDefault="005A28EA" w:rsidP="00AC07EF">
            <w:pPr>
              <w:rPr>
                <w:rFonts w:ascii="Times New Roman" w:hAnsi="Times New Roman"/>
                <w:sz w:val="22"/>
              </w:rPr>
            </w:pPr>
            <w:r w:rsidRPr="00C0062E">
              <w:rPr>
                <w:sz w:val="22"/>
              </w:rPr>
              <w:t>Carte contrefaite</w:t>
            </w:r>
          </w:p>
        </w:tc>
        <w:tc>
          <w:tcPr>
            <w:tcW w:w="1701" w:type="dxa"/>
          </w:tcPr>
          <w:p w14:paraId="7CE703EF" w14:textId="77777777" w:rsidR="005A28EA" w:rsidRPr="00460E3D" w:rsidRDefault="005A28EA" w:rsidP="005A28EA">
            <w:pPr>
              <w:jc w:val="left"/>
              <w:rPr>
                <w:rFonts w:ascii="Times New Roman" w:hAnsi="Times New Roman"/>
                <w:b/>
                <w:sz w:val="22"/>
              </w:rPr>
            </w:pPr>
          </w:p>
        </w:tc>
        <w:tc>
          <w:tcPr>
            <w:tcW w:w="5418" w:type="dxa"/>
          </w:tcPr>
          <w:p w14:paraId="458ED0A6" w14:textId="77777777" w:rsidR="005A28EA" w:rsidRPr="00460E3D" w:rsidRDefault="005A28EA" w:rsidP="005A28EA">
            <w:pPr>
              <w:jc w:val="left"/>
              <w:rPr>
                <w:rFonts w:ascii="Times New Roman" w:hAnsi="Times New Roman"/>
                <w:b/>
                <w:sz w:val="22"/>
              </w:rPr>
            </w:pPr>
          </w:p>
        </w:tc>
      </w:tr>
      <w:tr w:rsidR="005A28EA" w:rsidRPr="00C0062E" w14:paraId="7ACF340B" w14:textId="77777777" w:rsidTr="005A28EA">
        <w:tc>
          <w:tcPr>
            <w:tcW w:w="2093" w:type="dxa"/>
          </w:tcPr>
          <w:p w14:paraId="4EC0B75A" w14:textId="1A885466" w:rsidR="005A28EA" w:rsidRPr="00460E3D" w:rsidRDefault="005A28EA" w:rsidP="00AC07EF">
            <w:pPr>
              <w:rPr>
                <w:rFonts w:ascii="Times New Roman" w:hAnsi="Times New Roman"/>
                <w:sz w:val="22"/>
              </w:rPr>
            </w:pPr>
            <w:r w:rsidRPr="00C0062E">
              <w:rPr>
                <w:sz w:val="22"/>
              </w:rPr>
              <w:t xml:space="preserve">Numéro de carte usurpé </w:t>
            </w:r>
          </w:p>
        </w:tc>
        <w:tc>
          <w:tcPr>
            <w:tcW w:w="1701" w:type="dxa"/>
          </w:tcPr>
          <w:p w14:paraId="5246E65D" w14:textId="77777777" w:rsidR="005A28EA" w:rsidRPr="00460E3D" w:rsidRDefault="005A28EA" w:rsidP="005A28EA">
            <w:pPr>
              <w:jc w:val="left"/>
              <w:rPr>
                <w:rFonts w:ascii="Times New Roman" w:hAnsi="Times New Roman"/>
                <w:b/>
                <w:sz w:val="22"/>
              </w:rPr>
            </w:pPr>
          </w:p>
        </w:tc>
        <w:tc>
          <w:tcPr>
            <w:tcW w:w="5418" w:type="dxa"/>
          </w:tcPr>
          <w:p w14:paraId="0500627E" w14:textId="77777777" w:rsidR="005A28EA" w:rsidRPr="00460E3D" w:rsidRDefault="005A28EA" w:rsidP="005A28EA">
            <w:pPr>
              <w:jc w:val="left"/>
              <w:rPr>
                <w:rFonts w:ascii="Times New Roman" w:hAnsi="Times New Roman"/>
                <w:b/>
                <w:sz w:val="22"/>
              </w:rPr>
            </w:pPr>
          </w:p>
        </w:tc>
      </w:tr>
      <w:tr w:rsidR="00AC07EF" w:rsidRPr="00C0062E" w14:paraId="794FD411" w14:textId="77777777" w:rsidTr="005A28EA">
        <w:tc>
          <w:tcPr>
            <w:tcW w:w="2093" w:type="dxa"/>
          </w:tcPr>
          <w:p w14:paraId="3A89C414" w14:textId="354A26B5" w:rsidR="00AC07EF" w:rsidRPr="00C0062E" w:rsidRDefault="00AC07EF" w:rsidP="00AC07EF">
            <w:pPr>
              <w:rPr>
                <w:sz w:val="22"/>
              </w:rPr>
            </w:pPr>
            <w:r>
              <w:rPr>
                <w:sz w:val="22"/>
              </w:rPr>
              <w:t>Autre</w:t>
            </w:r>
          </w:p>
        </w:tc>
        <w:tc>
          <w:tcPr>
            <w:tcW w:w="1701" w:type="dxa"/>
          </w:tcPr>
          <w:p w14:paraId="52340383" w14:textId="77777777" w:rsidR="00AC07EF" w:rsidRPr="00460E3D" w:rsidRDefault="00AC07EF" w:rsidP="005A28EA">
            <w:pPr>
              <w:jc w:val="left"/>
              <w:rPr>
                <w:b/>
                <w:sz w:val="22"/>
              </w:rPr>
            </w:pPr>
          </w:p>
        </w:tc>
        <w:tc>
          <w:tcPr>
            <w:tcW w:w="5418" w:type="dxa"/>
          </w:tcPr>
          <w:p w14:paraId="3077A709" w14:textId="77777777" w:rsidR="00AC07EF" w:rsidRPr="00460E3D" w:rsidRDefault="00AC07EF" w:rsidP="005A28EA">
            <w:pPr>
              <w:jc w:val="left"/>
              <w:rPr>
                <w:b/>
                <w:sz w:val="22"/>
              </w:rPr>
            </w:pPr>
          </w:p>
        </w:tc>
      </w:tr>
    </w:tbl>
    <w:p w14:paraId="7A0C73A4" w14:textId="44FE0262" w:rsidR="005A28EA" w:rsidRDefault="005A28EA" w:rsidP="005A28EA">
      <w:pPr>
        <w:jc w:val="left"/>
        <w:rPr>
          <w:rFonts w:eastAsia="Calibri"/>
          <w:b/>
          <w:sz w:val="22"/>
          <w:szCs w:val="22"/>
          <w:lang w:eastAsia="en-US"/>
        </w:rPr>
      </w:pPr>
    </w:p>
    <w:p w14:paraId="5FAE5306" w14:textId="2B0A1E25" w:rsidR="00E23663" w:rsidRDefault="00E23663" w:rsidP="005A28EA">
      <w:pPr>
        <w:jc w:val="left"/>
        <w:rPr>
          <w:rFonts w:eastAsia="Calibri"/>
          <w:b/>
          <w:sz w:val="22"/>
          <w:szCs w:val="22"/>
          <w:lang w:eastAsia="en-US"/>
        </w:rPr>
      </w:pPr>
    </w:p>
    <w:p w14:paraId="3E333733" w14:textId="32124E2C" w:rsidR="00E23663" w:rsidRDefault="00E23663" w:rsidP="005A28EA">
      <w:pPr>
        <w:jc w:val="left"/>
        <w:rPr>
          <w:rFonts w:eastAsia="Calibri"/>
          <w:b/>
          <w:sz w:val="22"/>
          <w:szCs w:val="22"/>
          <w:lang w:eastAsia="en-US"/>
        </w:rPr>
      </w:pPr>
    </w:p>
    <w:p w14:paraId="034DAD01" w14:textId="77777777" w:rsidR="00E23663" w:rsidRPr="00460E3D" w:rsidRDefault="00E23663" w:rsidP="005A28EA">
      <w:pPr>
        <w:jc w:val="left"/>
        <w:rPr>
          <w:rFonts w:eastAsia="Calibri"/>
          <w:b/>
          <w:sz w:val="22"/>
          <w:szCs w:val="22"/>
          <w:lang w:eastAsia="en-US"/>
        </w:rPr>
      </w:pPr>
    </w:p>
    <w:p w14:paraId="4ABD5F47"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5DFCF4A4"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17DC65EB" w14:textId="77777777" w:rsidTr="005A28EA">
        <w:tc>
          <w:tcPr>
            <w:tcW w:w="2093" w:type="dxa"/>
            <w:shd w:val="clear" w:color="auto" w:fill="D6E3BC" w:themeFill="accent3" w:themeFillTint="66"/>
            <w:vAlign w:val="center"/>
          </w:tcPr>
          <w:p w14:paraId="4C422D3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21CD779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6270AE52"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1EF61A87" w14:textId="77777777" w:rsidTr="005A28EA">
        <w:tc>
          <w:tcPr>
            <w:tcW w:w="2093" w:type="dxa"/>
          </w:tcPr>
          <w:p w14:paraId="7D3EB1F3" w14:textId="2A08D375" w:rsidR="005A28EA" w:rsidRPr="00460E3D" w:rsidRDefault="00AC07EF" w:rsidP="00460E3D">
            <w:pPr>
              <w:rPr>
                <w:rFonts w:ascii="Times New Roman" w:hAnsi="Times New Roman"/>
                <w:sz w:val="22"/>
              </w:rPr>
            </w:pPr>
            <w:r>
              <w:rPr>
                <w:sz w:val="22"/>
              </w:rPr>
              <w:t>Carte perdue ou volée</w:t>
            </w:r>
          </w:p>
        </w:tc>
        <w:tc>
          <w:tcPr>
            <w:tcW w:w="1701" w:type="dxa"/>
          </w:tcPr>
          <w:p w14:paraId="693D9F5A" w14:textId="77777777" w:rsidR="005A28EA" w:rsidRPr="00460E3D" w:rsidRDefault="005A28EA" w:rsidP="005A28EA">
            <w:pPr>
              <w:jc w:val="left"/>
              <w:rPr>
                <w:rFonts w:ascii="Times New Roman" w:hAnsi="Times New Roman"/>
                <w:b/>
                <w:sz w:val="22"/>
              </w:rPr>
            </w:pPr>
          </w:p>
        </w:tc>
        <w:tc>
          <w:tcPr>
            <w:tcW w:w="5418" w:type="dxa"/>
          </w:tcPr>
          <w:p w14:paraId="7C172512" w14:textId="77777777" w:rsidR="005A28EA" w:rsidRPr="00460E3D" w:rsidRDefault="005A28EA" w:rsidP="005A28EA">
            <w:pPr>
              <w:jc w:val="left"/>
              <w:rPr>
                <w:rFonts w:ascii="Times New Roman" w:hAnsi="Times New Roman"/>
                <w:b/>
                <w:sz w:val="22"/>
              </w:rPr>
            </w:pPr>
          </w:p>
        </w:tc>
      </w:tr>
      <w:tr w:rsidR="005A28EA" w:rsidRPr="00C0062E" w14:paraId="6721746D" w14:textId="77777777" w:rsidTr="005A28EA">
        <w:tc>
          <w:tcPr>
            <w:tcW w:w="2093" w:type="dxa"/>
          </w:tcPr>
          <w:p w14:paraId="6264719A"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42670281" w14:textId="77777777" w:rsidR="005A28EA" w:rsidRPr="00460E3D" w:rsidRDefault="005A28EA" w:rsidP="005A28EA">
            <w:pPr>
              <w:jc w:val="left"/>
              <w:rPr>
                <w:rFonts w:ascii="Times New Roman" w:hAnsi="Times New Roman"/>
                <w:b/>
                <w:sz w:val="22"/>
              </w:rPr>
            </w:pPr>
          </w:p>
        </w:tc>
        <w:tc>
          <w:tcPr>
            <w:tcW w:w="5418" w:type="dxa"/>
          </w:tcPr>
          <w:p w14:paraId="04D7D560" w14:textId="77777777" w:rsidR="005A28EA" w:rsidRPr="00460E3D" w:rsidRDefault="005A28EA" w:rsidP="005A28EA">
            <w:pPr>
              <w:jc w:val="left"/>
              <w:rPr>
                <w:rFonts w:ascii="Times New Roman" w:hAnsi="Times New Roman"/>
                <w:b/>
                <w:sz w:val="22"/>
              </w:rPr>
            </w:pPr>
          </w:p>
        </w:tc>
      </w:tr>
      <w:tr w:rsidR="005A28EA" w:rsidRPr="00C0062E" w14:paraId="4F6B25C8" w14:textId="77777777" w:rsidTr="005A28EA">
        <w:tc>
          <w:tcPr>
            <w:tcW w:w="2093" w:type="dxa"/>
          </w:tcPr>
          <w:p w14:paraId="097C6E6A" w14:textId="40DAAA40" w:rsidR="005A28EA" w:rsidRPr="00460E3D" w:rsidRDefault="005A28EA" w:rsidP="00AC07EF">
            <w:pPr>
              <w:rPr>
                <w:rFonts w:ascii="Times New Roman" w:hAnsi="Times New Roman"/>
                <w:sz w:val="22"/>
              </w:rPr>
            </w:pPr>
            <w:r w:rsidRPr="00C0062E">
              <w:rPr>
                <w:sz w:val="22"/>
              </w:rPr>
              <w:t>Carte contrefaite</w:t>
            </w:r>
          </w:p>
        </w:tc>
        <w:tc>
          <w:tcPr>
            <w:tcW w:w="1701" w:type="dxa"/>
          </w:tcPr>
          <w:p w14:paraId="05A492CE" w14:textId="77777777" w:rsidR="005A28EA" w:rsidRPr="00460E3D" w:rsidRDefault="005A28EA" w:rsidP="005A28EA">
            <w:pPr>
              <w:jc w:val="left"/>
              <w:rPr>
                <w:rFonts w:ascii="Times New Roman" w:hAnsi="Times New Roman"/>
                <w:b/>
                <w:sz w:val="22"/>
              </w:rPr>
            </w:pPr>
          </w:p>
        </w:tc>
        <w:tc>
          <w:tcPr>
            <w:tcW w:w="5418" w:type="dxa"/>
          </w:tcPr>
          <w:p w14:paraId="15A0A874" w14:textId="77777777" w:rsidR="005A28EA" w:rsidRPr="00460E3D" w:rsidRDefault="005A28EA" w:rsidP="005A28EA">
            <w:pPr>
              <w:jc w:val="left"/>
              <w:rPr>
                <w:rFonts w:ascii="Times New Roman" w:hAnsi="Times New Roman"/>
                <w:b/>
                <w:sz w:val="22"/>
              </w:rPr>
            </w:pPr>
          </w:p>
        </w:tc>
      </w:tr>
      <w:tr w:rsidR="005A28EA" w:rsidRPr="00C0062E" w14:paraId="34EDC1E9" w14:textId="77777777" w:rsidTr="005A28EA">
        <w:tc>
          <w:tcPr>
            <w:tcW w:w="2093" w:type="dxa"/>
          </w:tcPr>
          <w:p w14:paraId="5C9559F9" w14:textId="45E6BF05" w:rsidR="005A28EA" w:rsidRPr="00460E3D" w:rsidRDefault="005A28EA" w:rsidP="00AC07EF">
            <w:pPr>
              <w:rPr>
                <w:rFonts w:ascii="Times New Roman" w:hAnsi="Times New Roman"/>
                <w:sz w:val="22"/>
              </w:rPr>
            </w:pPr>
            <w:r w:rsidRPr="00C0062E">
              <w:rPr>
                <w:sz w:val="22"/>
              </w:rPr>
              <w:t xml:space="preserve">Numéro de carte usurpé </w:t>
            </w:r>
          </w:p>
        </w:tc>
        <w:tc>
          <w:tcPr>
            <w:tcW w:w="1701" w:type="dxa"/>
          </w:tcPr>
          <w:p w14:paraId="68A98A02" w14:textId="77777777" w:rsidR="005A28EA" w:rsidRPr="00460E3D" w:rsidRDefault="005A28EA" w:rsidP="005A28EA">
            <w:pPr>
              <w:jc w:val="left"/>
              <w:rPr>
                <w:rFonts w:ascii="Times New Roman" w:hAnsi="Times New Roman"/>
                <w:b/>
                <w:sz w:val="22"/>
              </w:rPr>
            </w:pPr>
          </w:p>
        </w:tc>
        <w:tc>
          <w:tcPr>
            <w:tcW w:w="5418" w:type="dxa"/>
          </w:tcPr>
          <w:p w14:paraId="4B2065CA" w14:textId="77777777" w:rsidR="005A28EA" w:rsidRPr="00460E3D" w:rsidRDefault="005A28EA" w:rsidP="005A28EA">
            <w:pPr>
              <w:jc w:val="left"/>
              <w:rPr>
                <w:rFonts w:ascii="Times New Roman" w:hAnsi="Times New Roman"/>
                <w:b/>
                <w:sz w:val="22"/>
              </w:rPr>
            </w:pPr>
          </w:p>
        </w:tc>
      </w:tr>
      <w:tr w:rsidR="00AC07EF" w:rsidRPr="00C0062E" w14:paraId="2F25D6F3" w14:textId="77777777" w:rsidTr="005A28EA">
        <w:tc>
          <w:tcPr>
            <w:tcW w:w="2093" w:type="dxa"/>
          </w:tcPr>
          <w:p w14:paraId="1E85DEC6" w14:textId="6E1D4FB7" w:rsidR="00AC07EF" w:rsidRPr="00C0062E" w:rsidRDefault="00AC07EF" w:rsidP="00AC07EF">
            <w:pPr>
              <w:rPr>
                <w:sz w:val="22"/>
              </w:rPr>
            </w:pPr>
            <w:r>
              <w:rPr>
                <w:sz w:val="22"/>
              </w:rPr>
              <w:t>Autre</w:t>
            </w:r>
          </w:p>
        </w:tc>
        <w:tc>
          <w:tcPr>
            <w:tcW w:w="1701" w:type="dxa"/>
          </w:tcPr>
          <w:p w14:paraId="10C01BBD" w14:textId="77777777" w:rsidR="00AC07EF" w:rsidRPr="00460E3D" w:rsidRDefault="00AC07EF" w:rsidP="005A28EA">
            <w:pPr>
              <w:jc w:val="left"/>
              <w:rPr>
                <w:b/>
                <w:sz w:val="22"/>
              </w:rPr>
            </w:pPr>
          </w:p>
        </w:tc>
        <w:tc>
          <w:tcPr>
            <w:tcW w:w="5418" w:type="dxa"/>
          </w:tcPr>
          <w:p w14:paraId="34F4D1EA" w14:textId="77777777" w:rsidR="00AC07EF" w:rsidRPr="00460E3D" w:rsidRDefault="00AC07EF" w:rsidP="005A28EA">
            <w:pPr>
              <w:jc w:val="left"/>
              <w:rPr>
                <w:b/>
                <w:sz w:val="22"/>
              </w:rPr>
            </w:pPr>
          </w:p>
        </w:tc>
      </w:tr>
    </w:tbl>
    <w:p w14:paraId="61334DA2" w14:textId="77777777" w:rsidR="00AC07EF" w:rsidRDefault="00AC07EF" w:rsidP="00AC07EF">
      <w:pPr>
        <w:spacing w:after="200" w:line="276" w:lineRule="auto"/>
        <w:ind w:left="720"/>
        <w:jc w:val="left"/>
        <w:rPr>
          <w:rFonts w:eastAsia="Calibri"/>
          <w:b/>
          <w:sz w:val="22"/>
          <w:szCs w:val="22"/>
          <w:lang w:eastAsia="en-US"/>
        </w:rPr>
      </w:pPr>
    </w:p>
    <w:p w14:paraId="2034E515" w14:textId="41DD4881"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8451D83" w14:textId="77777777" w:rsidR="005A28EA" w:rsidRPr="00460E3D" w:rsidRDefault="005A28EA" w:rsidP="005A28EA">
      <w:pPr>
        <w:jc w:val="left"/>
        <w:rPr>
          <w:rFonts w:eastAsia="Calibri"/>
          <w:sz w:val="22"/>
          <w:szCs w:val="22"/>
          <w:lang w:eastAsia="en-US"/>
        </w:rPr>
      </w:pPr>
    </w:p>
    <w:p w14:paraId="7E89FDFB"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0EE18CC2"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23A11D7D" w14:textId="77777777" w:rsidTr="005A28EA">
        <w:tc>
          <w:tcPr>
            <w:tcW w:w="2376" w:type="dxa"/>
            <w:shd w:val="clear" w:color="auto" w:fill="D6E3BC" w:themeFill="accent3" w:themeFillTint="66"/>
            <w:vAlign w:val="center"/>
          </w:tcPr>
          <w:p w14:paraId="7DE1AAA4"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55C504F"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181D4EB"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7CD21CA0"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56F96FF0" w14:textId="77777777" w:rsidTr="005A28EA">
        <w:tc>
          <w:tcPr>
            <w:tcW w:w="2376" w:type="dxa"/>
          </w:tcPr>
          <w:p w14:paraId="76F50585" w14:textId="77777777" w:rsidR="005A28EA" w:rsidRPr="00D63D99" w:rsidRDefault="005E616C" w:rsidP="005A28EA">
            <w:pPr>
              <w:jc w:val="left"/>
              <w:rPr>
                <w:rFonts w:asciiTheme="minorHAnsi" w:hAnsiTheme="minorHAnsi" w:cstheme="minorHAnsi"/>
                <w:i/>
                <w:sz w:val="18"/>
                <w:szCs w:val="18"/>
              </w:rPr>
            </w:pPr>
            <w:r>
              <w:rPr>
                <w:rFonts w:asciiTheme="minorHAnsi" w:hAnsiTheme="minorHAnsi" w:cstheme="minorHAnsi"/>
                <w:i/>
                <w:sz w:val="18"/>
                <w:szCs w:val="18"/>
              </w:rPr>
              <w:t>Ex : numéro de carte usurpé</w:t>
            </w:r>
          </w:p>
        </w:tc>
        <w:tc>
          <w:tcPr>
            <w:tcW w:w="1985" w:type="dxa"/>
          </w:tcPr>
          <w:p w14:paraId="30E1B99A" w14:textId="77777777" w:rsidR="005A28EA" w:rsidRPr="00D63D99" w:rsidRDefault="005E616C" w:rsidP="005A28EA">
            <w:pPr>
              <w:jc w:val="left"/>
              <w:rPr>
                <w:rFonts w:asciiTheme="minorHAnsi" w:hAnsiTheme="minorHAnsi" w:cstheme="minorHAnsi"/>
                <w:i/>
                <w:sz w:val="18"/>
                <w:szCs w:val="18"/>
              </w:rPr>
            </w:pPr>
            <w:r w:rsidRPr="00C30A7D">
              <w:rPr>
                <w:rFonts w:asciiTheme="minorHAnsi" w:hAnsiTheme="minorHAnsi" w:cstheme="minorHAnsi"/>
                <w:i/>
                <w:sz w:val="18"/>
                <w:szCs w:val="18"/>
              </w:rPr>
              <w:t>E</w:t>
            </w:r>
            <w:r w:rsidRPr="00D63D99">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14:paraId="5E9A0D34" w14:textId="77777777" w:rsidR="005A28EA" w:rsidRPr="00460E3D" w:rsidRDefault="00C30A7D" w:rsidP="005A28EA">
            <w:pPr>
              <w:jc w:val="left"/>
              <w:rPr>
                <w:rFonts w:ascii="Times New Roman" w:hAnsi="Times New Roman"/>
                <w:b/>
                <w:sz w:val="22"/>
              </w:rPr>
            </w:pPr>
            <w:r w:rsidRPr="00D63D99">
              <w:rPr>
                <w:rFonts w:asciiTheme="minorHAnsi" w:hAnsiTheme="minorHAnsi" w:cstheme="minorHAnsi"/>
                <w:i/>
                <w:sz w:val="18"/>
                <w:szCs w:val="18"/>
              </w:rPr>
              <w:t>Ex :</w:t>
            </w:r>
            <w:r>
              <w:rPr>
                <w:rFonts w:asciiTheme="minorHAnsi" w:hAnsiTheme="minorHAnsi" w:cstheme="minorHAnsi"/>
                <w:i/>
                <w:sz w:val="18"/>
                <w:szCs w:val="18"/>
              </w:rPr>
              <w:t xml:space="preserve"> </w:t>
            </w:r>
            <w:r w:rsidRPr="00D63D99">
              <w:rPr>
                <w:rFonts w:asciiTheme="minorHAnsi" w:hAnsiTheme="minorHAnsi" w:cstheme="minorHAnsi"/>
                <w:i/>
                <w:sz w:val="18"/>
                <w:szCs w:val="18"/>
              </w:rPr>
              <w:t>attaques par skimming, détournement de cartes SIM,…</w:t>
            </w:r>
          </w:p>
        </w:tc>
      </w:tr>
      <w:tr w:rsidR="005A28EA" w:rsidRPr="00C0062E" w14:paraId="5E2C801B" w14:textId="77777777" w:rsidTr="005A28EA">
        <w:tc>
          <w:tcPr>
            <w:tcW w:w="2376" w:type="dxa"/>
          </w:tcPr>
          <w:p w14:paraId="3A48212E" w14:textId="77777777" w:rsidR="005A28EA" w:rsidRPr="00460E3D" w:rsidRDefault="005A28EA" w:rsidP="005A28EA">
            <w:pPr>
              <w:jc w:val="left"/>
              <w:rPr>
                <w:rFonts w:ascii="Times New Roman" w:hAnsi="Times New Roman"/>
                <w:b/>
                <w:sz w:val="22"/>
              </w:rPr>
            </w:pPr>
          </w:p>
        </w:tc>
        <w:tc>
          <w:tcPr>
            <w:tcW w:w="1985" w:type="dxa"/>
          </w:tcPr>
          <w:p w14:paraId="7C2DB720" w14:textId="77777777" w:rsidR="005A28EA" w:rsidRPr="00460E3D" w:rsidRDefault="005A28EA" w:rsidP="005A28EA">
            <w:pPr>
              <w:jc w:val="left"/>
              <w:rPr>
                <w:rFonts w:ascii="Times New Roman" w:hAnsi="Times New Roman"/>
                <w:b/>
                <w:sz w:val="22"/>
              </w:rPr>
            </w:pPr>
          </w:p>
        </w:tc>
        <w:tc>
          <w:tcPr>
            <w:tcW w:w="4851" w:type="dxa"/>
          </w:tcPr>
          <w:p w14:paraId="00D74987" w14:textId="77777777" w:rsidR="005A28EA" w:rsidRPr="00460E3D" w:rsidRDefault="005A28EA" w:rsidP="005A28EA">
            <w:pPr>
              <w:jc w:val="left"/>
              <w:rPr>
                <w:rFonts w:ascii="Times New Roman" w:hAnsi="Times New Roman"/>
                <w:b/>
                <w:sz w:val="22"/>
              </w:rPr>
            </w:pPr>
          </w:p>
        </w:tc>
      </w:tr>
      <w:tr w:rsidR="005A28EA" w:rsidRPr="00C0062E" w14:paraId="51E18048" w14:textId="77777777" w:rsidTr="005A28EA">
        <w:tc>
          <w:tcPr>
            <w:tcW w:w="2376" w:type="dxa"/>
          </w:tcPr>
          <w:p w14:paraId="6C3B7143" w14:textId="77777777" w:rsidR="005A28EA" w:rsidRPr="00460E3D" w:rsidRDefault="005A28EA" w:rsidP="005A28EA">
            <w:pPr>
              <w:jc w:val="left"/>
              <w:rPr>
                <w:rFonts w:ascii="Times New Roman" w:hAnsi="Times New Roman"/>
                <w:b/>
                <w:sz w:val="22"/>
              </w:rPr>
            </w:pPr>
          </w:p>
        </w:tc>
        <w:tc>
          <w:tcPr>
            <w:tcW w:w="1985" w:type="dxa"/>
          </w:tcPr>
          <w:p w14:paraId="3F74FA65" w14:textId="77777777" w:rsidR="005A28EA" w:rsidRPr="00460E3D" w:rsidRDefault="005A28EA" w:rsidP="005A28EA">
            <w:pPr>
              <w:jc w:val="left"/>
              <w:rPr>
                <w:rFonts w:ascii="Times New Roman" w:hAnsi="Times New Roman"/>
                <w:b/>
                <w:sz w:val="22"/>
              </w:rPr>
            </w:pPr>
          </w:p>
        </w:tc>
        <w:tc>
          <w:tcPr>
            <w:tcW w:w="4851" w:type="dxa"/>
          </w:tcPr>
          <w:p w14:paraId="05B6D3A1" w14:textId="77777777" w:rsidR="005A28EA" w:rsidRPr="00460E3D" w:rsidRDefault="005A28EA" w:rsidP="005A28EA">
            <w:pPr>
              <w:jc w:val="left"/>
              <w:rPr>
                <w:rFonts w:ascii="Times New Roman" w:hAnsi="Times New Roman"/>
                <w:b/>
                <w:sz w:val="22"/>
              </w:rPr>
            </w:pPr>
          </w:p>
        </w:tc>
      </w:tr>
      <w:tr w:rsidR="005A28EA" w:rsidRPr="00C0062E" w14:paraId="0ADECE8D" w14:textId="77777777" w:rsidTr="005A28EA">
        <w:tc>
          <w:tcPr>
            <w:tcW w:w="2376" w:type="dxa"/>
          </w:tcPr>
          <w:p w14:paraId="53033E38" w14:textId="77777777" w:rsidR="005A28EA" w:rsidRPr="00460E3D" w:rsidRDefault="005A28EA" w:rsidP="005A28EA">
            <w:pPr>
              <w:jc w:val="left"/>
              <w:rPr>
                <w:rFonts w:ascii="Times New Roman" w:hAnsi="Times New Roman"/>
                <w:b/>
                <w:sz w:val="22"/>
              </w:rPr>
            </w:pPr>
          </w:p>
        </w:tc>
        <w:tc>
          <w:tcPr>
            <w:tcW w:w="1985" w:type="dxa"/>
          </w:tcPr>
          <w:p w14:paraId="3E76D20C" w14:textId="77777777" w:rsidR="005A28EA" w:rsidRPr="00460E3D" w:rsidRDefault="005A28EA" w:rsidP="005A28EA">
            <w:pPr>
              <w:jc w:val="left"/>
              <w:rPr>
                <w:rFonts w:ascii="Times New Roman" w:hAnsi="Times New Roman"/>
                <w:b/>
                <w:sz w:val="22"/>
              </w:rPr>
            </w:pPr>
          </w:p>
        </w:tc>
        <w:tc>
          <w:tcPr>
            <w:tcW w:w="4851" w:type="dxa"/>
          </w:tcPr>
          <w:p w14:paraId="6F64D8D1" w14:textId="77777777" w:rsidR="005A28EA" w:rsidRPr="00460E3D" w:rsidRDefault="005A28EA" w:rsidP="005A28EA">
            <w:pPr>
              <w:jc w:val="left"/>
              <w:rPr>
                <w:rFonts w:ascii="Times New Roman" w:hAnsi="Times New Roman"/>
                <w:b/>
                <w:sz w:val="22"/>
              </w:rPr>
            </w:pPr>
          </w:p>
        </w:tc>
      </w:tr>
      <w:tr w:rsidR="005A28EA" w:rsidRPr="00C0062E" w14:paraId="1DD4DDD1" w14:textId="77777777" w:rsidTr="005A28EA">
        <w:tc>
          <w:tcPr>
            <w:tcW w:w="2376" w:type="dxa"/>
          </w:tcPr>
          <w:p w14:paraId="20A6BE2F" w14:textId="77777777" w:rsidR="005A28EA" w:rsidRPr="00460E3D" w:rsidRDefault="005A28EA" w:rsidP="005A28EA">
            <w:pPr>
              <w:jc w:val="left"/>
              <w:rPr>
                <w:rFonts w:ascii="Times New Roman" w:hAnsi="Times New Roman"/>
                <w:b/>
                <w:sz w:val="22"/>
              </w:rPr>
            </w:pPr>
          </w:p>
        </w:tc>
        <w:tc>
          <w:tcPr>
            <w:tcW w:w="1985" w:type="dxa"/>
          </w:tcPr>
          <w:p w14:paraId="37DAC513" w14:textId="77777777" w:rsidR="005A28EA" w:rsidRPr="00460E3D" w:rsidRDefault="005A28EA" w:rsidP="005A28EA">
            <w:pPr>
              <w:jc w:val="left"/>
              <w:rPr>
                <w:rFonts w:ascii="Times New Roman" w:hAnsi="Times New Roman"/>
                <w:b/>
                <w:sz w:val="22"/>
              </w:rPr>
            </w:pPr>
          </w:p>
        </w:tc>
        <w:tc>
          <w:tcPr>
            <w:tcW w:w="4851" w:type="dxa"/>
          </w:tcPr>
          <w:p w14:paraId="5EC745FD" w14:textId="77777777" w:rsidR="005A28EA" w:rsidRPr="00460E3D" w:rsidRDefault="005A28EA" w:rsidP="005A28EA">
            <w:pPr>
              <w:jc w:val="left"/>
              <w:rPr>
                <w:rFonts w:ascii="Times New Roman" w:hAnsi="Times New Roman"/>
                <w:b/>
                <w:sz w:val="22"/>
              </w:rPr>
            </w:pPr>
          </w:p>
        </w:tc>
      </w:tr>
    </w:tbl>
    <w:p w14:paraId="0A4E6BC7" w14:textId="77777777" w:rsidR="005A28EA" w:rsidRPr="00460E3D" w:rsidRDefault="005A28EA" w:rsidP="005A28EA">
      <w:pPr>
        <w:jc w:val="left"/>
        <w:rPr>
          <w:rFonts w:eastAsia="Calibri"/>
          <w:b/>
          <w:sz w:val="22"/>
          <w:szCs w:val="22"/>
          <w:lang w:eastAsia="en-US"/>
        </w:rPr>
      </w:pPr>
    </w:p>
    <w:p w14:paraId="7D89646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1ADD4BE3"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05B00616" w14:textId="77777777" w:rsidTr="005A28EA">
        <w:tc>
          <w:tcPr>
            <w:tcW w:w="2376" w:type="dxa"/>
            <w:shd w:val="clear" w:color="auto" w:fill="D6E3BC" w:themeFill="accent3" w:themeFillTint="66"/>
            <w:vAlign w:val="center"/>
          </w:tcPr>
          <w:p w14:paraId="36B50B2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A7A6A4E"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254D0B94"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17C1ED0F"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40F8C768" w14:textId="77777777" w:rsidTr="005A28EA">
        <w:tc>
          <w:tcPr>
            <w:tcW w:w="2376" w:type="dxa"/>
          </w:tcPr>
          <w:p w14:paraId="4CE61EDB" w14:textId="77777777" w:rsidR="005A28EA" w:rsidRPr="00460E3D" w:rsidRDefault="005A28EA" w:rsidP="005A28EA">
            <w:pPr>
              <w:jc w:val="left"/>
              <w:rPr>
                <w:rFonts w:ascii="Times New Roman" w:hAnsi="Times New Roman"/>
                <w:b/>
                <w:sz w:val="22"/>
              </w:rPr>
            </w:pPr>
          </w:p>
        </w:tc>
        <w:tc>
          <w:tcPr>
            <w:tcW w:w="1985" w:type="dxa"/>
          </w:tcPr>
          <w:p w14:paraId="333A9F7C" w14:textId="77777777" w:rsidR="005A28EA" w:rsidRPr="00460E3D" w:rsidRDefault="005A28EA" w:rsidP="005A28EA">
            <w:pPr>
              <w:jc w:val="left"/>
              <w:rPr>
                <w:rFonts w:ascii="Times New Roman" w:hAnsi="Times New Roman"/>
                <w:b/>
                <w:sz w:val="22"/>
              </w:rPr>
            </w:pPr>
          </w:p>
        </w:tc>
        <w:tc>
          <w:tcPr>
            <w:tcW w:w="4851" w:type="dxa"/>
          </w:tcPr>
          <w:p w14:paraId="6B052F69" w14:textId="77777777" w:rsidR="005A28EA" w:rsidRPr="00460E3D" w:rsidRDefault="005A28EA" w:rsidP="005A28EA">
            <w:pPr>
              <w:jc w:val="left"/>
              <w:rPr>
                <w:rFonts w:ascii="Times New Roman" w:hAnsi="Times New Roman"/>
                <w:b/>
                <w:sz w:val="22"/>
              </w:rPr>
            </w:pPr>
          </w:p>
        </w:tc>
      </w:tr>
      <w:tr w:rsidR="005A28EA" w:rsidRPr="00C0062E" w14:paraId="7B358872" w14:textId="77777777" w:rsidTr="005A28EA">
        <w:tc>
          <w:tcPr>
            <w:tcW w:w="2376" w:type="dxa"/>
          </w:tcPr>
          <w:p w14:paraId="2306A8CA" w14:textId="77777777" w:rsidR="005A28EA" w:rsidRPr="00460E3D" w:rsidRDefault="005A28EA" w:rsidP="005A28EA">
            <w:pPr>
              <w:jc w:val="left"/>
              <w:rPr>
                <w:rFonts w:ascii="Times New Roman" w:hAnsi="Times New Roman"/>
                <w:b/>
                <w:sz w:val="22"/>
              </w:rPr>
            </w:pPr>
          </w:p>
        </w:tc>
        <w:tc>
          <w:tcPr>
            <w:tcW w:w="1985" w:type="dxa"/>
          </w:tcPr>
          <w:p w14:paraId="51861636" w14:textId="77777777" w:rsidR="005A28EA" w:rsidRPr="00460E3D" w:rsidRDefault="005A28EA" w:rsidP="005A28EA">
            <w:pPr>
              <w:jc w:val="left"/>
              <w:rPr>
                <w:rFonts w:ascii="Times New Roman" w:hAnsi="Times New Roman"/>
                <w:b/>
                <w:sz w:val="22"/>
              </w:rPr>
            </w:pPr>
          </w:p>
        </w:tc>
        <w:tc>
          <w:tcPr>
            <w:tcW w:w="4851" w:type="dxa"/>
          </w:tcPr>
          <w:p w14:paraId="200F04BD" w14:textId="77777777" w:rsidR="005A28EA" w:rsidRPr="00460E3D" w:rsidRDefault="005A28EA" w:rsidP="005A28EA">
            <w:pPr>
              <w:jc w:val="left"/>
              <w:rPr>
                <w:rFonts w:ascii="Times New Roman" w:hAnsi="Times New Roman"/>
                <w:b/>
                <w:sz w:val="22"/>
              </w:rPr>
            </w:pPr>
          </w:p>
        </w:tc>
      </w:tr>
      <w:tr w:rsidR="005A28EA" w:rsidRPr="00C0062E" w14:paraId="394833A4" w14:textId="77777777" w:rsidTr="005A28EA">
        <w:tc>
          <w:tcPr>
            <w:tcW w:w="2376" w:type="dxa"/>
          </w:tcPr>
          <w:p w14:paraId="4FC069AF" w14:textId="77777777" w:rsidR="005A28EA" w:rsidRPr="00460E3D" w:rsidRDefault="005A28EA" w:rsidP="005A28EA">
            <w:pPr>
              <w:jc w:val="left"/>
              <w:rPr>
                <w:rFonts w:ascii="Times New Roman" w:hAnsi="Times New Roman"/>
                <w:b/>
                <w:sz w:val="22"/>
              </w:rPr>
            </w:pPr>
          </w:p>
        </w:tc>
        <w:tc>
          <w:tcPr>
            <w:tcW w:w="1985" w:type="dxa"/>
          </w:tcPr>
          <w:p w14:paraId="23A34A8C" w14:textId="77777777" w:rsidR="005A28EA" w:rsidRPr="00460E3D" w:rsidRDefault="005A28EA" w:rsidP="005A28EA">
            <w:pPr>
              <w:jc w:val="left"/>
              <w:rPr>
                <w:rFonts w:ascii="Times New Roman" w:hAnsi="Times New Roman"/>
                <w:b/>
                <w:sz w:val="22"/>
              </w:rPr>
            </w:pPr>
          </w:p>
        </w:tc>
        <w:tc>
          <w:tcPr>
            <w:tcW w:w="4851" w:type="dxa"/>
          </w:tcPr>
          <w:p w14:paraId="4A6FACE2" w14:textId="77777777" w:rsidR="005A28EA" w:rsidRPr="00460E3D" w:rsidRDefault="005A28EA" w:rsidP="005A28EA">
            <w:pPr>
              <w:jc w:val="left"/>
              <w:rPr>
                <w:rFonts w:ascii="Times New Roman" w:hAnsi="Times New Roman"/>
                <w:b/>
                <w:sz w:val="22"/>
              </w:rPr>
            </w:pPr>
          </w:p>
        </w:tc>
      </w:tr>
      <w:tr w:rsidR="005A28EA" w:rsidRPr="00C0062E" w14:paraId="65494FF9" w14:textId="77777777" w:rsidTr="005A28EA">
        <w:tc>
          <w:tcPr>
            <w:tcW w:w="2376" w:type="dxa"/>
          </w:tcPr>
          <w:p w14:paraId="21F1F6BE" w14:textId="77777777" w:rsidR="005A28EA" w:rsidRPr="00460E3D" w:rsidRDefault="005A28EA" w:rsidP="005A28EA">
            <w:pPr>
              <w:jc w:val="left"/>
              <w:rPr>
                <w:rFonts w:ascii="Times New Roman" w:hAnsi="Times New Roman"/>
                <w:b/>
                <w:sz w:val="22"/>
              </w:rPr>
            </w:pPr>
          </w:p>
        </w:tc>
        <w:tc>
          <w:tcPr>
            <w:tcW w:w="1985" w:type="dxa"/>
          </w:tcPr>
          <w:p w14:paraId="5A939A88" w14:textId="77777777" w:rsidR="005A28EA" w:rsidRPr="00460E3D" w:rsidRDefault="005A28EA" w:rsidP="005A28EA">
            <w:pPr>
              <w:jc w:val="left"/>
              <w:rPr>
                <w:rFonts w:ascii="Times New Roman" w:hAnsi="Times New Roman"/>
                <w:b/>
                <w:sz w:val="22"/>
              </w:rPr>
            </w:pPr>
          </w:p>
        </w:tc>
        <w:tc>
          <w:tcPr>
            <w:tcW w:w="4851" w:type="dxa"/>
          </w:tcPr>
          <w:p w14:paraId="6B9C467E" w14:textId="77777777" w:rsidR="005A28EA" w:rsidRPr="00460E3D" w:rsidRDefault="005A28EA" w:rsidP="005A28EA">
            <w:pPr>
              <w:jc w:val="left"/>
              <w:rPr>
                <w:rFonts w:ascii="Times New Roman" w:hAnsi="Times New Roman"/>
                <w:b/>
                <w:sz w:val="22"/>
              </w:rPr>
            </w:pPr>
          </w:p>
        </w:tc>
      </w:tr>
      <w:tr w:rsidR="005A28EA" w:rsidRPr="00C0062E" w14:paraId="3FE88001" w14:textId="77777777" w:rsidTr="005A28EA">
        <w:tc>
          <w:tcPr>
            <w:tcW w:w="2376" w:type="dxa"/>
          </w:tcPr>
          <w:p w14:paraId="488DFB91" w14:textId="77777777" w:rsidR="005A28EA" w:rsidRPr="00460E3D" w:rsidRDefault="005A28EA" w:rsidP="005A28EA">
            <w:pPr>
              <w:jc w:val="left"/>
              <w:rPr>
                <w:rFonts w:ascii="Times New Roman" w:hAnsi="Times New Roman"/>
                <w:b/>
                <w:sz w:val="22"/>
              </w:rPr>
            </w:pPr>
          </w:p>
        </w:tc>
        <w:tc>
          <w:tcPr>
            <w:tcW w:w="1985" w:type="dxa"/>
          </w:tcPr>
          <w:p w14:paraId="09F8CA0A" w14:textId="77777777" w:rsidR="005A28EA" w:rsidRPr="00460E3D" w:rsidRDefault="005A28EA" w:rsidP="005A28EA">
            <w:pPr>
              <w:jc w:val="left"/>
              <w:rPr>
                <w:rFonts w:ascii="Times New Roman" w:hAnsi="Times New Roman"/>
                <w:b/>
                <w:sz w:val="22"/>
              </w:rPr>
            </w:pPr>
          </w:p>
        </w:tc>
        <w:tc>
          <w:tcPr>
            <w:tcW w:w="4851" w:type="dxa"/>
          </w:tcPr>
          <w:p w14:paraId="286B8560" w14:textId="77777777" w:rsidR="005A28EA" w:rsidRPr="00460E3D" w:rsidRDefault="005A28EA" w:rsidP="005A28EA">
            <w:pPr>
              <w:jc w:val="left"/>
              <w:rPr>
                <w:rFonts w:ascii="Times New Roman" w:hAnsi="Times New Roman"/>
                <w:b/>
                <w:sz w:val="22"/>
              </w:rPr>
            </w:pPr>
          </w:p>
        </w:tc>
      </w:tr>
    </w:tbl>
    <w:p w14:paraId="55836ED1" w14:textId="77777777" w:rsidR="005A28EA" w:rsidRPr="00460E3D" w:rsidRDefault="005A28EA" w:rsidP="005A28EA">
      <w:pPr>
        <w:jc w:val="left"/>
        <w:rPr>
          <w:rFonts w:eastAsia="Calibri"/>
          <w:b/>
          <w:sz w:val="22"/>
          <w:szCs w:val="22"/>
          <w:lang w:eastAsia="en-US"/>
        </w:rPr>
      </w:pPr>
    </w:p>
    <w:p w14:paraId="2E3F3A91" w14:textId="77777777" w:rsidR="005A28EA" w:rsidRPr="00460E3D" w:rsidRDefault="005A28EA" w:rsidP="005A28EA">
      <w:pPr>
        <w:jc w:val="left"/>
        <w:rPr>
          <w:rFonts w:eastAsia="Calibri"/>
          <w:b/>
          <w:sz w:val="22"/>
          <w:szCs w:val="22"/>
          <w:lang w:eastAsia="en-US"/>
        </w:rPr>
      </w:pPr>
    </w:p>
    <w:p w14:paraId="4AB6A311"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5B9AAD93"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195F0501" w14:textId="77777777" w:rsidTr="005A28EA">
        <w:tc>
          <w:tcPr>
            <w:tcW w:w="9212" w:type="dxa"/>
          </w:tcPr>
          <w:p w14:paraId="5801B78B" w14:textId="77777777" w:rsidR="005A28EA" w:rsidRPr="00460E3D" w:rsidRDefault="005A28EA" w:rsidP="005A28EA">
            <w:pPr>
              <w:rPr>
                <w:rFonts w:ascii="Times New Roman" w:hAnsi="Times New Roman"/>
                <w:szCs w:val="24"/>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54EB32DA" w14:textId="77777777" w:rsidR="005A28EA" w:rsidRPr="00460E3D" w:rsidRDefault="005A28EA" w:rsidP="005A28EA">
            <w:pPr>
              <w:rPr>
                <w:rFonts w:ascii="Times New Roman" w:hAnsi="Times New Roman"/>
                <w:szCs w:val="24"/>
              </w:rPr>
            </w:pPr>
          </w:p>
          <w:p w14:paraId="5E0AA97D" w14:textId="77777777" w:rsidR="005A28EA" w:rsidRPr="00460E3D" w:rsidRDefault="005A28EA" w:rsidP="005A28EA">
            <w:pPr>
              <w:rPr>
                <w:rFonts w:ascii="Times New Roman" w:hAnsi="Times New Roman"/>
                <w:szCs w:val="24"/>
              </w:rPr>
            </w:pPr>
          </w:p>
          <w:p w14:paraId="5A150783" w14:textId="77777777" w:rsidR="005A28EA" w:rsidRPr="00460E3D" w:rsidRDefault="005A28EA" w:rsidP="005A28EA">
            <w:pPr>
              <w:rPr>
                <w:rFonts w:ascii="Times New Roman" w:hAnsi="Times New Roman"/>
                <w:szCs w:val="24"/>
              </w:rPr>
            </w:pPr>
          </w:p>
          <w:p w14:paraId="73CE0407" w14:textId="77777777" w:rsidR="005A28EA" w:rsidRPr="00460E3D" w:rsidRDefault="005A28EA" w:rsidP="005A28EA">
            <w:pPr>
              <w:rPr>
                <w:rFonts w:ascii="Times New Roman" w:hAnsi="Times New Roman"/>
                <w:szCs w:val="24"/>
              </w:rPr>
            </w:pPr>
          </w:p>
          <w:p w14:paraId="417D7FC5" w14:textId="77777777" w:rsidR="005A28EA" w:rsidRPr="00460E3D" w:rsidRDefault="005A28EA" w:rsidP="005A28EA">
            <w:pPr>
              <w:rPr>
                <w:rFonts w:ascii="Times New Roman" w:hAnsi="Times New Roman"/>
                <w:szCs w:val="24"/>
              </w:rPr>
            </w:pPr>
          </w:p>
          <w:p w14:paraId="069B92E5" w14:textId="77777777" w:rsidR="005A28EA" w:rsidRPr="00460E3D" w:rsidRDefault="005A28EA" w:rsidP="005A28EA">
            <w:pPr>
              <w:rPr>
                <w:rFonts w:ascii="Times New Roman" w:hAnsi="Times New Roman"/>
                <w:szCs w:val="24"/>
              </w:rPr>
            </w:pPr>
          </w:p>
        </w:tc>
      </w:tr>
    </w:tbl>
    <w:p w14:paraId="6D4FB879" w14:textId="77777777" w:rsidR="005A28EA" w:rsidRPr="00460E3D" w:rsidRDefault="005A28EA" w:rsidP="005A28EA">
      <w:pPr>
        <w:spacing w:after="200" w:line="276" w:lineRule="auto"/>
        <w:jc w:val="left"/>
        <w:rPr>
          <w:rFonts w:eastAsia="Calibri"/>
          <w:szCs w:val="24"/>
          <w:lang w:eastAsia="en-US"/>
        </w:rPr>
      </w:pPr>
    </w:p>
    <w:p w14:paraId="10D46663" w14:textId="77777777" w:rsidR="005A28EA" w:rsidRPr="00460E3D" w:rsidRDefault="005A28EA" w:rsidP="005A28EA">
      <w:pPr>
        <w:spacing w:after="200" w:line="276" w:lineRule="auto"/>
        <w:jc w:val="left"/>
        <w:rPr>
          <w:rFonts w:eastAsia="Calibri"/>
          <w:szCs w:val="24"/>
          <w:lang w:eastAsia="en-US"/>
        </w:rPr>
      </w:pPr>
    </w:p>
    <w:p w14:paraId="3F689318" w14:textId="77777777"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14:paraId="29DFE33A"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28614D0C" w14:textId="77777777" w:rsidTr="005A28EA">
        <w:tc>
          <w:tcPr>
            <w:tcW w:w="14142" w:type="dxa"/>
            <w:shd w:val="clear" w:color="auto" w:fill="FBD4B4" w:themeFill="accent6" w:themeFillTint="66"/>
          </w:tcPr>
          <w:p w14:paraId="0D1CE3F1" w14:textId="77777777" w:rsidR="005A28EA" w:rsidRPr="00460E3D" w:rsidRDefault="005A28EA" w:rsidP="005A28EA">
            <w:pPr>
              <w:numPr>
                <w:ilvl w:val="0"/>
                <w:numId w:val="72"/>
              </w:numPr>
              <w:jc w:val="left"/>
              <w:rPr>
                <w:rFonts w:ascii="Times New Roman" w:hAnsi="Times New Roman"/>
                <w:b/>
                <w:sz w:val="22"/>
              </w:rPr>
            </w:pPr>
            <w:r w:rsidRPr="00460E3D">
              <w:rPr>
                <w:b/>
                <w:sz w:val="22"/>
              </w:rPr>
              <w:t>Virement</w:t>
            </w:r>
          </w:p>
        </w:tc>
      </w:tr>
    </w:tbl>
    <w:p w14:paraId="37D59D8D"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2F171953" w14:textId="77777777" w:rsidTr="005A28EA">
        <w:tc>
          <w:tcPr>
            <w:tcW w:w="14142" w:type="dxa"/>
            <w:shd w:val="clear" w:color="auto" w:fill="8DB3E2" w:themeFill="text2" w:themeFillTint="66"/>
          </w:tcPr>
          <w:p w14:paraId="1909FC0C" w14:textId="77777777"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14:paraId="24334B23" w14:textId="77777777" w:rsidR="005A28EA" w:rsidRPr="00460E3D" w:rsidRDefault="005A28EA" w:rsidP="005A28EA">
      <w:pPr>
        <w:ind w:left="720"/>
        <w:jc w:val="left"/>
        <w:rPr>
          <w:rFonts w:eastAsia="Calibri"/>
          <w:b/>
          <w:sz w:val="22"/>
          <w:szCs w:val="22"/>
          <w:lang w:eastAsia="en-US"/>
        </w:rPr>
      </w:pPr>
    </w:p>
    <w:p w14:paraId="5ED64A37"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5DEA0B47"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2BBF8B75" w14:textId="77777777" w:rsidTr="005A28EA">
        <w:tc>
          <w:tcPr>
            <w:tcW w:w="1501" w:type="dxa"/>
            <w:tcBorders>
              <w:bottom w:val="single" w:sz="4" w:space="0" w:color="auto"/>
            </w:tcBorders>
            <w:shd w:val="clear" w:color="auto" w:fill="D6E3BC" w:themeFill="accent3" w:themeFillTint="66"/>
          </w:tcPr>
          <w:p w14:paraId="76BF80D3"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BBE1D4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37762C19"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B8685DC"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02CA2D68"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213C9226"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6DE11397" w14:textId="77777777" w:rsidTr="005A28EA">
        <w:tc>
          <w:tcPr>
            <w:tcW w:w="14142" w:type="dxa"/>
            <w:gridSpan w:val="6"/>
            <w:shd w:val="pct10" w:color="auto" w:fill="auto"/>
          </w:tcPr>
          <w:p w14:paraId="6E55D534" w14:textId="77777777"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14:paraId="2C056BCC" w14:textId="77777777" w:rsidTr="005A28EA">
        <w:tc>
          <w:tcPr>
            <w:tcW w:w="1501" w:type="dxa"/>
          </w:tcPr>
          <w:p w14:paraId="6EB970AD" w14:textId="77777777" w:rsidR="005A28EA" w:rsidRPr="00460E3D" w:rsidRDefault="005A28EA" w:rsidP="005A28EA">
            <w:pPr>
              <w:jc w:val="left"/>
              <w:rPr>
                <w:rFonts w:ascii="Times New Roman" w:hAnsi="Times New Roman"/>
                <w:sz w:val="22"/>
              </w:rPr>
            </w:pPr>
          </w:p>
        </w:tc>
        <w:tc>
          <w:tcPr>
            <w:tcW w:w="2293" w:type="dxa"/>
          </w:tcPr>
          <w:p w14:paraId="5B24A18B" w14:textId="77777777" w:rsidR="005A28EA" w:rsidRPr="00460E3D" w:rsidRDefault="005A28EA" w:rsidP="005A28EA">
            <w:pPr>
              <w:jc w:val="left"/>
              <w:rPr>
                <w:rFonts w:ascii="Times New Roman" w:hAnsi="Times New Roman"/>
                <w:sz w:val="22"/>
              </w:rPr>
            </w:pPr>
          </w:p>
        </w:tc>
        <w:tc>
          <w:tcPr>
            <w:tcW w:w="1516" w:type="dxa"/>
          </w:tcPr>
          <w:p w14:paraId="275645B6" w14:textId="77777777" w:rsidR="005A28EA" w:rsidRPr="00460E3D" w:rsidRDefault="005A28EA" w:rsidP="005A28EA">
            <w:pPr>
              <w:jc w:val="left"/>
              <w:rPr>
                <w:rFonts w:ascii="Times New Roman" w:hAnsi="Times New Roman"/>
                <w:sz w:val="22"/>
              </w:rPr>
            </w:pPr>
          </w:p>
        </w:tc>
        <w:tc>
          <w:tcPr>
            <w:tcW w:w="1744" w:type="dxa"/>
          </w:tcPr>
          <w:p w14:paraId="33BD2664" w14:textId="77777777" w:rsidR="005A28EA" w:rsidRPr="00460E3D" w:rsidRDefault="005A28EA" w:rsidP="005A28EA">
            <w:pPr>
              <w:jc w:val="left"/>
              <w:rPr>
                <w:rFonts w:ascii="Times New Roman" w:hAnsi="Times New Roman"/>
                <w:sz w:val="22"/>
              </w:rPr>
            </w:pPr>
          </w:p>
        </w:tc>
        <w:tc>
          <w:tcPr>
            <w:tcW w:w="2977" w:type="dxa"/>
          </w:tcPr>
          <w:p w14:paraId="7A76AAE8" w14:textId="77777777" w:rsidR="005A28EA" w:rsidRPr="00460E3D" w:rsidRDefault="005A28EA" w:rsidP="005A28EA">
            <w:pPr>
              <w:jc w:val="left"/>
              <w:rPr>
                <w:rFonts w:ascii="Times New Roman" w:hAnsi="Times New Roman"/>
                <w:sz w:val="22"/>
              </w:rPr>
            </w:pPr>
          </w:p>
        </w:tc>
        <w:tc>
          <w:tcPr>
            <w:tcW w:w="4111" w:type="dxa"/>
          </w:tcPr>
          <w:p w14:paraId="35878BA8" w14:textId="77777777" w:rsidR="005A28EA" w:rsidRPr="00460E3D" w:rsidRDefault="005A28EA" w:rsidP="005A28EA">
            <w:pPr>
              <w:jc w:val="left"/>
              <w:rPr>
                <w:rFonts w:ascii="Times New Roman" w:hAnsi="Times New Roman"/>
                <w:sz w:val="22"/>
              </w:rPr>
            </w:pPr>
          </w:p>
        </w:tc>
      </w:tr>
      <w:tr w:rsidR="005A28EA" w:rsidRPr="00C0062E" w14:paraId="47E4E875" w14:textId="77777777" w:rsidTr="005A28EA">
        <w:tc>
          <w:tcPr>
            <w:tcW w:w="1501" w:type="dxa"/>
          </w:tcPr>
          <w:p w14:paraId="67053AB0" w14:textId="77777777" w:rsidR="005A28EA" w:rsidRPr="00460E3D" w:rsidRDefault="005A28EA" w:rsidP="005A28EA">
            <w:pPr>
              <w:jc w:val="left"/>
              <w:rPr>
                <w:rFonts w:ascii="Times New Roman" w:hAnsi="Times New Roman"/>
                <w:sz w:val="22"/>
              </w:rPr>
            </w:pPr>
          </w:p>
        </w:tc>
        <w:tc>
          <w:tcPr>
            <w:tcW w:w="2293" w:type="dxa"/>
          </w:tcPr>
          <w:p w14:paraId="4EA95A03" w14:textId="77777777" w:rsidR="005A28EA" w:rsidRPr="00460E3D" w:rsidRDefault="005A28EA" w:rsidP="005A28EA">
            <w:pPr>
              <w:jc w:val="left"/>
              <w:rPr>
                <w:rFonts w:ascii="Times New Roman" w:hAnsi="Times New Roman"/>
                <w:sz w:val="22"/>
              </w:rPr>
            </w:pPr>
          </w:p>
        </w:tc>
        <w:tc>
          <w:tcPr>
            <w:tcW w:w="1516" w:type="dxa"/>
          </w:tcPr>
          <w:p w14:paraId="51EF0A64" w14:textId="77777777" w:rsidR="005A28EA" w:rsidRPr="00460E3D" w:rsidRDefault="005A28EA" w:rsidP="005A28EA">
            <w:pPr>
              <w:jc w:val="left"/>
              <w:rPr>
                <w:rFonts w:ascii="Times New Roman" w:hAnsi="Times New Roman"/>
                <w:sz w:val="22"/>
              </w:rPr>
            </w:pPr>
          </w:p>
        </w:tc>
        <w:tc>
          <w:tcPr>
            <w:tcW w:w="1744" w:type="dxa"/>
          </w:tcPr>
          <w:p w14:paraId="5A6E8E58" w14:textId="77777777" w:rsidR="005A28EA" w:rsidRPr="00460E3D" w:rsidRDefault="005A28EA" w:rsidP="005A28EA">
            <w:pPr>
              <w:jc w:val="left"/>
              <w:rPr>
                <w:rFonts w:ascii="Times New Roman" w:hAnsi="Times New Roman"/>
                <w:sz w:val="22"/>
              </w:rPr>
            </w:pPr>
          </w:p>
        </w:tc>
        <w:tc>
          <w:tcPr>
            <w:tcW w:w="2977" w:type="dxa"/>
          </w:tcPr>
          <w:p w14:paraId="5E57B503" w14:textId="77777777" w:rsidR="005A28EA" w:rsidRPr="00460E3D" w:rsidRDefault="005A28EA" w:rsidP="005A28EA">
            <w:pPr>
              <w:jc w:val="left"/>
              <w:rPr>
                <w:rFonts w:ascii="Times New Roman" w:hAnsi="Times New Roman"/>
                <w:sz w:val="22"/>
              </w:rPr>
            </w:pPr>
          </w:p>
        </w:tc>
        <w:tc>
          <w:tcPr>
            <w:tcW w:w="4111" w:type="dxa"/>
          </w:tcPr>
          <w:p w14:paraId="65C81545" w14:textId="77777777" w:rsidR="005A28EA" w:rsidRPr="00460E3D" w:rsidRDefault="005A28EA" w:rsidP="005A28EA">
            <w:pPr>
              <w:jc w:val="left"/>
              <w:rPr>
                <w:rFonts w:ascii="Times New Roman" w:hAnsi="Times New Roman"/>
                <w:sz w:val="22"/>
              </w:rPr>
            </w:pPr>
          </w:p>
        </w:tc>
      </w:tr>
      <w:tr w:rsidR="005A28EA" w:rsidRPr="00C0062E" w14:paraId="39EA4F4B" w14:textId="77777777" w:rsidTr="005A28EA">
        <w:tc>
          <w:tcPr>
            <w:tcW w:w="1501" w:type="dxa"/>
            <w:tcBorders>
              <w:bottom w:val="single" w:sz="4" w:space="0" w:color="auto"/>
            </w:tcBorders>
          </w:tcPr>
          <w:p w14:paraId="33B6BC07"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04582520"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494E22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EB53F2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A4553A0"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0A5F665" w14:textId="77777777" w:rsidR="005A28EA" w:rsidRPr="00460E3D" w:rsidRDefault="005A28EA" w:rsidP="005A28EA">
            <w:pPr>
              <w:jc w:val="left"/>
              <w:rPr>
                <w:rFonts w:ascii="Times New Roman" w:hAnsi="Times New Roman"/>
                <w:sz w:val="22"/>
              </w:rPr>
            </w:pPr>
          </w:p>
        </w:tc>
      </w:tr>
      <w:tr w:rsidR="005A28EA" w:rsidRPr="00C0062E" w14:paraId="038B1778" w14:textId="77777777" w:rsidTr="005A28EA">
        <w:tc>
          <w:tcPr>
            <w:tcW w:w="1501" w:type="dxa"/>
            <w:tcBorders>
              <w:bottom w:val="single" w:sz="4" w:space="0" w:color="auto"/>
            </w:tcBorders>
          </w:tcPr>
          <w:p w14:paraId="6CF0B879"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9E1FE0E"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DDC41EB"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5D99E4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898DAD6"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B101891" w14:textId="77777777" w:rsidR="005A28EA" w:rsidRPr="00460E3D" w:rsidRDefault="005A28EA" w:rsidP="005A28EA">
            <w:pPr>
              <w:jc w:val="left"/>
              <w:rPr>
                <w:rFonts w:ascii="Times New Roman" w:hAnsi="Times New Roman"/>
                <w:sz w:val="22"/>
              </w:rPr>
            </w:pPr>
          </w:p>
        </w:tc>
      </w:tr>
      <w:tr w:rsidR="005A28EA" w:rsidRPr="00C0062E" w14:paraId="6FA5B26A" w14:textId="77777777" w:rsidTr="005A28EA">
        <w:tc>
          <w:tcPr>
            <w:tcW w:w="1501" w:type="dxa"/>
          </w:tcPr>
          <w:p w14:paraId="0A101131" w14:textId="77777777" w:rsidR="005A28EA" w:rsidRPr="00460E3D" w:rsidRDefault="005A28EA" w:rsidP="005A28EA">
            <w:pPr>
              <w:jc w:val="left"/>
              <w:rPr>
                <w:rFonts w:ascii="Times New Roman" w:hAnsi="Times New Roman"/>
                <w:sz w:val="22"/>
              </w:rPr>
            </w:pPr>
          </w:p>
        </w:tc>
        <w:tc>
          <w:tcPr>
            <w:tcW w:w="2293" w:type="dxa"/>
          </w:tcPr>
          <w:p w14:paraId="257039ED" w14:textId="77777777" w:rsidR="005A28EA" w:rsidRPr="00460E3D" w:rsidRDefault="005A28EA" w:rsidP="005A28EA">
            <w:pPr>
              <w:jc w:val="left"/>
              <w:rPr>
                <w:rFonts w:ascii="Times New Roman" w:hAnsi="Times New Roman"/>
                <w:sz w:val="22"/>
              </w:rPr>
            </w:pPr>
          </w:p>
        </w:tc>
        <w:tc>
          <w:tcPr>
            <w:tcW w:w="1516" w:type="dxa"/>
          </w:tcPr>
          <w:p w14:paraId="5D6B0A9E" w14:textId="77777777" w:rsidR="005A28EA" w:rsidRPr="00460E3D" w:rsidRDefault="005A28EA" w:rsidP="005A28EA">
            <w:pPr>
              <w:jc w:val="left"/>
              <w:rPr>
                <w:rFonts w:ascii="Times New Roman" w:hAnsi="Times New Roman"/>
                <w:sz w:val="22"/>
              </w:rPr>
            </w:pPr>
          </w:p>
        </w:tc>
        <w:tc>
          <w:tcPr>
            <w:tcW w:w="1744" w:type="dxa"/>
          </w:tcPr>
          <w:p w14:paraId="6E834136" w14:textId="77777777" w:rsidR="005A28EA" w:rsidRPr="00460E3D" w:rsidRDefault="005A28EA" w:rsidP="005A28EA">
            <w:pPr>
              <w:jc w:val="left"/>
              <w:rPr>
                <w:rFonts w:ascii="Times New Roman" w:hAnsi="Times New Roman"/>
                <w:sz w:val="22"/>
              </w:rPr>
            </w:pPr>
          </w:p>
        </w:tc>
        <w:tc>
          <w:tcPr>
            <w:tcW w:w="2977" w:type="dxa"/>
          </w:tcPr>
          <w:p w14:paraId="3C69B173" w14:textId="77777777" w:rsidR="005A28EA" w:rsidRPr="00460E3D" w:rsidRDefault="005A28EA" w:rsidP="005A28EA">
            <w:pPr>
              <w:jc w:val="left"/>
              <w:rPr>
                <w:rFonts w:ascii="Times New Roman" w:hAnsi="Times New Roman"/>
                <w:sz w:val="22"/>
              </w:rPr>
            </w:pPr>
          </w:p>
        </w:tc>
        <w:tc>
          <w:tcPr>
            <w:tcW w:w="4111" w:type="dxa"/>
          </w:tcPr>
          <w:p w14:paraId="3DC953EE" w14:textId="77777777" w:rsidR="005A28EA" w:rsidRPr="00460E3D" w:rsidRDefault="005A28EA" w:rsidP="005A28EA">
            <w:pPr>
              <w:jc w:val="left"/>
              <w:rPr>
                <w:rFonts w:ascii="Times New Roman" w:hAnsi="Times New Roman"/>
                <w:sz w:val="22"/>
              </w:rPr>
            </w:pPr>
          </w:p>
        </w:tc>
      </w:tr>
      <w:tr w:rsidR="005A28EA" w:rsidRPr="00C0062E" w14:paraId="2F61D637" w14:textId="77777777" w:rsidTr="005A28EA">
        <w:tc>
          <w:tcPr>
            <w:tcW w:w="1501" w:type="dxa"/>
          </w:tcPr>
          <w:p w14:paraId="42BA8E5C" w14:textId="77777777" w:rsidR="005A28EA" w:rsidRPr="00460E3D" w:rsidRDefault="005A28EA" w:rsidP="005A28EA">
            <w:pPr>
              <w:jc w:val="left"/>
              <w:rPr>
                <w:rFonts w:ascii="Times New Roman" w:hAnsi="Times New Roman"/>
                <w:sz w:val="22"/>
              </w:rPr>
            </w:pPr>
          </w:p>
        </w:tc>
        <w:tc>
          <w:tcPr>
            <w:tcW w:w="2293" w:type="dxa"/>
          </w:tcPr>
          <w:p w14:paraId="09F43106" w14:textId="77777777" w:rsidR="005A28EA" w:rsidRPr="00460E3D" w:rsidRDefault="005A28EA" w:rsidP="005A28EA">
            <w:pPr>
              <w:jc w:val="left"/>
              <w:rPr>
                <w:rFonts w:ascii="Times New Roman" w:hAnsi="Times New Roman"/>
                <w:sz w:val="22"/>
              </w:rPr>
            </w:pPr>
          </w:p>
        </w:tc>
        <w:tc>
          <w:tcPr>
            <w:tcW w:w="1516" w:type="dxa"/>
          </w:tcPr>
          <w:p w14:paraId="78095F3C" w14:textId="77777777" w:rsidR="005A28EA" w:rsidRPr="00460E3D" w:rsidRDefault="005A28EA" w:rsidP="005A28EA">
            <w:pPr>
              <w:jc w:val="left"/>
              <w:rPr>
                <w:rFonts w:ascii="Times New Roman" w:hAnsi="Times New Roman"/>
                <w:sz w:val="22"/>
              </w:rPr>
            </w:pPr>
          </w:p>
        </w:tc>
        <w:tc>
          <w:tcPr>
            <w:tcW w:w="1744" w:type="dxa"/>
          </w:tcPr>
          <w:p w14:paraId="1A977982" w14:textId="77777777" w:rsidR="005A28EA" w:rsidRPr="00460E3D" w:rsidRDefault="005A28EA" w:rsidP="005A28EA">
            <w:pPr>
              <w:jc w:val="left"/>
              <w:rPr>
                <w:rFonts w:ascii="Times New Roman" w:hAnsi="Times New Roman"/>
                <w:sz w:val="22"/>
              </w:rPr>
            </w:pPr>
          </w:p>
        </w:tc>
        <w:tc>
          <w:tcPr>
            <w:tcW w:w="2977" w:type="dxa"/>
          </w:tcPr>
          <w:p w14:paraId="401D3BAE" w14:textId="77777777" w:rsidR="005A28EA" w:rsidRPr="00460E3D" w:rsidRDefault="005A28EA" w:rsidP="005A28EA">
            <w:pPr>
              <w:jc w:val="left"/>
              <w:rPr>
                <w:rFonts w:ascii="Times New Roman" w:hAnsi="Times New Roman"/>
                <w:sz w:val="22"/>
              </w:rPr>
            </w:pPr>
          </w:p>
        </w:tc>
        <w:tc>
          <w:tcPr>
            <w:tcW w:w="4111" w:type="dxa"/>
          </w:tcPr>
          <w:p w14:paraId="3C8758AE" w14:textId="77777777" w:rsidR="005A28EA" w:rsidRPr="00460E3D" w:rsidRDefault="005A28EA" w:rsidP="005A28EA">
            <w:pPr>
              <w:jc w:val="left"/>
              <w:rPr>
                <w:rFonts w:ascii="Times New Roman" w:hAnsi="Times New Roman"/>
                <w:sz w:val="22"/>
              </w:rPr>
            </w:pPr>
          </w:p>
        </w:tc>
      </w:tr>
      <w:tr w:rsidR="005A28EA" w:rsidRPr="00C0062E" w14:paraId="00073BB4" w14:textId="77777777" w:rsidTr="005A28EA">
        <w:tc>
          <w:tcPr>
            <w:tcW w:w="1501" w:type="dxa"/>
          </w:tcPr>
          <w:p w14:paraId="5763CF00" w14:textId="77777777" w:rsidR="005A28EA" w:rsidRPr="00460E3D" w:rsidRDefault="005A28EA" w:rsidP="005A28EA">
            <w:pPr>
              <w:jc w:val="left"/>
              <w:rPr>
                <w:rFonts w:ascii="Times New Roman" w:hAnsi="Times New Roman"/>
                <w:sz w:val="22"/>
              </w:rPr>
            </w:pPr>
          </w:p>
        </w:tc>
        <w:tc>
          <w:tcPr>
            <w:tcW w:w="2293" w:type="dxa"/>
          </w:tcPr>
          <w:p w14:paraId="2B0916BB" w14:textId="77777777" w:rsidR="005A28EA" w:rsidRPr="00460E3D" w:rsidRDefault="005A28EA" w:rsidP="005A28EA">
            <w:pPr>
              <w:jc w:val="left"/>
              <w:rPr>
                <w:rFonts w:ascii="Times New Roman" w:hAnsi="Times New Roman"/>
                <w:sz w:val="22"/>
              </w:rPr>
            </w:pPr>
          </w:p>
        </w:tc>
        <w:tc>
          <w:tcPr>
            <w:tcW w:w="1516" w:type="dxa"/>
          </w:tcPr>
          <w:p w14:paraId="16B9D4B6" w14:textId="77777777" w:rsidR="005A28EA" w:rsidRPr="00460E3D" w:rsidRDefault="005A28EA" w:rsidP="005A28EA">
            <w:pPr>
              <w:jc w:val="left"/>
              <w:rPr>
                <w:rFonts w:ascii="Times New Roman" w:hAnsi="Times New Roman"/>
                <w:sz w:val="22"/>
              </w:rPr>
            </w:pPr>
          </w:p>
        </w:tc>
        <w:tc>
          <w:tcPr>
            <w:tcW w:w="1744" w:type="dxa"/>
          </w:tcPr>
          <w:p w14:paraId="7221F63F" w14:textId="77777777" w:rsidR="005A28EA" w:rsidRPr="00460E3D" w:rsidRDefault="005A28EA" w:rsidP="005A28EA">
            <w:pPr>
              <w:jc w:val="left"/>
              <w:rPr>
                <w:rFonts w:ascii="Times New Roman" w:hAnsi="Times New Roman"/>
                <w:sz w:val="22"/>
              </w:rPr>
            </w:pPr>
          </w:p>
        </w:tc>
        <w:tc>
          <w:tcPr>
            <w:tcW w:w="2977" w:type="dxa"/>
          </w:tcPr>
          <w:p w14:paraId="1BF0CE91" w14:textId="77777777" w:rsidR="005A28EA" w:rsidRPr="00460E3D" w:rsidRDefault="005A28EA" w:rsidP="005A28EA">
            <w:pPr>
              <w:jc w:val="left"/>
              <w:rPr>
                <w:rFonts w:ascii="Times New Roman" w:hAnsi="Times New Roman"/>
                <w:sz w:val="22"/>
              </w:rPr>
            </w:pPr>
          </w:p>
        </w:tc>
        <w:tc>
          <w:tcPr>
            <w:tcW w:w="4111" w:type="dxa"/>
          </w:tcPr>
          <w:p w14:paraId="003157F0" w14:textId="77777777" w:rsidR="005A28EA" w:rsidRPr="00460E3D" w:rsidRDefault="005A28EA" w:rsidP="005A28EA">
            <w:pPr>
              <w:jc w:val="left"/>
              <w:rPr>
                <w:rFonts w:ascii="Times New Roman" w:hAnsi="Times New Roman"/>
                <w:sz w:val="22"/>
              </w:rPr>
            </w:pPr>
          </w:p>
        </w:tc>
      </w:tr>
      <w:tr w:rsidR="005A28EA" w:rsidRPr="00C0062E" w14:paraId="7D21F878" w14:textId="77777777" w:rsidTr="005A28EA">
        <w:tc>
          <w:tcPr>
            <w:tcW w:w="1501" w:type="dxa"/>
          </w:tcPr>
          <w:p w14:paraId="308A0DA2" w14:textId="77777777" w:rsidR="005A28EA" w:rsidRPr="00460E3D" w:rsidRDefault="005A28EA" w:rsidP="005A28EA">
            <w:pPr>
              <w:jc w:val="left"/>
              <w:rPr>
                <w:rFonts w:ascii="Times New Roman" w:hAnsi="Times New Roman"/>
                <w:sz w:val="22"/>
              </w:rPr>
            </w:pPr>
          </w:p>
        </w:tc>
        <w:tc>
          <w:tcPr>
            <w:tcW w:w="2293" w:type="dxa"/>
          </w:tcPr>
          <w:p w14:paraId="3B39CC44" w14:textId="77777777" w:rsidR="005A28EA" w:rsidRPr="00460E3D" w:rsidRDefault="005A28EA" w:rsidP="005A28EA">
            <w:pPr>
              <w:jc w:val="left"/>
              <w:rPr>
                <w:rFonts w:ascii="Times New Roman" w:hAnsi="Times New Roman"/>
                <w:sz w:val="22"/>
              </w:rPr>
            </w:pPr>
          </w:p>
        </w:tc>
        <w:tc>
          <w:tcPr>
            <w:tcW w:w="1516" w:type="dxa"/>
          </w:tcPr>
          <w:p w14:paraId="335E2AAA" w14:textId="77777777" w:rsidR="005A28EA" w:rsidRPr="00460E3D" w:rsidRDefault="005A28EA" w:rsidP="005A28EA">
            <w:pPr>
              <w:jc w:val="left"/>
              <w:rPr>
                <w:rFonts w:ascii="Times New Roman" w:hAnsi="Times New Roman"/>
                <w:sz w:val="22"/>
              </w:rPr>
            </w:pPr>
          </w:p>
        </w:tc>
        <w:tc>
          <w:tcPr>
            <w:tcW w:w="1744" w:type="dxa"/>
          </w:tcPr>
          <w:p w14:paraId="3E978D0E" w14:textId="77777777" w:rsidR="005A28EA" w:rsidRPr="00460E3D" w:rsidRDefault="005A28EA" w:rsidP="005A28EA">
            <w:pPr>
              <w:jc w:val="left"/>
              <w:rPr>
                <w:rFonts w:ascii="Times New Roman" w:hAnsi="Times New Roman"/>
                <w:sz w:val="22"/>
              </w:rPr>
            </w:pPr>
          </w:p>
        </w:tc>
        <w:tc>
          <w:tcPr>
            <w:tcW w:w="2977" w:type="dxa"/>
          </w:tcPr>
          <w:p w14:paraId="570B2EFF" w14:textId="77777777" w:rsidR="005A28EA" w:rsidRPr="00460E3D" w:rsidRDefault="005A28EA" w:rsidP="005A28EA">
            <w:pPr>
              <w:jc w:val="left"/>
              <w:rPr>
                <w:rFonts w:ascii="Times New Roman" w:hAnsi="Times New Roman"/>
                <w:sz w:val="22"/>
              </w:rPr>
            </w:pPr>
          </w:p>
        </w:tc>
        <w:tc>
          <w:tcPr>
            <w:tcW w:w="4111" w:type="dxa"/>
          </w:tcPr>
          <w:p w14:paraId="6316CF77" w14:textId="77777777" w:rsidR="005A28EA" w:rsidRPr="00460E3D" w:rsidRDefault="005A28EA" w:rsidP="005A28EA">
            <w:pPr>
              <w:jc w:val="left"/>
              <w:rPr>
                <w:rFonts w:ascii="Times New Roman" w:hAnsi="Times New Roman"/>
                <w:sz w:val="22"/>
              </w:rPr>
            </w:pPr>
          </w:p>
        </w:tc>
      </w:tr>
      <w:tr w:rsidR="005A28EA" w:rsidRPr="00C0062E" w14:paraId="713081CB" w14:textId="77777777" w:rsidTr="005A28EA">
        <w:tc>
          <w:tcPr>
            <w:tcW w:w="1501" w:type="dxa"/>
          </w:tcPr>
          <w:p w14:paraId="1B46178C" w14:textId="77777777" w:rsidR="005A28EA" w:rsidRPr="00460E3D" w:rsidRDefault="005A28EA" w:rsidP="005A28EA">
            <w:pPr>
              <w:jc w:val="left"/>
              <w:rPr>
                <w:rFonts w:ascii="Times New Roman" w:hAnsi="Times New Roman"/>
                <w:sz w:val="22"/>
              </w:rPr>
            </w:pPr>
          </w:p>
        </w:tc>
        <w:tc>
          <w:tcPr>
            <w:tcW w:w="2293" w:type="dxa"/>
          </w:tcPr>
          <w:p w14:paraId="6B020463" w14:textId="77777777" w:rsidR="005A28EA" w:rsidRPr="00460E3D" w:rsidRDefault="005A28EA" w:rsidP="005A28EA">
            <w:pPr>
              <w:jc w:val="left"/>
              <w:rPr>
                <w:rFonts w:ascii="Times New Roman" w:hAnsi="Times New Roman"/>
                <w:sz w:val="22"/>
              </w:rPr>
            </w:pPr>
          </w:p>
        </w:tc>
        <w:tc>
          <w:tcPr>
            <w:tcW w:w="1516" w:type="dxa"/>
          </w:tcPr>
          <w:p w14:paraId="476F4273" w14:textId="77777777" w:rsidR="005A28EA" w:rsidRPr="00460E3D" w:rsidRDefault="005A28EA" w:rsidP="005A28EA">
            <w:pPr>
              <w:jc w:val="left"/>
              <w:rPr>
                <w:rFonts w:ascii="Times New Roman" w:hAnsi="Times New Roman"/>
                <w:sz w:val="22"/>
              </w:rPr>
            </w:pPr>
          </w:p>
        </w:tc>
        <w:tc>
          <w:tcPr>
            <w:tcW w:w="1744" w:type="dxa"/>
          </w:tcPr>
          <w:p w14:paraId="1255129E" w14:textId="77777777" w:rsidR="005A28EA" w:rsidRPr="00460E3D" w:rsidRDefault="005A28EA" w:rsidP="005A28EA">
            <w:pPr>
              <w:jc w:val="left"/>
              <w:rPr>
                <w:rFonts w:ascii="Times New Roman" w:hAnsi="Times New Roman"/>
                <w:sz w:val="22"/>
              </w:rPr>
            </w:pPr>
          </w:p>
        </w:tc>
        <w:tc>
          <w:tcPr>
            <w:tcW w:w="2977" w:type="dxa"/>
          </w:tcPr>
          <w:p w14:paraId="64B7ECE5" w14:textId="77777777" w:rsidR="005A28EA" w:rsidRPr="00460E3D" w:rsidRDefault="005A28EA" w:rsidP="005A28EA">
            <w:pPr>
              <w:jc w:val="left"/>
              <w:rPr>
                <w:rFonts w:ascii="Times New Roman" w:hAnsi="Times New Roman"/>
                <w:sz w:val="22"/>
              </w:rPr>
            </w:pPr>
          </w:p>
        </w:tc>
        <w:tc>
          <w:tcPr>
            <w:tcW w:w="4111" w:type="dxa"/>
          </w:tcPr>
          <w:p w14:paraId="7F08018D" w14:textId="77777777" w:rsidR="005A28EA" w:rsidRPr="00460E3D" w:rsidRDefault="005A28EA" w:rsidP="005A28EA">
            <w:pPr>
              <w:jc w:val="left"/>
              <w:rPr>
                <w:rFonts w:ascii="Times New Roman" w:hAnsi="Times New Roman"/>
                <w:sz w:val="22"/>
              </w:rPr>
            </w:pPr>
          </w:p>
        </w:tc>
      </w:tr>
      <w:tr w:rsidR="005A28EA" w:rsidRPr="00C0062E" w14:paraId="4636AF2A" w14:textId="77777777" w:rsidTr="005A28EA">
        <w:tc>
          <w:tcPr>
            <w:tcW w:w="1501" w:type="dxa"/>
          </w:tcPr>
          <w:p w14:paraId="6CF04773" w14:textId="77777777" w:rsidR="005A28EA" w:rsidRPr="00460E3D" w:rsidRDefault="005A28EA" w:rsidP="005A28EA">
            <w:pPr>
              <w:jc w:val="left"/>
              <w:rPr>
                <w:rFonts w:ascii="Times New Roman" w:hAnsi="Times New Roman"/>
                <w:sz w:val="22"/>
              </w:rPr>
            </w:pPr>
          </w:p>
        </w:tc>
        <w:tc>
          <w:tcPr>
            <w:tcW w:w="2293" w:type="dxa"/>
          </w:tcPr>
          <w:p w14:paraId="58F1E69C" w14:textId="77777777" w:rsidR="005A28EA" w:rsidRPr="00460E3D" w:rsidRDefault="005A28EA" w:rsidP="005A28EA">
            <w:pPr>
              <w:jc w:val="left"/>
              <w:rPr>
                <w:rFonts w:ascii="Times New Roman" w:hAnsi="Times New Roman"/>
                <w:sz w:val="22"/>
              </w:rPr>
            </w:pPr>
          </w:p>
        </w:tc>
        <w:tc>
          <w:tcPr>
            <w:tcW w:w="1516" w:type="dxa"/>
          </w:tcPr>
          <w:p w14:paraId="5328D4CC" w14:textId="77777777" w:rsidR="005A28EA" w:rsidRPr="00460E3D" w:rsidRDefault="005A28EA" w:rsidP="005A28EA">
            <w:pPr>
              <w:jc w:val="left"/>
              <w:rPr>
                <w:rFonts w:ascii="Times New Roman" w:hAnsi="Times New Roman"/>
                <w:sz w:val="22"/>
              </w:rPr>
            </w:pPr>
          </w:p>
        </w:tc>
        <w:tc>
          <w:tcPr>
            <w:tcW w:w="1744" w:type="dxa"/>
          </w:tcPr>
          <w:p w14:paraId="6078860D" w14:textId="77777777" w:rsidR="005A28EA" w:rsidRPr="00460E3D" w:rsidRDefault="005A28EA" w:rsidP="005A28EA">
            <w:pPr>
              <w:jc w:val="left"/>
              <w:rPr>
                <w:rFonts w:ascii="Times New Roman" w:hAnsi="Times New Roman"/>
                <w:sz w:val="22"/>
              </w:rPr>
            </w:pPr>
          </w:p>
        </w:tc>
        <w:tc>
          <w:tcPr>
            <w:tcW w:w="2977" w:type="dxa"/>
          </w:tcPr>
          <w:p w14:paraId="0ABB88CD" w14:textId="77777777" w:rsidR="005A28EA" w:rsidRPr="00460E3D" w:rsidRDefault="005A28EA" w:rsidP="005A28EA">
            <w:pPr>
              <w:jc w:val="left"/>
              <w:rPr>
                <w:rFonts w:ascii="Times New Roman" w:hAnsi="Times New Roman"/>
                <w:sz w:val="22"/>
              </w:rPr>
            </w:pPr>
          </w:p>
        </w:tc>
        <w:tc>
          <w:tcPr>
            <w:tcW w:w="4111" w:type="dxa"/>
          </w:tcPr>
          <w:p w14:paraId="577BDF69" w14:textId="77777777" w:rsidR="005A28EA" w:rsidRPr="00460E3D" w:rsidRDefault="005A28EA" w:rsidP="005A28EA">
            <w:pPr>
              <w:jc w:val="left"/>
              <w:rPr>
                <w:rFonts w:ascii="Times New Roman" w:hAnsi="Times New Roman"/>
                <w:sz w:val="22"/>
              </w:rPr>
            </w:pPr>
          </w:p>
        </w:tc>
      </w:tr>
      <w:tr w:rsidR="005A28EA" w:rsidRPr="00C0062E" w14:paraId="19C06F52" w14:textId="77777777" w:rsidTr="005A28EA">
        <w:tc>
          <w:tcPr>
            <w:tcW w:w="1501" w:type="dxa"/>
          </w:tcPr>
          <w:p w14:paraId="3AEAA6F0" w14:textId="77777777" w:rsidR="005A28EA" w:rsidRPr="00460E3D" w:rsidRDefault="005A28EA" w:rsidP="005A28EA">
            <w:pPr>
              <w:jc w:val="left"/>
              <w:rPr>
                <w:rFonts w:ascii="Times New Roman" w:hAnsi="Times New Roman"/>
                <w:sz w:val="22"/>
              </w:rPr>
            </w:pPr>
          </w:p>
        </w:tc>
        <w:tc>
          <w:tcPr>
            <w:tcW w:w="2293" w:type="dxa"/>
          </w:tcPr>
          <w:p w14:paraId="5713265E" w14:textId="77777777" w:rsidR="005A28EA" w:rsidRPr="00460E3D" w:rsidRDefault="005A28EA" w:rsidP="005A28EA">
            <w:pPr>
              <w:jc w:val="left"/>
              <w:rPr>
                <w:rFonts w:ascii="Times New Roman" w:hAnsi="Times New Roman"/>
                <w:sz w:val="22"/>
              </w:rPr>
            </w:pPr>
          </w:p>
        </w:tc>
        <w:tc>
          <w:tcPr>
            <w:tcW w:w="1516" w:type="dxa"/>
          </w:tcPr>
          <w:p w14:paraId="14B3D48B" w14:textId="77777777" w:rsidR="005A28EA" w:rsidRPr="00460E3D" w:rsidRDefault="005A28EA" w:rsidP="005A28EA">
            <w:pPr>
              <w:jc w:val="left"/>
              <w:rPr>
                <w:rFonts w:ascii="Times New Roman" w:hAnsi="Times New Roman"/>
                <w:sz w:val="22"/>
              </w:rPr>
            </w:pPr>
          </w:p>
        </w:tc>
        <w:tc>
          <w:tcPr>
            <w:tcW w:w="1744" w:type="dxa"/>
          </w:tcPr>
          <w:p w14:paraId="51ED9DA7" w14:textId="77777777" w:rsidR="005A28EA" w:rsidRPr="00460E3D" w:rsidRDefault="005A28EA" w:rsidP="005A28EA">
            <w:pPr>
              <w:jc w:val="left"/>
              <w:rPr>
                <w:rFonts w:ascii="Times New Roman" w:hAnsi="Times New Roman"/>
                <w:sz w:val="22"/>
              </w:rPr>
            </w:pPr>
          </w:p>
        </w:tc>
        <w:tc>
          <w:tcPr>
            <w:tcW w:w="2977" w:type="dxa"/>
          </w:tcPr>
          <w:p w14:paraId="23C6029C" w14:textId="77777777" w:rsidR="005A28EA" w:rsidRPr="00460E3D" w:rsidRDefault="005A28EA" w:rsidP="005A28EA">
            <w:pPr>
              <w:jc w:val="left"/>
              <w:rPr>
                <w:rFonts w:ascii="Times New Roman" w:hAnsi="Times New Roman"/>
                <w:sz w:val="22"/>
              </w:rPr>
            </w:pPr>
          </w:p>
        </w:tc>
        <w:tc>
          <w:tcPr>
            <w:tcW w:w="4111" w:type="dxa"/>
          </w:tcPr>
          <w:p w14:paraId="7E5EE692" w14:textId="77777777" w:rsidR="005A28EA" w:rsidRPr="00460E3D" w:rsidRDefault="005A28EA" w:rsidP="005A28EA">
            <w:pPr>
              <w:jc w:val="left"/>
              <w:rPr>
                <w:rFonts w:ascii="Times New Roman" w:hAnsi="Times New Roman"/>
                <w:sz w:val="22"/>
              </w:rPr>
            </w:pPr>
          </w:p>
        </w:tc>
      </w:tr>
      <w:tr w:rsidR="005A28EA" w:rsidRPr="00C0062E" w14:paraId="311FFC49" w14:textId="77777777" w:rsidTr="005A28EA">
        <w:tc>
          <w:tcPr>
            <w:tcW w:w="1501" w:type="dxa"/>
          </w:tcPr>
          <w:p w14:paraId="067B4F12" w14:textId="77777777" w:rsidR="005A28EA" w:rsidRPr="00460E3D" w:rsidRDefault="005A28EA" w:rsidP="005A28EA">
            <w:pPr>
              <w:jc w:val="left"/>
              <w:rPr>
                <w:rFonts w:ascii="Times New Roman" w:hAnsi="Times New Roman"/>
                <w:sz w:val="22"/>
              </w:rPr>
            </w:pPr>
          </w:p>
        </w:tc>
        <w:tc>
          <w:tcPr>
            <w:tcW w:w="2293" w:type="dxa"/>
          </w:tcPr>
          <w:p w14:paraId="43951472" w14:textId="77777777" w:rsidR="005A28EA" w:rsidRPr="00460E3D" w:rsidRDefault="005A28EA" w:rsidP="005A28EA">
            <w:pPr>
              <w:jc w:val="left"/>
              <w:rPr>
                <w:rFonts w:ascii="Times New Roman" w:hAnsi="Times New Roman"/>
                <w:sz w:val="22"/>
              </w:rPr>
            </w:pPr>
          </w:p>
        </w:tc>
        <w:tc>
          <w:tcPr>
            <w:tcW w:w="1516" w:type="dxa"/>
          </w:tcPr>
          <w:p w14:paraId="493E2803" w14:textId="77777777" w:rsidR="005A28EA" w:rsidRPr="00460E3D" w:rsidRDefault="005A28EA" w:rsidP="005A28EA">
            <w:pPr>
              <w:jc w:val="left"/>
              <w:rPr>
                <w:rFonts w:ascii="Times New Roman" w:hAnsi="Times New Roman"/>
                <w:sz w:val="22"/>
              </w:rPr>
            </w:pPr>
          </w:p>
        </w:tc>
        <w:tc>
          <w:tcPr>
            <w:tcW w:w="1744" w:type="dxa"/>
          </w:tcPr>
          <w:p w14:paraId="7091E9AE" w14:textId="77777777" w:rsidR="005A28EA" w:rsidRPr="00460E3D" w:rsidRDefault="005A28EA" w:rsidP="005A28EA">
            <w:pPr>
              <w:jc w:val="left"/>
              <w:rPr>
                <w:rFonts w:ascii="Times New Roman" w:hAnsi="Times New Roman"/>
                <w:sz w:val="22"/>
              </w:rPr>
            </w:pPr>
          </w:p>
        </w:tc>
        <w:tc>
          <w:tcPr>
            <w:tcW w:w="2977" w:type="dxa"/>
          </w:tcPr>
          <w:p w14:paraId="28BEBC50" w14:textId="77777777" w:rsidR="005A28EA" w:rsidRPr="00460E3D" w:rsidRDefault="005A28EA" w:rsidP="005A28EA">
            <w:pPr>
              <w:jc w:val="left"/>
              <w:rPr>
                <w:rFonts w:ascii="Times New Roman" w:hAnsi="Times New Roman"/>
                <w:sz w:val="22"/>
              </w:rPr>
            </w:pPr>
          </w:p>
        </w:tc>
        <w:tc>
          <w:tcPr>
            <w:tcW w:w="4111" w:type="dxa"/>
          </w:tcPr>
          <w:p w14:paraId="384B0588" w14:textId="77777777" w:rsidR="005A28EA" w:rsidRPr="00460E3D" w:rsidRDefault="005A28EA" w:rsidP="005A28EA">
            <w:pPr>
              <w:jc w:val="left"/>
              <w:rPr>
                <w:rFonts w:ascii="Times New Roman" w:hAnsi="Times New Roman"/>
                <w:sz w:val="22"/>
              </w:rPr>
            </w:pPr>
          </w:p>
        </w:tc>
      </w:tr>
      <w:tr w:rsidR="005A28EA" w:rsidRPr="00C0062E" w14:paraId="07CDBEF5" w14:textId="77777777" w:rsidTr="005A28EA">
        <w:tc>
          <w:tcPr>
            <w:tcW w:w="1501" w:type="dxa"/>
          </w:tcPr>
          <w:p w14:paraId="331E5A1B" w14:textId="77777777" w:rsidR="005A28EA" w:rsidRPr="00460E3D" w:rsidRDefault="005A28EA" w:rsidP="005A28EA">
            <w:pPr>
              <w:jc w:val="left"/>
              <w:rPr>
                <w:rFonts w:ascii="Times New Roman" w:hAnsi="Times New Roman"/>
                <w:sz w:val="22"/>
              </w:rPr>
            </w:pPr>
          </w:p>
        </w:tc>
        <w:tc>
          <w:tcPr>
            <w:tcW w:w="2293" w:type="dxa"/>
          </w:tcPr>
          <w:p w14:paraId="2E7392A1" w14:textId="77777777" w:rsidR="005A28EA" w:rsidRPr="00460E3D" w:rsidRDefault="005A28EA" w:rsidP="005A28EA">
            <w:pPr>
              <w:jc w:val="left"/>
              <w:rPr>
                <w:rFonts w:ascii="Times New Roman" w:hAnsi="Times New Roman"/>
                <w:sz w:val="22"/>
              </w:rPr>
            </w:pPr>
          </w:p>
        </w:tc>
        <w:tc>
          <w:tcPr>
            <w:tcW w:w="1516" w:type="dxa"/>
          </w:tcPr>
          <w:p w14:paraId="22CCF5A5" w14:textId="77777777" w:rsidR="005A28EA" w:rsidRPr="00460E3D" w:rsidRDefault="005A28EA" w:rsidP="005A28EA">
            <w:pPr>
              <w:jc w:val="left"/>
              <w:rPr>
                <w:rFonts w:ascii="Times New Roman" w:hAnsi="Times New Roman"/>
                <w:sz w:val="22"/>
              </w:rPr>
            </w:pPr>
          </w:p>
        </w:tc>
        <w:tc>
          <w:tcPr>
            <w:tcW w:w="1744" w:type="dxa"/>
          </w:tcPr>
          <w:p w14:paraId="2BF87589" w14:textId="77777777" w:rsidR="005A28EA" w:rsidRPr="00460E3D" w:rsidRDefault="005A28EA" w:rsidP="005A28EA">
            <w:pPr>
              <w:jc w:val="left"/>
              <w:rPr>
                <w:rFonts w:ascii="Times New Roman" w:hAnsi="Times New Roman"/>
                <w:sz w:val="22"/>
              </w:rPr>
            </w:pPr>
          </w:p>
        </w:tc>
        <w:tc>
          <w:tcPr>
            <w:tcW w:w="2977" w:type="dxa"/>
          </w:tcPr>
          <w:p w14:paraId="75C1E441" w14:textId="77777777" w:rsidR="005A28EA" w:rsidRPr="00460E3D" w:rsidRDefault="005A28EA" w:rsidP="005A28EA">
            <w:pPr>
              <w:jc w:val="left"/>
              <w:rPr>
                <w:rFonts w:ascii="Times New Roman" w:hAnsi="Times New Roman"/>
                <w:sz w:val="22"/>
              </w:rPr>
            </w:pPr>
          </w:p>
        </w:tc>
        <w:tc>
          <w:tcPr>
            <w:tcW w:w="4111" w:type="dxa"/>
          </w:tcPr>
          <w:p w14:paraId="2A5E8980" w14:textId="77777777" w:rsidR="005A28EA" w:rsidRPr="00460E3D" w:rsidRDefault="005A28EA" w:rsidP="005A28EA">
            <w:pPr>
              <w:jc w:val="left"/>
              <w:rPr>
                <w:rFonts w:ascii="Times New Roman" w:hAnsi="Times New Roman"/>
                <w:sz w:val="22"/>
              </w:rPr>
            </w:pPr>
          </w:p>
        </w:tc>
      </w:tr>
      <w:tr w:rsidR="005A28EA" w:rsidRPr="00C0062E" w14:paraId="558F04AD" w14:textId="77777777" w:rsidTr="005A28EA">
        <w:tc>
          <w:tcPr>
            <w:tcW w:w="1501" w:type="dxa"/>
          </w:tcPr>
          <w:p w14:paraId="7B236D1B" w14:textId="77777777" w:rsidR="005A28EA" w:rsidRPr="00460E3D" w:rsidRDefault="005A28EA" w:rsidP="005A28EA">
            <w:pPr>
              <w:jc w:val="left"/>
              <w:rPr>
                <w:rFonts w:ascii="Times New Roman" w:hAnsi="Times New Roman"/>
                <w:sz w:val="22"/>
              </w:rPr>
            </w:pPr>
          </w:p>
        </w:tc>
        <w:tc>
          <w:tcPr>
            <w:tcW w:w="2293" w:type="dxa"/>
          </w:tcPr>
          <w:p w14:paraId="191D962E" w14:textId="77777777" w:rsidR="005A28EA" w:rsidRPr="00460E3D" w:rsidRDefault="005A28EA" w:rsidP="005A28EA">
            <w:pPr>
              <w:jc w:val="left"/>
              <w:rPr>
                <w:rFonts w:ascii="Times New Roman" w:hAnsi="Times New Roman"/>
                <w:sz w:val="22"/>
              </w:rPr>
            </w:pPr>
          </w:p>
        </w:tc>
        <w:tc>
          <w:tcPr>
            <w:tcW w:w="1516" w:type="dxa"/>
          </w:tcPr>
          <w:p w14:paraId="1F170F72" w14:textId="77777777" w:rsidR="005A28EA" w:rsidRPr="00460E3D" w:rsidRDefault="005A28EA" w:rsidP="005A28EA">
            <w:pPr>
              <w:jc w:val="left"/>
              <w:rPr>
                <w:rFonts w:ascii="Times New Roman" w:hAnsi="Times New Roman"/>
                <w:sz w:val="22"/>
              </w:rPr>
            </w:pPr>
          </w:p>
        </w:tc>
        <w:tc>
          <w:tcPr>
            <w:tcW w:w="1744" w:type="dxa"/>
          </w:tcPr>
          <w:p w14:paraId="52B84CBF" w14:textId="77777777" w:rsidR="005A28EA" w:rsidRPr="00460E3D" w:rsidRDefault="005A28EA" w:rsidP="005A28EA">
            <w:pPr>
              <w:jc w:val="left"/>
              <w:rPr>
                <w:rFonts w:ascii="Times New Roman" w:hAnsi="Times New Roman"/>
                <w:sz w:val="22"/>
              </w:rPr>
            </w:pPr>
          </w:p>
        </w:tc>
        <w:tc>
          <w:tcPr>
            <w:tcW w:w="2977" w:type="dxa"/>
          </w:tcPr>
          <w:p w14:paraId="03652E68" w14:textId="77777777" w:rsidR="005A28EA" w:rsidRPr="00460E3D" w:rsidRDefault="005A28EA" w:rsidP="005A28EA">
            <w:pPr>
              <w:jc w:val="left"/>
              <w:rPr>
                <w:rFonts w:ascii="Times New Roman" w:hAnsi="Times New Roman"/>
                <w:sz w:val="22"/>
              </w:rPr>
            </w:pPr>
          </w:p>
        </w:tc>
        <w:tc>
          <w:tcPr>
            <w:tcW w:w="4111" w:type="dxa"/>
          </w:tcPr>
          <w:p w14:paraId="5BB1F84A" w14:textId="77777777" w:rsidR="005A28EA" w:rsidRPr="00460E3D" w:rsidRDefault="005A28EA" w:rsidP="005A28EA">
            <w:pPr>
              <w:jc w:val="left"/>
              <w:rPr>
                <w:rFonts w:ascii="Times New Roman" w:hAnsi="Times New Roman"/>
                <w:sz w:val="22"/>
              </w:rPr>
            </w:pPr>
          </w:p>
        </w:tc>
      </w:tr>
    </w:tbl>
    <w:p w14:paraId="6AB339DC"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78BFA507"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B2B0443"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36E84886" w14:textId="77777777" w:rsidTr="005A28EA">
        <w:tc>
          <w:tcPr>
            <w:tcW w:w="9212" w:type="dxa"/>
          </w:tcPr>
          <w:p w14:paraId="6C4F6EF4" w14:textId="77777777" w:rsidR="005A28EA" w:rsidRPr="00460E3D" w:rsidRDefault="005A28EA" w:rsidP="00D63D99">
            <w:pPr>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3E608725" w14:textId="77777777" w:rsidR="005A28EA" w:rsidRPr="00460E3D" w:rsidRDefault="005A28EA" w:rsidP="00D63D99">
            <w:pPr>
              <w:rPr>
                <w:rFonts w:ascii="Times New Roman" w:hAnsi="Times New Roman"/>
                <w:sz w:val="22"/>
              </w:rPr>
            </w:pPr>
          </w:p>
          <w:p w14:paraId="182D5DB3" w14:textId="77777777" w:rsidR="005A28EA" w:rsidRPr="00460E3D" w:rsidRDefault="005A28EA" w:rsidP="00D63D99">
            <w:pPr>
              <w:rPr>
                <w:rFonts w:ascii="Times New Roman" w:hAnsi="Times New Roman"/>
                <w:sz w:val="22"/>
              </w:rPr>
            </w:pPr>
          </w:p>
          <w:p w14:paraId="1F706BE7" w14:textId="77777777" w:rsidR="005A28EA" w:rsidRPr="00460E3D" w:rsidRDefault="005A28EA" w:rsidP="00D63D99">
            <w:pPr>
              <w:rPr>
                <w:rFonts w:ascii="Times New Roman" w:hAnsi="Times New Roman"/>
                <w:sz w:val="22"/>
              </w:rPr>
            </w:pPr>
          </w:p>
        </w:tc>
      </w:tr>
    </w:tbl>
    <w:p w14:paraId="0832FAB9"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13C0F6DE" w14:textId="77777777" w:rsidTr="005A28EA">
        <w:tc>
          <w:tcPr>
            <w:tcW w:w="9212" w:type="dxa"/>
            <w:shd w:val="clear" w:color="auto" w:fill="8DB3E2" w:themeFill="text2" w:themeFillTint="66"/>
          </w:tcPr>
          <w:p w14:paraId="26C94DF8" w14:textId="77777777"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14:paraId="6CCB58F8" w14:textId="77777777" w:rsidR="005A28EA" w:rsidRPr="00460E3D" w:rsidRDefault="005A28EA" w:rsidP="005A28EA">
      <w:pPr>
        <w:jc w:val="left"/>
        <w:rPr>
          <w:rFonts w:eastAsia="Calibri"/>
          <w:sz w:val="22"/>
          <w:szCs w:val="22"/>
          <w:lang w:eastAsia="en-US"/>
        </w:rPr>
      </w:pPr>
    </w:p>
    <w:p w14:paraId="50211662" w14:textId="77777777" w:rsidR="005702DC"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206483D9"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1"/>
        <w:gridCol w:w="5731"/>
      </w:tblGrid>
      <w:tr w:rsidR="005A28EA" w:rsidRPr="00C0062E" w14:paraId="51C81F13" w14:textId="77777777" w:rsidTr="005A28EA">
        <w:tc>
          <w:tcPr>
            <w:tcW w:w="3369" w:type="dxa"/>
            <w:tcBorders>
              <w:bottom w:val="single" w:sz="4" w:space="0" w:color="auto"/>
            </w:tcBorders>
            <w:shd w:val="clear" w:color="auto" w:fill="D6E3BC" w:themeFill="accent3" w:themeFillTint="66"/>
          </w:tcPr>
          <w:p w14:paraId="4B22D1EE"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11DC76D9"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5A85C91C" w14:textId="77777777" w:rsidTr="005A28EA">
        <w:tc>
          <w:tcPr>
            <w:tcW w:w="9180" w:type="dxa"/>
            <w:gridSpan w:val="2"/>
            <w:shd w:val="pct10" w:color="auto" w:fill="auto"/>
          </w:tcPr>
          <w:p w14:paraId="055CF73E"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53693432" w14:textId="77777777" w:rsidTr="005A28EA">
        <w:tc>
          <w:tcPr>
            <w:tcW w:w="3369" w:type="dxa"/>
          </w:tcPr>
          <w:p w14:paraId="59810ADE" w14:textId="77777777" w:rsidR="005A28EA" w:rsidRPr="00460E3D" w:rsidRDefault="005A28EA" w:rsidP="005A28EA">
            <w:pPr>
              <w:jc w:val="left"/>
              <w:rPr>
                <w:rFonts w:ascii="Times New Roman" w:hAnsi="Times New Roman"/>
                <w:sz w:val="22"/>
              </w:rPr>
            </w:pPr>
          </w:p>
        </w:tc>
        <w:tc>
          <w:tcPr>
            <w:tcW w:w="5811" w:type="dxa"/>
          </w:tcPr>
          <w:p w14:paraId="468ABC5E" w14:textId="77777777" w:rsidR="005A28EA" w:rsidRPr="00460E3D" w:rsidRDefault="005A28EA" w:rsidP="005A28EA">
            <w:pPr>
              <w:jc w:val="left"/>
              <w:rPr>
                <w:rFonts w:ascii="Times New Roman" w:hAnsi="Times New Roman"/>
                <w:sz w:val="22"/>
              </w:rPr>
            </w:pPr>
          </w:p>
        </w:tc>
      </w:tr>
      <w:tr w:rsidR="005A28EA" w:rsidRPr="00C0062E" w14:paraId="249F7A75" w14:textId="77777777" w:rsidTr="005A28EA">
        <w:tc>
          <w:tcPr>
            <w:tcW w:w="3369" w:type="dxa"/>
          </w:tcPr>
          <w:p w14:paraId="06043809" w14:textId="77777777" w:rsidR="005A28EA" w:rsidRPr="00460E3D" w:rsidRDefault="005A28EA" w:rsidP="005A28EA">
            <w:pPr>
              <w:jc w:val="left"/>
              <w:rPr>
                <w:rFonts w:ascii="Times New Roman" w:hAnsi="Times New Roman"/>
                <w:sz w:val="22"/>
              </w:rPr>
            </w:pPr>
          </w:p>
        </w:tc>
        <w:tc>
          <w:tcPr>
            <w:tcW w:w="5811" w:type="dxa"/>
          </w:tcPr>
          <w:p w14:paraId="6AE66AE3" w14:textId="77777777" w:rsidR="005A28EA" w:rsidRPr="00460E3D" w:rsidRDefault="005A28EA" w:rsidP="005A28EA">
            <w:pPr>
              <w:jc w:val="left"/>
              <w:rPr>
                <w:rFonts w:ascii="Times New Roman" w:hAnsi="Times New Roman"/>
                <w:sz w:val="22"/>
              </w:rPr>
            </w:pPr>
          </w:p>
        </w:tc>
      </w:tr>
      <w:tr w:rsidR="005A28EA" w:rsidRPr="00C0062E" w14:paraId="17DA63E4" w14:textId="77777777" w:rsidTr="005A28EA">
        <w:tc>
          <w:tcPr>
            <w:tcW w:w="3369" w:type="dxa"/>
          </w:tcPr>
          <w:p w14:paraId="152994E0" w14:textId="77777777" w:rsidR="005A28EA" w:rsidRPr="00460E3D" w:rsidRDefault="005A28EA" w:rsidP="005A28EA">
            <w:pPr>
              <w:jc w:val="left"/>
              <w:rPr>
                <w:rFonts w:ascii="Times New Roman" w:hAnsi="Times New Roman"/>
                <w:sz w:val="22"/>
              </w:rPr>
            </w:pPr>
          </w:p>
        </w:tc>
        <w:tc>
          <w:tcPr>
            <w:tcW w:w="5811" w:type="dxa"/>
          </w:tcPr>
          <w:p w14:paraId="77411BF4" w14:textId="77777777" w:rsidR="005A28EA" w:rsidRPr="00460E3D" w:rsidRDefault="005A28EA" w:rsidP="005A28EA">
            <w:pPr>
              <w:jc w:val="left"/>
              <w:rPr>
                <w:rFonts w:ascii="Times New Roman" w:hAnsi="Times New Roman"/>
                <w:sz w:val="22"/>
              </w:rPr>
            </w:pPr>
          </w:p>
        </w:tc>
      </w:tr>
      <w:tr w:rsidR="005A28EA" w:rsidRPr="00C0062E" w14:paraId="27B92FA9" w14:textId="77777777" w:rsidTr="005A28EA">
        <w:tc>
          <w:tcPr>
            <w:tcW w:w="3369" w:type="dxa"/>
          </w:tcPr>
          <w:p w14:paraId="3036EC3C" w14:textId="77777777" w:rsidR="005A28EA" w:rsidRPr="00460E3D" w:rsidRDefault="005A28EA" w:rsidP="005A28EA">
            <w:pPr>
              <w:jc w:val="left"/>
              <w:rPr>
                <w:rFonts w:ascii="Times New Roman" w:hAnsi="Times New Roman"/>
                <w:sz w:val="22"/>
              </w:rPr>
            </w:pPr>
          </w:p>
        </w:tc>
        <w:tc>
          <w:tcPr>
            <w:tcW w:w="5811" w:type="dxa"/>
          </w:tcPr>
          <w:p w14:paraId="46117B6F" w14:textId="77777777" w:rsidR="005A28EA" w:rsidRPr="00460E3D" w:rsidRDefault="005A28EA" w:rsidP="005A28EA">
            <w:pPr>
              <w:jc w:val="left"/>
              <w:rPr>
                <w:rFonts w:ascii="Times New Roman" w:hAnsi="Times New Roman"/>
                <w:sz w:val="22"/>
              </w:rPr>
            </w:pPr>
          </w:p>
        </w:tc>
      </w:tr>
      <w:tr w:rsidR="005A28EA" w:rsidRPr="00C0062E" w14:paraId="1804AF97" w14:textId="77777777" w:rsidTr="005A28EA">
        <w:tc>
          <w:tcPr>
            <w:tcW w:w="3369" w:type="dxa"/>
          </w:tcPr>
          <w:p w14:paraId="0666342D" w14:textId="77777777" w:rsidR="005A28EA" w:rsidRPr="00460E3D" w:rsidRDefault="005A28EA" w:rsidP="005A28EA">
            <w:pPr>
              <w:jc w:val="left"/>
              <w:rPr>
                <w:rFonts w:ascii="Times New Roman" w:hAnsi="Times New Roman"/>
                <w:sz w:val="22"/>
              </w:rPr>
            </w:pPr>
          </w:p>
        </w:tc>
        <w:tc>
          <w:tcPr>
            <w:tcW w:w="5811" w:type="dxa"/>
          </w:tcPr>
          <w:p w14:paraId="19EC444B" w14:textId="77777777" w:rsidR="005A28EA" w:rsidRPr="00460E3D" w:rsidRDefault="005A28EA" w:rsidP="005A28EA">
            <w:pPr>
              <w:jc w:val="left"/>
              <w:rPr>
                <w:rFonts w:ascii="Times New Roman" w:hAnsi="Times New Roman"/>
                <w:sz w:val="22"/>
              </w:rPr>
            </w:pPr>
          </w:p>
        </w:tc>
      </w:tr>
      <w:tr w:rsidR="005A28EA" w:rsidRPr="00C0062E" w14:paraId="3DA9689D" w14:textId="77777777" w:rsidTr="005A28EA">
        <w:tc>
          <w:tcPr>
            <w:tcW w:w="3369" w:type="dxa"/>
          </w:tcPr>
          <w:p w14:paraId="06D0EC21" w14:textId="77777777" w:rsidR="005A28EA" w:rsidRPr="00460E3D" w:rsidRDefault="005A28EA" w:rsidP="005A28EA">
            <w:pPr>
              <w:jc w:val="left"/>
              <w:rPr>
                <w:rFonts w:ascii="Times New Roman" w:hAnsi="Times New Roman"/>
                <w:sz w:val="22"/>
              </w:rPr>
            </w:pPr>
          </w:p>
        </w:tc>
        <w:tc>
          <w:tcPr>
            <w:tcW w:w="5811" w:type="dxa"/>
          </w:tcPr>
          <w:p w14:paraId="17FF7147" w14:textId="77777777" w:rsidR="005A28EA" w:rsidRPr="00460E3D" w:rsidRDefault="005A28EA" w:rsidP="005A28EA">
            <w:pPr>
              <w:jc w:val="left"/>
              <w:rPr>
                <w:rFonts w:ascii="Times New Roman" w:hAnsi="Times New Roman"/>
                <w:sz w:val="22"/>
              </w:rPr>
            </w:pPr>
          </w:p>
        </w:tc>
      </w:tr>
      <w:tr w:rsidR="005A28EA" w:rsidRPr="00C0062E" w14:paraId="00FB44B6" w14:textId="77777777" w:rsidTr="005A28EA">
        <w:tc>
          <w:tcPr>
            <w:tcW w:w="3369" w:type="dxa"/>
          </w:tcPr>
          <w:p w14:paraId="271F353D" w14:textId="77777777" w:rsidR="005A28EA" w:rsidRPr="00460E3D" w:rsidRDefault="005A28EA" w:rsidP="005A28EA">
            <w:pPr>
              <w:jc w:val="left"/>
              <w:rPr>
                <w:rFonts w:ascii="Times New Roman" w:hAnsi="Times New Roman"/>
                <w:sz w:val="22"/>
              </w:rPr>
            </w:pPr>
          </w:p>
        </w:tc>
        <w:tc>
          <w:tcPr>
            <w:tcW w:w="5811" w:type="dxa"/>
          </w:tcPr>
          <w:p w14:paraId="734A35B5" w14:textId="77777777" w:rsidR="005A28EA" w:rsidRPr="00460E3D" w:rsidRDefault="005A28EA" w:rsidP="005A28EA">
            <w:pPr>
              <w:jc w:val="left"/>
              <w:rPr>
                <w:rFonts w:ascii="Times New Roman" w:hAnsi="Times New Roman"/>
                <w:sz w:val="22"/>
              </w:rPr>
            </w:pPr>
          </w:p>
        </w:tc>
      </w:tr>
    </w:tbl>
    <w:p w14:paraId="4287B995" w14:textId="77777777" w:rsidR="005A28EA" w:rsidRPr="00460E3D" w:rsidRDefault="005A28EA" w:rsidP="005A28EA">
      <w:pPr>
        <w:jc w:val="left"/>
        <w:rPr>
          <w:rFonts w:eastAsia="Calibri"/>
          <w:sz w:val="22"/>
          <w:szCs w:val="22"/>
          <w:lang w:eastAsia="en-US"/>
        </w:rPr>
      </w:pPr>
    </w:p>
    <w:p w14:paraId="6BE75D32"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0DCF11FF" w14:textId="77777777" w:rsidTr="005A28EA">
        <w:tc>
          <w:tcPr>
            <w:tcW w:w="9212" w:type="dxa"/>
          </w:tcPr>
          <w:p w14:paraId="25EF4B3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8244C5F" w14:textId="77777777" w:rsidR="005A28EA" w:rsidRPr="00460E3D" w:rsidRDefault="005A28EA" w:rsidP="005A28EA">
            <w:pPr>
              <w:jc w:val="left"/>
              <w:rPr>
                <w:rFonts w:ascii="Times New Roman" w:hAnsi="Times New Roman"/>
                <w:i/>
                <w:sz w:val="22"/>
              </w:rPr>
            </w:pPr>
          </w:p>
          <w:p w14:paraId="5392D3D8" w14:textId="77777777" w:rsidR="005A28EA" w:rsidRPr="00460E3D" w:rsidRDefault="005A28EA" w:rsidP="005A28EA">
            <w:pPr>
              <w:jc w:val="left"/>
              <w:rPr>
                <w:rFonts w:ascii="Times New Roman" w:hAnsi="Times New Roman"/>
                <w:i/>
                <w:sz w:val="22"/>
              </w:rPr>
            </w:pPr>
          </w:p>
          <w:p w14:paraId="42D5DE8F" w14:textId="77777777" w:rsidR="005A28EA" w:rsidRPr="00460E3D" w:rsidRDefault="005A28EA" w:rsidP="005A28EA">
            <w:pPr>
              <w:jc w:val="left"/>
              <w:rPr>
                <w:rFonts w:ascii="Times New Roman" w:hAnsi="Times New Roman"/>
                <w:sz w:val="22"/>
              </w:rPr>
            </w:pPr>
          </w:p>
          <w:p w14:paraId="21C7ECAB" w14:textId="77777777" w:rsidR="005A28EA" w:rsidRPr="00460E3D" w:rsidRDefault="005A28EA" w:rsidP="005A28EA">
            <w:pPr>
              <w:jc w:val="left"/>
              <w:rPr>
                <w:rFonts w:ascii="Times New Roman" w:hAnsi="Times New Roman"/>
                <w:sz w:val="22"/>
              </w:rPr>
            </w:pPr>
          </w:p>
        </w:tc>
      </w:tr>
    </w:tbl>
    <w:p w14:paraId="5BF22E1D" w14:textId="77777777" w:rsidR="005A28EA" w:rsidRPr="00460E3D" w:rsidRDefault="005A28EA" w:rsidP="005A28EA">
      <w:pPr>
        <w:jc w:val="left"/>
        <w:rPr>
          <w:rFonts w:eastAsia="Calibri"/>
          <w:sz w:val="22"/>
          <w:szCs w:val="22"/>
          <w:lang w:eastAsia="en-US"/>
        </w:rPr>
      </w:pPr>
    </w:p>
    <w:p w14:paraId="74DFFD80"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161856B" w14:textId="77777777" w:rsidTr="005A28EA">
        <w:tc>
          <w:tcPr>
            <w:tcW w:w="9212" w:type="dxa"/>
            <w:shd w:val="clear" w:color="auto" w:fill="8DB3E2" w:themeFill="text2" w:themeFillTint="66"/>
          </w:tcPr>
          <w:p w14:paraId="500D1814" w14:textId="77777777"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14:paraId="35481EA8" w14:textId="77777777" w:rsidR="005A28EA" w:rsidRPr="00460E3D" w:rsidRDefault="005A28EA" w:rsidP="005A28EA">
      <w:pPr>
        <w:ind w:left="720"/>
        <w:jc w:val="left"/>
        <w:rPr>
          <w:rFonts w:eastAsia="Calibri"/>
          <w:b/>
          <w:sz w:val="22"/>
          <w:szCs w:val="22"/>
          <w:lang w:eastAsia="en-US"/>
        </w:rPr>
      </w:pPr>
    </w:p>
    <w:p w14:paraId="5522B9AA" w14:textId="77777777" w:rsidR="00AC07EF" w:rsidRPr="00460E3D" w:rsidRDefault="00AC07EF" w:rsidP="00AC07EF">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1132498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3"/>
        <w:gridCol w:w="6429"/>
      </w:tblGrid>
      <w:tr w:rsidR="005A28EA" w:rsidRPr="00C0062E" w14:paraId="1AA20BCA" w14:textId="77777777" w:rsidTr="005A28EA">
        <w:tc>
          <w:tcPr>
            <w:tcW w:w="2660" w:type="dxa"/>
            <w:shd w:val="clear" w:color="auto" w:fill="B6DDE8" w:themeFill="accent5" w:themeFillTint="66"/>
          </w:tcPr>
          <w:p w14:paraId="513A652D"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48485999"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C2232F4" w14:textId="77777777" w:rsidTr="005A28EA">
        <w:tc>
          <w:tcPr>
            <w:tcW w:w="2660" w:type="dxa"/>
          </w:tcPr>
          <w:p w14:paraId="55AB099E" w14:textId="77777777"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14:paraId="22629CB3" w14:textId="00E6AB49" w:rsidR="000D6C84" w:rsidRPr="00460E3D" w:rsidRDefault="000D6C84" w:rsidP="00460E3D">
            <w:pPr>
              <w:rPr>
                <w:rFonts w:ascii="Times New Roman" w:hAnsi="Times New Roman"/>
                <w:sz w:val="22"/>
              </w:rPr>
            </w:pPr>
            <w:r w:rsidRPr="00EB6D95">
              <w:rPr>
                <w:sz w:val="22"/>
              </w:rPr>
              <w:t xml:space="preserve">Le fraudeur </w:t>
            </w:r>
            <w:r>
              <w:rPr>
                <w:sz w:val="22"/>
              </w:rPr>
              <w:t>contrefait un ordre de virement</w:t>
            </w:r>
            <w:r w:rsidRPr="00EB6D95">
              <w:rPr>
                <w:sz w:val="22"/>
              </w:rPr>
              <w:t xml:space="preserve"> ou usurpe les identifiants de la banque en ligne du donneur d’ordre légitime afin d’initier un ordre de paiement. Dans ce cas de figure, les identifiants peuvent notamment être obtenus via des procédés de piratage informatique (</w:t>
            </w:r>
            <w:r w:rsidRPr="00D24C66">
              <w:rPr>
                <w:i/>
                <w:sz w:val="22"/>
              </w:rPr>
              <w:t>phishing</w:t>
            </w:r>
            <w:r w:rsidRPr="00EB6D95">
              <w:rPr>
                <w:sz w:val="22"/>
              </w:rPr>
              <w:t xml:space="preserve">, </w:t>
            </w:r>
            <w:r w:rsidRPr="00D24C66">
              <w:rPr>
                <w:i/>
                <w:sz w:val="22"/>
              </w:rPr>
              <w:t>malware</w:t>
            </w:r>
            <w:r w:rsidRPr="00EB6D95">
              <w:rPr>
                <w:sz w:val="22"/>
              </w:rPr>
              <w:t>, etc.) ou sous la contrainte.</w:t>
            </w:r>
          </w:p>
        </w:tc>
      </w:tr>
      <w:tr w:rsidR="005A28EA" w:rsidRPr="00C0062E" w14:paraId="7A69E155" w14:textId="77777777" w:rsidTr="005A28EA">
        <w:tc>
          <w:tcPr>
            <w:tcW w:w="2660" w:type="dxa"/>
          </w:tcPr>
          <w:p w14:paraId="07098FC3"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14:paraId="14DCEC82" w14:textId="582A4D86" w:rsidR="005A28EA" w:rsidRPr="00460E3D" w:rsidRDefault="000D6C84" w:rsidP="00460E3D">
            <w:pPr>
              <w:rPr>
                <w:rFonts w:ascii="Times New Roman" w:hAnsi="Times New Roman"/>
                <w:sz w:val="22"/>
              </w:rPr>
            </w:pPr>
            <w:r w:rsidRPr="00EB6D95">
              <w:rPr>
                <w:sz w:val="22"/>
              </w:rPr>
              <w:t>Le fraudeur intercepte et modifie un ordre de virement ou un fichier de remise de virement légitime.</w:t>
            </w:r>
          </w:p>
        </w:tc>
      </w:tr>
      <w:tr w:rsidR="005A28EA" w:rsidRPr="00C0062E" w14:paraId="3FB727A4" w14:textId="77777777" w:rsidTr="005A28EA">
        <w:tc>
          <w:tcPr>
            <w:tcW w:w="2660" w:type="dxa"/>
          </w:tcPr>
          <w:p w14:paraId="4AF67D3A"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6D2F03F1" w14:textId="47CE8C61" w:rsidR="005A28EA" w:rsidRPr="00460E3D" w:rsidRDefault="000D6C84" w:rsidP="000D6C84">
            <w:pPr>
              <w:rPr>
                <w:rFonts w:ascii="Times New Roman" w:hAnsi="Times New Roman"/>
                <w:sz w:val="22"/>
              </w:rPr>
            </w:pPr>
            <w:r w:rsidRPr="00EB6D95">
              <w:rPr>
                <w:sz w:val="22"/>
              </w:rPr>
              <w:t>Le fraudeur amène, par la tromperie (notamment de type ingénierie sociale, c’est-à-dire en usurpant l’identité d’un interlocuteur du payeur : responsable hiérarchique, fournisseur, technicien bancaire, etc.), le titulaire légitime du compte à émettre régulièrement un virement à destination d’un numéro de compte qui n’est pas celui du bénéficiaire légitime du paiement ou qui ne correspond à aucune réalité économique. Par exemple, sont considérées comme répondant à cette définition les cas de « fraude au Président » ou de fraude au changement de coordonnées bancaires.</w:t>
            </w:r>
            <w:r>
              <w:rPr>
                <w:sz w:val="22"/>
              </w:rPr>
              <w:t xml:space="preserve"> </w:t>
            </w:r>
          </w:p>
        </w:tc>
      </w:tr>
    </w:tbl>
    <w:p w14:paraId="7078986A" w14:textId="77777777" w:rsidR="007531F6" w:rsidRPr="00460E3D" w:rsidRDefault="007531F6" w:rsidP="005A28EA">
      <w:pPr>
        <w:jc w:val="left"/>
        <w:rPr>
          <w:rFonts w:eastAsia="Calibri"/>
          <w:b/>
          <w:sz w:val="22"/>
          <w:szCs w:val="22"/>
          <w:lang w:eastAsia="en-US"/>
        </w:rPr>
      </w:pPr>
    </w:p>
    <w:p w14:paraId="5D7C128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14:paraId="7BE03808"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63D28D6E"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3AC2D967" w14:textId="77777777" w:rsidTr="005A28EA">
        <w:tc>
          <w:tcPr>
            <w:tcW w:w="2977" w:type="dxa"/>
            <w:shd w:val="clear" w:color="auto" w:fill="F2DBDB" w:themeFill="accent2" w:themeFillTint="33"/>
          </w:tcPr>
          <w:p w14:paraId="1F889EFD"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7480436"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00D65D38" w14:textId="77777777" w:rsidR="005A28EA" w:rsidRPr="00460E3D" w:rsidRDefault="005A28EA" w:rsidP="005A28EA">
            <w:pPr>
              <w:jc w:val="left"/>
              <w:rPr>
                <w:rFonts w:ascii="Times New Roman" w:hAnsi="Times New Roman"/>
                <w:szCs w:val="24"/>
              </w:rPr>
            </w:pPr>
          </w:p>
        </w:tc>
      </w:tr>
      <w:tr w:rsidR="005A28EA" w:rsidRPr="00C0062E" w14:paraId="0D0457E3" w14:textId="77777777" w:rsidTr="005A28EA">
        <w:tc>
          <w:tcPr>
            <w:tcW w:w="2977" w:type="dxa"/>
            <w:shd w:val="clear" w:color="auto" w:fill="F2DBDB" w:themeFill="accent2" w:themeFillTint="33"/>
          </w:tcPr>
          <w:p w14:paraId="601B16C4"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0A45340C"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1BEA77D8" w14:textId="77777777" w:rsidR="005A28EA" w:rsidRPr="00460E3D" w:rsidRDefault="005A28EA" w:rsidP="005A28EA">
            <w:pPr>
              <w:jc w:val="left"/>
              <w:rPr>
                <w:rFonts w:ascii="Times New Roman" w:hAnsi="Times New Roman"/>
                <w:szCs w:val="24"/>
              </w:rPr>
            </w:pPr>
          </w:p>
        </w:tc>
      </w:tr>
    </w:tbl>
    <w:p w14:paraId="7AAC5EB3" w14:textId="77777777" w:rsidR="005A28EA" w:rsidRPr="00460E3D" w:rsidRDefault="005A28EA" w:rsidP="005A28EA">
      <w:pPr>
        <w:ind w:left="360"/>
        <w:jc w:val="left"/>
        <w:rPr>
          <w:rFonts w:eastAsia="Calibri"/>
          <w:szCs w:val="24"/>
          <w:lang w:eastAsia="en-US"/>
        </w:rPr>
      </w:pPr>
    </w:p>
    <w:p w14:paraId="41BA04E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185B8A02"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0ACA3204"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7"/>
        <w:gridCol w:w="1687"/>
        <w:gridCol w:w="5298"/>
      </w:tblGrid>
      <w:tr w:rsidR="005A28EA" w:rsidRPr="00C0062E" w14:paraId="7A2EAA15" w14:textId="77777777" w:rsidTr="00890013">
        <w:tc>
          <w:tcPr>
            <w:tcW w:w="2077" w:type="dxa"/>
            <w:shd w:val="clear" w:color="auto" w:fill="D6E3BC" w:themeFill="accent3" w:themeFillTint="66"/>
            <w:vAlign w:val="center"/>
          </w:tcPr>
          <w:p w14:paraId="09ED7B47" w14:textId="77777777" w:rsidR="005A28EA" w:rsidRPr="00460E3D" w:rsidRDefault="005A28EA">
            <w:pPr>
              <w:jc w:val="center"/>
              <w:rPr>
                <w:rFonts w:ascii="Times New Roman" w:hAnsi="Times New Roman"/>
                <w:b/>
                <w:sz w:val="22"/>
              </w:rPr>
            </w:pPr>
            <w:r w:rsidRPr="00C0062E">
              <w:rPr>
                <w:b/>
                <w:sz w:val="22"/>
              </w:rPr>
              <w:t>Typologie de fraude</w:t>
            </w:r>
          </w:p>
        </w:tc>
        <w:tc>
          <w:tcPr>
            <w:tcW w:w="1687" w:type="dxa"/>
            <w:shd w:val="clear" w:color="auto" w:fill="D6E3BC" w:themeFill="accent3" w:themeFillTint="66"/>
            <w:vAlign w:val="center"/>
          </w:tcPr>
          <w:p w14:paraId="769F12A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298" w:type="dxa"/>
            <w:shd w:val="clear" w:color="auto" w:fill="D6E3BC" w:themeFill="accent3" w:themeFillTint="66"/>
            <w:vAlign w:val="center"/>
          </w:tcPr>
          <w:p w14:paraId="4F9AA166"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6BDC197D" w14:textId="77777777" w:rsidTr="00890013">
        <w:tc>
          <w:tcPr>
            <w:tcW w:w="2077" w:type="dxa"/>
          </w:tcPr>
          <w:p w14:paraId="6B3FD446" w14:textId="77777777" w:rsidR="005A28EA" w:rsidRPr="00460E3D" w:rsidRDefault="005A28EA" w:rsidP="005A28EA">
            <w:pPr>
              <w:jc w:val="left"/>
              <w:rPr>
                <w:rFonts w:ascii="Times New Roman" w:hAnsi="Times New Roman"/>
                <w:sz w:val="22"/>
              </w:rPr>
            </w:pPr>
            <w:r w:rsidRPr="00C0062E">
              <w:rPr>
                <w:sz w:val="22"/>
              </w:rPr>
              <w:t>Faux ordre de virement</w:t>
            </w:r>
          </w:p>
        </w:tc>
        <w:tc>
          <w:tcPr>
            <w:tcW w:w="1687" w:type="dxa"/>
          </w:tcPr>
          <w:p w14:paraId="0ABF69F5" w14:textId="77777777" w:rsidR="005A28EA" w:rsidRPr="00460E3D" w:rsidRDefault="005A28EA" w:rsidP="005A28EA">
            <w:pPr>
              <w:jc w:val="left"/>
              <w:rPr>
                <w:rFonts w:ascii="Times New Roman" w:hAnsi="Times New Roman"/>
                <w:b/>
                <w:sz w:val="22"/>
              </w:rPr>
            </w:pPr>
          </w:p>
        </w:tc>
        <w:tc>
          <w:tcPr>
            <w:tcW w:w="5298" w:type="dxa"/>
          </w:tcPr>
          <w:p w14:paraId="6C509E77" w14:textId="77777777" w:rsidR="005A28EA" w:rsidRPr="00460E3D" w:rsidRDefault="005A28EA" w:rsidP="005A28EA">
            <w:pPr>
              <w:jc w:val="left"/>
              <w:rPr>
                <w:rFonts w:ascii="Times New Roman" w:hAnsi="Times New Roman"/>
                <w:b/>
                <w:sz w:val="22"/>
              </w:rPr>
            </w:pPr>
          </w:p>
        </w:tc>
      </w:tr>
      <w:tr w:rsidR="005A28EA" w:rsidRPr="00C0062E" w14:paraId="12AF4D69" w14:textId="77777777" w:rsidTr="00890013">
        <w:tc>
          <w:tcPr>
            <w:tcW w:w="2077" w:type="dxa"/>
          </w:tcPr>
          <w:p w14:paraId="75CABDBA"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1687" w:type="dxa"/>
          </w:tcPr>
          <w:p w14:paraId="7DDD895E" w14:textId="77777777" w:rsidR="005A28EA" w:rsidRPr="00460E3D" w:rsidRDefault="005A28EA" w:rsidP="005A28EA">
            <w:pPr>
              <w:jc w:val="left"/>
              <w:rPr>
                <w:rFonts w:ascii="Times New Roman" w:hAnsi="Times New Roman"/>
                <w:b/>
                <w:sz w:val="22"/>
              </w:rPr>
            </w:pPr>
          </w:p>
        </w:tc>
        <w:tc>
          <w:tcPr>
            <w:tcW w:w="5298" w:type="dxa"/>
          </w:tcPr>
          <w:p w14:paraId="36EBE4A5" w14:textId="77777777" w:rsidR="005A28EA" w:rsidRPr="00460E3D" w:rsidRDefault="005A28EA" w:rsidP="005A28EA">
            <w:pPr>
              <w:jc w:val="left"/>
              <w:rPr>
                <w:rFonts w:ascii="Times New Roman" w:hAnsi="Times New Roman"/>
                <w:b/>
                <w:sz w:val="22"/>
              </w:rPr>
            </w:pPr>
          </w:p>
        </w:tc>
      </w:tr>
      <w:tr w:rsidR="005A28EA" w:rsidRPr="00C0062E" w14:paraId="74215F17" w14:textId="77777777" w:rsidTr="00890013">
        <w:tc>
          <w:tcPr>
            <w:tcW w:w="2077" w:type="dxa"/>
          </w:tcPr>
          <w:p w14:paraId="6A3962D9" w14:textId="77777777" w:rsidR="005A28EA" w:rsidRPr="00460E3D" w:rsidRDefault="005A28EA" w:rsidP="005A28EA">
            <w:pPr>
              <w:jc w:val="left"/>
              <w:rPr>
                <w:rFonts w:ascii="Times New Roman" w:hAnsi="Times New Roman"/>
                <w:sz w:val="22"/>
              </w:rPr>
            </w:pPr>
            <w:r w:rsidRPr="00C0062E">
              <w:rPr>
                <w:sz w:val="22"/>
              </w:rPr>
              <w:t>Détournement</w:t>
            </w:r>
          </w:p>
        </w:tc>
        <w:tc>
          <w:tcPr>
            <w:tcW w:w="1687" w:type="dxa"/>
          </w:tcPr>
          <w:p w14:paraId="36921764" w14:textId="77777777" w:rsidR="005A28EA" w:rsidRPr="00460E3D" w:rsidRDefault="005A28EA" w:rsidP="005A28EA">
            <w:pPr>
              <w:jc w:val="left"/>
              <w:rPr>
                <w:rFonts w:ascii="Times New Roman" w:hAnsi="Times New Roman"/>
                <w:b/>
                <w:sz w:val="22"/>
              </w:rPr>
            </w:pPr>
          </w:p>
        </w:tc>
        <w:tc>
          <w:tcPr>
            <w:tcW w:w="5298" w:type="dxa"/>
          </w:tcPr>
          <w:p w14:paraId="1D983B23" w14:textId="77777777" w:rsidR="005A28EA" w:rsidRPr="00460E3D" w:rsidRDefault="005A28EA" w:rsidP="005A28EA">
            <w:pPr>
              <w:jc w:val="left"/>
              <w:rPr>
                <w:rFonts w:ascii="Times New Roman" w:hAnsi="Times New Roman"/>
                <w:b/>
                <w:sz w:val="22"/>
              </w:rPr>
            </w:pPr>
          </w:p>
        </w:tc>
      </w:tr>
    </w:tbl>
    <w:p w14:paraId="7F5A3A64" w14:textId="77777777" w:rsidR="005A28EA" w:rsidRPr="00460E3D" w:rsidRDefault="005A28EA" w:rsidP="005A28EA">
      <w:pPr>
        <w:ind w:left="720"/>
        <w:jc w:val="left"/>
        <w:rPr>
          <w:rFonts w:eastAsia="Calibri"/>
          <w:b/>
          <w:sz w:val="22"/>
          <w:szCs w:val="22"/>
          <w:lang w:eastAsia="en-US"/>
        </w:rPr>
      </w:pPr>
    </w:p>
    <w:p w14:paraId="437F0072" w14:textId="77777777" w:rsidR="005A28EA" w:rsidRPr="00460E3D" w:rsidRDefault="005A28EA" w:rsidP="005A28EA">
      <w:pPr>
        <w:ind w:left="720"/>
        <w:jc w:val="left"/>
        <w:rPr>
          <w:rFonts w:eastAsia="Calibri"/>
          <w:b/>
          <w:sz w:val="22"/>
          <w:szCs w:val="22"/>
          <w:lang w:eastAsia="en-US"/>
        </w:rPr>
      </w:pPr>
    </w:p>
    <w:p w14:paraId="7A40E177"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6167A15"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0DABC7EA" w14:textId="77777777" w:rsidTr="005A28EA">
        <w:tc>
          <w:tcPr>
            <w:tcW w:w="2376" w:type="dxa"/>
            <w:shd w:val="clear" w:color="auto" w:fill="D6E3BC" w:themeFill="accent3" w:themeFillTint="66"/>
            <w:vAlign w:val="center"/>
          </w:tcPr>
          <w:p w14:paraId="4756482D" w14:textId="77777777" w:rsidR="005A28EA" w:rsidRPr="00460E3D" w:rsidRDefault="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41BCA4D"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4851" w:type="dxa"/>
            <w:shd w:val="clear" w:color="auto" w:fill="D6E3BC" w:themeFill="accent3" w:themeFillTint="66"/>
            <w:vAlign w:val="center"/>
          </w:tcPr>
          <w:p w14:paraId="492CD1A6"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773B9C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2DC9F1F7" w14:textId="77777777" w:rsidTr="005A28EA">
        <w:tc>
          <w:tcPr>
            <w:tcW w:w="2376" w:type="dxa"/>
          </w:tcPr>
          <w:p w14:paraId="122118B4" w14:textId="77777777" w:rsidR="005A28EA" w:rsidRPr="00460E3D" w:rsidRDefault="005A28EA" w:rsidP="005A28EA">
            <w:pPr>
              <w:jc w:val="left"/>
              <w:rPr>
                <w:rFonts w:ascii="Times New Roman" w:hAnsi="Times New Roman"/>
                <w:b/>
                <w:sz w:val="22"/>
              </w:rPr>
            </w:pPr>
          </w:p>
        </w:tc>
        <w:tc>
          <w:tcPr>
            <w:tcW w:w="1985" w:type="dxa"/>
          </w:tcPr>
          <w:p w14:paraId="1ABD69D0" w14:textId="77777777" w:rsidR="005A28EA" w:rsidRPr="00460E3D" w:rsidRDefault="005A28EA" w:rsidP="005A28EA">
            <w:pPr>
              <w:jc w:val="left"/>
              <w:rPr>
                <w:rFonts w:ascii="Times New Roman" w:hAnsi="Times New Roman"/>
                <w:b/>
                <w:sz w:val="22"/>
              </w:rPr>
            </w:pPr>
          </w:p>
        </w:tc>
        <w:tc>
          <w:tcPr>
            <w:tcW w:w="4851" w:type="dxa"/>
          </w:tcPr>
          <w:p w14:paraId="6F9121C8" w14:textId="77777777" w:rsidR="005A28EA" w:rsidRPr="00460E3D" w:rsidRDefault="005A28EA" w:rsidP="005A28EA">
            <w:pPr>
              <w:jc w:val="left"/>
              <w:rPr>
                <w:rFonts w:ascii="Times New Roman" w:hAnsi="Times New Roman"/>
                <w:b/>
                <w:sz w:val="22"/>
              </w:rPr>
            </w:pPr>
          </w:p>
        </w:tc>
      </w:tr>
      <w:tr w:rsidR="005A28EA" w:rsidRPr="00C0062E" w14:paraId="38421C53" w14:textId="77777777" w:rsidTr="005A28EA">
        <w:tc>
          <w:tcPr>
            <w:tcW w:w="2376" w:type="dxa"/>
          </w:tcPr>
          <w:p w14:paraId="37545165" w14:textId="77777777" w:rsidR="005A28EA" w:rsidRPr="00460E3D" w:rsidRDefault="005A28EA" w:rsidP="005A28EA">
            <w:pPr>
              <w:jc w:val="left"/>
              <w:rPr>
                <w:rFonts w:ascii="Times New Roman" w:hAnsi="Times New Roman"/>
                <w:b/>
                <w:sz w:val="22"/>
              </w:rPr>
            </w:pPr>
          </w:p>
        </w:tc>
        <w:tc>
          <w:tcPr>
            <w:tcW w:w="1985" w:type="dxa"/>
          </w:tcPr>
          <w:p w14:paraId="38C3602A" w14:textId="77777777" w:rsidR="005A28EA" w:rsidRPr="00460E3D" w:rsidRDefault="005A28EA" w:rsidP="005A28EA">
            <w:pPr>
              <w:jc w:val="left"/>
              <w:rPr>
                <w:rFonts w:ascii="Times New Roman" w:hAnsi="Times New Roman"/>
                <w:b/>
                <w:sz w:val="22"/>
              </w:rPr>
            </w:pPr>
          </w:p>
        </w:tc>
        <w:tc>
          <w:tcPr>
            <w:tcW w:w="4851" w:type="dxa"/>
          </w:tcPr>
          <w:p w14:paraId="3A4D083F" w14:textId="77777777" w:rsidR="005A28EA" w:rsidRPr="00460E3D" w:rsidRDefault="005A28EA" w:rsidP="005A28EA">
            <w:pPr>
              <w:jc w:val="left"/>
              <w:rPr>
                <w:rFonts w:ascii="Times New Roman" w:hAnsi="Times New Roman"/>
                <w:b/>
                <w:sz w:val="22"/>
              </w:rPr>
            </w:pPr>
          </w:p>
        </w:tc>
      </w:tr>
      <w:tr w:rsidR="005A28EA" w:rsidRPr="00C0062E" w14:paraId="172D0339" w14:textId="77777777" w:rsidTr="005A28EA">
        <w:tc>
          <w:tcPr>
            <w:tcW w:w="2376" w:type="dxa"/>
          </w:tcPr>
          <w:p w14:paraId="5B4561E9" w14:textId="77777777" w:rsidR="005A28EA" w:rsidRPr="00460E3D" w:rsidRDefault="005A28EA" w:rsidP="005A28EA">
            <w:pPr>
              <w:jc w:val="left"/>
              <w:rPr>
                <w:rFonts w:ascii="Times New Roman" w:hAnsi="Times New Roman"/>
                <w:b/>
                <w:sz w:val="22"/>
              </w:rPr>
            </w:pPr>
          </w:p>
        </w:tc>
        <w:tc>
          <w:tcPr>
            <w:tcW w:w="1985" w:type="dxa"/>
          </w:tcPr>
          <w:p w14:paraId="0FCA059C" w14:textId="77777777" w:rsidR="005A28EA" w:rsidRPr="00460E3D" w:rsidRDefault="005A28EA" w:rsidP="005A28EA">
            <w:pPr>
              <w:jc w:val="left"/>
              <w:rPr>
                <w:rFonts w:ascii="Times New Roman" w:hAnsi="Times New Roman"/>
                <w:b/>
                <w:sz w:val="22"/>
              </w:rPr>
            </w:pPr>
          </w:p>
        </w:tc>
        <w:tc>
          <w:tcPr>
            <w:tcW w:w="4851" w:type="dxa"/>
          </w:tcPr>
          <w:p w14:paraId="5445DC9B" w14:textId="77777777" w:rsidR="005A28EA" w:rsidRPr="00460E3D" w:rsidRDefault="005A28EA" w:rsidP="005A28EA">
            <w:pPr>
              <w:jc w:val="left"/>
              <w:rPr>
                <w:rFonts w:ascii="Times New Roman" w:hAnsi="Times New Roman"/>
                <w:b/>
                <w:sz w:val="22"/>
              </w:rPr>
            </w:pPr>
          </w:p>
        </w:tc>
      </w:tr>
      <w:tr w:rsidR="005A28EA" w:rsidRPr="00C0062E" w14:paraId="5EA335D9" w14:textId="77777777" w:rsidTr="005A28EA">
        <w:tc>
          <w:tcPr>
            <w:tcW w:w="2376" w:type="dxa"/>
          </w:tcPr>
          <w:p w14:paraId="34E15E2D" w14:textId="77777777" w:rsidR="005A28EA" w:rsidRPr="00460E3D" w:rsidRDefault="005A28EA" w:rsidP="005A28EA">
            <w:pPr>
              <w:jc w:val="left"/>
              <w:rPr>
                <w:rFonts w:ascii="Times New Roman" w:hAnsi="Times New Roman"/>
                <w:b/>
                <w:sz w:val="22"/>
              </w:rPr>
            </w:pPr>
          </w:p>
        </w:tc>
        <w:tc>
          <w:tcPr>
            <w:tcW w:w="1985" w:type="dxa"/>
          </w:tcPr>
          <w:p w14:paraId="44E6AE3A" w14:textId="77777777" w:rsidR="005A28EA" w:rsidRPr="00460E3D" w:rsidRDefault="005A28EA" w:rsidP="005A28EA">
            <w:pPr>
              <w:jc w:val="left"/>
              <w:rPr>
                <w:rFonts w:ascii="Times New Roman" w:hAnsi="Times New Roman"/>
                <w:b/>
                <w:sz w:val="22"/>
              </w:rPr>
            </w:pPr>
          </w:p>
        </w:tc>
        <w:tc>
          <w:tcPr>
            <w:tcW w:w="4851" w:type="dxa"/>
          </w:tcPr>
          <w:p w14:paraId="60B6C4A7" w14:textId="77777777" w:rsidR="005A28EA" w:rsidRPr="00460E3D" w:rsidRDefault="005A28EA" w:rsidP="005A28EA">
            <w:pPr>
              <w:jc w:val="left"/>
              <w:rPr>
                <w:rFonts w:ascii="Times New Roman" w:hAnsi="Times New Roman"/>
                <w:b/>
                <w:sz w:val="22"/>
              </w:rPr>
            </w:pPr>
          </w:p>
        </w:tc>
      </w:tr>
      <w:tr w:rsidR="005A28EA" w:rsidRPr="00C0062E" w14:paraId="078EBA0A" w14:textId="77777777" w:rsidTr="005A28EA">
        <w:tc>
          <w:tcPr>
            <w:tcW w:w="2376" w:type="dxa"/>
          </w:tcPr>
          <w:p w14:paraId="3655B759" w14:textId="77777777" w:rsidR="005A28EA" w:rsidRPr="00460E3D" w:rsidRDefault="005A28EA" w:rsidP="005A28EA">
            <w:pPr>
              <w:jc w:val="left"/>
              <w:rPr>
                <w:rFonts w:ascii="Times New Roman" w:hAnsi="Times New Roman"/>
                <w:b/>
                <w:sz w:val="22"/>
              </w:rPr>
            </w:pPr>
          </w:p>
        </w:tc>
        <w:tc>
          <w:tcPr>
            <w:tcW w:w="1985" w:type="dxa"/>
          </w:tcPr>
          <w:p w14:paraId="1167B24B" w14:textId="77777777" w:rsidR="005A28EA" w:rsidRPr="00460E3D" w:rsidRDefault="005A28EA" w:rsidP="005A28EA">
            <w:pPr>
              <w:jc w:val="left"/>
              <w:rPr>
                <w:rFonts w:ascii="Times New Roman" w:hAnsi="Times New Roman"/>
                <w:b/>
                <w:sz w:val="22"/>
              </w:rPr>
            </w:pPr>
          </w:p>
        </w:tc>
        <w:tc>
          <w:tcPr>
            <w:tcW w:w="4851" w:type="dxa"/>
          </w:tcPr>
          <w:p w14:paraId="522F9C5F" w14:textId="77777777" w:rsidR="005A28EA" w:rsidRPr="00460E3D" w:rsidRDefault="005A28EA" w:rsidP="005A28EA">
            <w:pPr>
              <w:jc w:val="left"/>
              <w:rPr>
                <w:rFonts w:ascii="Times New Roman" w:hAnsi="Times New Roman"/>
                <w:b/>
                <w:sz w:val="22"/>
              </w:rPr>
            </w:pPr>
          </w:p>
        </w:tc>
      </w:tr>
    </w:tbl>
    <w:p w14:paraId="0983B6BA" w14:textId="77777777" w:rsidR="005A28EA" w:rsidRPr="00460E3D" w:rsidRDefault="005A28EA" w:rsidP="005A28EA">
      <w:pPr>
        <w:jc w:val="left"/>
        <w:rPr>
          <w:rFonts w:eastAsia="Calibri"/>
          <w:b/>
          <w:sz w:val="22"/>
          <w:szCs w:val="22"/>
          <w:lang w:eastAsia="en-US"/>
        </w:rPr>
      </w:pPr>
    </w:p>
    <w:p w14:paraId="1D05ADAD" w14:textId="77777777" w:rsidR="005A28EA" w:rsidRPr="00460E3D" w:rsidRDefault="005A28EA" w:rsidP="005A28EA">
      <w:pPr>
        <w:jc w:val="left"/>
        <w:rPr>
          <w:rFonts w:eastAsia="Calibri"/>
          <w:b/>
          <w:sz w:val="22"/>
          <w:szCs w:val="22"/>
          <w:lang w:eastAsia="en-US"/>
        </w:rPr>
      </w:pPr>
    </w:p>
    <w:p w14:paraId="7DE490D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4495CE37" w14:textId="77777777"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062"/>
      </w:tblGrid>
      <w:tr w:rsidR="005A28EA" w:rsidRPr="00C0062E" w14:paraId="7DE5F623" w14:textId="77777777" w:rsidTr="005A28EA">
        <w:tc>
          <w:tcPr>
            <w:tcW w:w="9212" w:type="dxa"/>
          </w:tcPr>
          <w:p w14:paraId="4214F7B6"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396FD1E4" w14:textId="77777777" w:rsidR="005A28EA" w:rsidRPr="00460E3D" w:rsidRDefault="005A28EA" w:rsidP="005A28EA">
            <w:pPr>
              <w:jc w:val="left"/>
              <w:rPr>
                <w:rFonts w:ascii="Times New Roman" w:hAnsi="Times New Roman"/>
                <w:szCs w:val="24"/>
              </w:rPr>
            </w:pPr>
          </w:p>
          <w:p w14:paraId="11D3EA54" w14:textId="77777777" w:rsidR="005A28EA" w:rsidRPr="00460E3D" w:rsidRDefault="005A28EA" w:rsidP="005A28EA">
            <w:pPr>
              <w:jc w:val="left"/>
              <w:rPr>
                <w:rFonts w:ascii="Times New Roman" w:hAnsi="Times New Roman"/>
                <w:szCs w:val="24"/>
              </w:rPr>
            </w:pPr>
          </w:p>
          <w:p w14:paraId="09D14B78" w14:textId="77777777" w:rsidR="005A28EA" w:rsidRPr="00460E3D" w:rsidRDefault="005A28EA" w:rsidP="005A28EA">
            <w:pPr>
              <w:jc w:val="left"/>
              <w:rPr>
                <w:rFonts w:ascii="Times New Roman" w:hAnsi="Times New Roman"/>
                <w:szCs w:val="24"/>
              </w:rPr>
            </w:pPr>
          </w:p>
          <w:p w14:paraId="3D4901DA" w14:textId="77777777" w:rsidR="005A28EA" w:rsidRPr="00460E3D" w:rsidRDefault="005A28EA" w:rsidP="005A28EA">
            <w:pPr>
              <w:jc w:val="left"/>
              <w:rPr>
                <w:rFonts w:ascii="Times New Roman" w:hAnsi="Times New Roman"/>
                <w:szCs w:val="24"/>
              </w:rPr>
            </w:pPr>
          </w:p>
          <w:p w14:paraId="34D8D812" w14:textId="77777777" w:rsidR="005A28EA" w:rsidRPr="00460E3D" w:rsidRDefault="005A28EA" w:rsidP="005A28EA">
            <w:pPr>
              <w:jc w:val="left"/>
              <w:rPr>
                <w:rFonts w:ascii="Times New Roman" w:hAnsi="Times New Roman"/>
                <w:szCs w:val="24"/>
              </w:rPr>
            </w:pPr>
          </w:p>
        </w:tc>
      </w:tr>
    </w:tbl>
    <w:p w14:paraId="7A20A77B" w14:textId="77777777"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3466930C" w14:textId="77777777" w:rsidTr="005A28EA">
        <w:tc>
          <w:tcPr>
            <w:tcW w:w="14142" w:type="dxa"/>
            <w:shd w:val="clear" w:color="auto" w:fill="FBD4B4" w:themeFill="accent6" w:themeFillTint="66"/>
          </w:tcPr>
          <w:p w14:paraId="51C602CF" w14:textId="77777777" w:rsidR="005A28EA" w:rsidRPr="00460E3D" w:rsidRDefault="005A28EA" w:rsidP="005A28EA">
            <w:pPr>
              <w:numPr>
                <w:ilvl w:val="0"/>
                <w:numId w:val="72"/>
              </w:numPr>
              <w:jc w:val="left"/>
              <w:rPr>
                <w:rFonts w:ascii="Times New Roman" w:hAnsi="Times New Roman"/>
                <w:b/>
                <w:sz w:val="22"/>
              </w:rPr>
            </w:pPr>
            <w:r w:rsidRPr="00460E3D">
              <w:rPr>
                <w:sz w:val="22"/>
              </w:rPr>
              <w:br w:type="page"/>
            </w:r>
            <w:r w:rsidRPr="00460E3D">
              <w:rPr>
                <w:b/>
                <w:sz w:val="22"/>
              </w:rPr>
              <w:t>Prélèvement</w:t>
            </w:r>
          </w:p>
        </w:tc>
      </w:tr>
    </w:tbl>
    <w:p w14:paraId="5E23F0A6"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1722F894" w14:textId="77777777" w:rsidTr="005A28EA">
        <w:tc>
          <w:tcPr>
            <w:tcW w:w="14142" w:type="dxa"/>
            <w:shd w:val="clear" w:color="auto" w:fill="8DB3E2" w:themeFill="text2" w:themeFillTint="66"/>
          </w:tcPr>
          <w:p w14:paraId="23D40079" w14:textId="77777777"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14:paraId="33A6F858" w14:textId="77777777" w:rsidR="005A28EA" w:rsidRPr="00460E3D" w:rsidRDefault="005A28EA" w:rsidP="005A28EA">
      <w:pPr>
        <w:ind w:left="720"/>
        <w:jc w:val="left"/>
        <w:rPr>
          <w:rFonts w:eastAsia="Calibri"/>
          <w:b/>
          <w:sz w:val="22"/>
          <w:szCs w:val="22"/>
          <w:lang w:eastAsia="en-US"/>
        </w:rPr>
      </w:pPr>
    </w:p>
    <w:p w14:paraId="279212C0"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29E60DD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5520309E" w14:textId="77777777" w:rsidTr="005A28EA">
        <w:tc>
          <w:tcPr>
            <w:tcW w:w="1501" w:type="dxa"/>
            <w:tcBorders>
              <w:bottom w:val="single" w:sz="4" w:space="0" w:color="auto"/>
            </w:tcBorders>
            <w:shd w:val="clear" w:color="auto" w:fill="D6E3BC" w:themeFill="accent3" w:themeFillTint="66"/>
          </w:tcPr>
          <w:p w14:paraId="79AEC760"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4123A3E3"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0F53189B"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01E39D52"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1417104F"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3D95F0C"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4BC78018" w14:textId="77777777" w:rsidTr="005A28EA">
        <w:tc>
          <w:tcPr>
            <w:tcW w:w="14142" w:type="dxa"/>
            <w:gridSpan w:val="6"/>
            <w:shd w:val="pct10" w:color="auto" w:fill="auto"/>
          </w:tcPr>
          <w:p w14:paraId="4EF5EE65" w14:textId="77777777"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14:paraId="3BB9CDA5" w14:textId="77777777" w:rsidTr="005A28EA">
        <w:tc>
          <w:tcPr>
            <w:tcW w:w="1501" w:type="dxa"/>
          </w:tcPr>
          <w:p w14:paraId="3F89E5AC" w14:textId="77777777" w:rsidR="005A28EA" w:rsidRPr="00460E3D" w:rsidRDefault="005A28EA" w:rsidP="005A28EA">
            <w:pPr>
              <w:jc w:val="left"/>
              <w:rPr>
                <w:rFonts w:ascii="Times New Roman" w:hAnsi="Times New Roman"/>
                <w:sz w:val="22"/>
              </w:rPr>
            </w:pPr>
          </w:p>
        </w:tc>
        <w:tc>
          <w:tcPr>
            <w:tcW w:w="2293" w:type="dxa"/>
          </w:tcPr>
          <w:p w14:paraId="283CBFDE" w14:textId="77777777" w:rsidR="005A28EA" w:rsidRPr="00460E3D" w:rsidRDefault="005A28EA" w:rsidP="005A28EA">
            <w:pPr>
              <w:jc w:val="left"/>
              <w:rPr>
                <w:rFonts w:ascii="Times New Roman" w:hAnsi="Times New Roman"/>
                <w:sz w:val="22"/>
              </w:rPr>
            </w:pPr>
          </w:p>
        </w:tc>
        <w:tc>
          <w:tcPr>
            <w:tcW w:w="1516" w:type="dxa"/>
          </w:tcPr>
          <w:p w14:paraId="3D996CF5" w14:textId="77777777" w:rsidR="005A28EA" w:rsidRPr="00460E3D" w:rsidRDefault="005A28EA" w:rsidP="005A28EA">
            <w:pPr>
              <w:jc w:val="left"/>
              <w:rPr>
                <w:rFonts w:ascii="Times New Roman" w:hAnsi="Times New Roman"/>
                <w:sz w:val="22"/>
              </w:rPr>
            </w:pPr>
          </w:p>
        </w:tc>
        <w:tc>
          <w:tcPr>
            <w:tcW w:w="1744" w:type="dxa"/>
          </w:tcPr>
          <w:p w14:paraId="41F5CD84" w14:textId="77777777" w:rsidR="005A28EA" w:rsidRPr="00460E3D" w:rsidRDefault="005A28EA" w:rsidP="005A28EA">
            <w:pPr>
              <w:jc w:val="left"/>
              <w:rPr>
                <w:rFonts w:ascii="Times New Roman" w:hAnsi="Times New Roman"/>
                <w:sz w:val="22"/>
              </w:rPr>
            </w:pPr>
          </w:p>
        </w:tc>
        <w:tc>
          <w:tcPr>
            <w:tcW w:w="2977" w:type="dxa"/>
          </w:tcPr>
          <w:p w14:paraId="0DDA2AFB" w14:textId="77777777" w:rsidR="005A28EA" w:rsidRPr="00460E3D" w:rsidRDefault="005A28EA" w:rsidP="005A28EA">
            <w:pPr>
              <w:jc w:val="left"/>
              <w:rPr>
                <w:rFonts w:ascii="Times New Roman" w:hAnsi="Times New Roman"/>
                <w:sz w:val="22"/>
              </w:rPr>
            </w:pPr>
          </w:p>
        </w:tc>
        <w:tc>
          <w:tcPr>
            <w:tcW w:w="4111" w:type="dxa"/>
          </w:tcPr>
          <w:p w14:paraId="05AF937D" w14:textId="77777777" w:rsidR="005A28EA" w:rsidRPr="00460E3D" w:rsidRDefault="005A28EA" w:rsidP="005A28EA">
            <w:pPr>
              <w:jc w:val="left"/>
              <w:rPr>
                <w:rFonts w:ascii="Times New Roman" w:hAnsi="Times New Roman"/>
                <w:sz w:val="22"/>
              </w:rPr>
            </w:pPr>
          </w:p>
        </w:tc>
      </w:tr>
      <w:tr w:rsidR="005A28EA" w:rsidRPr="00C0062E" w14:paraId="24F3787D" w14:textId="77777777" w:rsidTr="005A28EA">
        <w:tc>
          <w:tcPr>
            <w:tcW w:w="1501" w:type="dxa"/>
          </w:tcPr>
          <w:p w14:paraId="6213055C" w14:textId="77777777" w:rsidR="005A28EA" w:rsidRPr="00460E3D" w:rsidRDefault="005A28EA" w:rsidP="005A28EA">
            <w:pPr>
              <w:jc w:val="left"/>
              <w:rPr>
                <w:rFonts w:ascii="Times New Roman" w:hAnsi="Times New Roman"/>
                <w:sz w:val="22"/>
              </w:rPr>
            </w:pPr>
          </w:p>
        </w:tc>
        <w:tc>
          <w:tcPr>
            <w:tcW w:w="2293" w:type="dxa"/>
          </w:tcPr>
          <w:p w14:paraId="0EC19322" w14:textId="77777777" w:rsidR="005A28EA" w:rsidRPr="00460E3D" w:rsidRDefault="005A28EA" w:rsidP="005A28EA">
            <w:pPr>
              <w:jc w:val="left"/>
              <w:rPr>
                <w:rFonts w:ascii="Times New Roman" w:hAnsi="Times New Roman"/>
                <w:sz w:val="22"/>
              </w:rPr>
            </w:pPr>
          </w:p>
        </w:tc>
        <w:tc>
          <w:tcPr>
            <w:tcW w:w="1516" w:type="dxa"/>
          </w:tcPr>
          <w:p w14:paraId="33364ABB" w14:textId="77777777" w:rsidR="005A28EA" w:rsidRPr="00460E3D" w:rsidRDefault="005A28EA" w:rsidP="005A28EA">
            <w:pPr>
              <w:jc w:val="left"/>
              <w:rPr>
                <w:rFonts w:ascii="Times New Roman" w:hAnsi="Times New Roman"/>
                <w:sz w:val="22"/>
              </w:rPr>
            </w:pPr>
          </w:p>
        </w:tc>
        <w:tc>
          <w:tcPr>
            <w:tcW w:w="1744" w:type="dxa"/>
          </w:tcPr>
          <w:p w14:paraId="44DDB76F" w14:textId="77777777" w:rsidR="005A28EA" w:rsidRPr="00460E3D" w:rsidRDefault="005A28EA" w:rsidP="005A28EA">
            <w:pPr>
              <w:jc w:val="left"/>
              <w:rPr>
                <w:rFonts w:ascii="Times New Roman" w:hAnsi="Times New Roman"/>
                <w:sz w:val="22"/>
              </w:rPr>
            </w:pPr>
          </w:p>
        </w:tc>
        <w:tc>
          <w:tcPr>
            <w:tcW w:w="2977" w:type="dxa"/>
          </w:tcPr>
          <w:p w14:paraId="08D2EC74" w14:textId="77777777" w:rsidR="005A28EA" w:rsidRPr="00460E3D" w:rsidRDefault="005A28EA" w:rsidP="005A28EA">
            <w:pPr>
              <w:jc w:val="left"/>
              <w:rPr>
                <w:rFonts w:ascii="Times New Roman" w:hAnsi="Times New Roman"/>
                <w:sz w:val="22"/>
              </w:rPr>
            </w:pPr>
          </w:p>
        </w:tc>
        <w:tc>
          <w:tcPr>
            <w:tcW w:w="4111" w:type="dxa"/>
          </w:tcPr>
          <w:p w14:paraId="1EC5CA6D" w14:textId="77777777" w:rsidR="005A28EA" w:rsidRPr="00460E3D" w:rsidRDefault="005A28EA" w:rsidP="005A28EA">
            <w:pPr>
              <w:jc w:val="left"/>
              <w:rPr>
                <w:rFonts w:ascii="Times New Roman" w:hAnsi="Times New Roman"/>
                <w:sz w:val="22"/>
              </w:rPr>
            </w:pPr>
          </w:p>
        </w:tc>
      </w:tr>
      <w:tr w:rsidR="005A28EA" w:rsidRPr="00C0062E" w14:paraId="13B50C68" w14:textId="77777777" w:rsidTr="005A28EA">
        <w:tc>
          <w:tcPr>
            <w:tcW w:w="1501" w:type="dxa"/>
            <w:tcBorders>
              <w:bottom w:val="single" w:sz="4" w:space="0" w:color="auto"/>
            </w:tcBorders>
          </w:tcPr>
          <w:p w14:paraId="2B62126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C69B038"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D9A3F4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179F55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EC5B1B9"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13FB2A4" w14:textId="77777777" w:rsidR="005A28EA" w:rsidRPr="00460E3D" w:rsidRDefault="005A28EA" w:rsidP="005A28EA">
            <w:pPr>
              <w:jc w:val="left"/>
              <w:rPr>
                <w:rFonts w:ascii="Times New Roman" w:hAnsi="Times New Roman"/>
                <w:sz w:val="22"/>
              </w:rPr>
            </w:pPr>
          </w:p>
        </w:tc>
      </w:tr>
      <w:tr w:rsidR="005A28EA" w:rsidRPr="00C0062E" w14:paraId="1887B25C" w14:textId="77777777" w:rsidTr="005A28EA">
        <w:tc>
          <w:tcPr>
            <w:tcW w:w="1501" w:type="dxa"/>
            <w:tcBorders>
              <w:bottom w:val="single" w:sz="4" w:space="0" w:color="auto"/>
            </w:tcBorders>
          </w:tcPr>
          <w:p w14:paraId="23A9A88E"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EB420F5"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F613AE3"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01CCECF"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C36CBD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D35EB10" w14:textId="77777777" w:rsidR="005A28EA" w:rsidRPr="00460E3D" w:rsidRDefault="005A28EA" w:rsidP="005A28EA">
            <w:pPr>
              <w:jc w:val="left"/>
              <w:rPr>
                <w:rFonts w:ascii="Times New Roman" w:hAnsi="Times New Roman"/>
                <w:sz w:val="22"/>
              </w:rPr>
            </w:pPr>
          </w:p>
        </w:tc>
      </w:tr>
      <w:tr w:rsidR="005A28EA" w:rsidRPr="00C0062E" w14:paraId="5CC9E130" w14:textId="77777777" w:rsidTr="005A28EA">
        <w:tc>
          <w:tcPr>
            <w:tcW w:w="1501" w:type="dxa"/>
            <w:tcBorders>
              <w:bottom w:val="single" w:sz="4" w:space="0" w:color="auto"/>
            </w:tcBorders>
          </w:tcPr>
          <w:p w14:paraId="28D23C7B"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2466F1FC"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C5E05F9"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E17E87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63EE4B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5DA24FD" w14:textId="77777777" w:rsidR="005A28EA" w:rsidRPr="00460E3D" w:rsidRDefault="005A28EA" w:rsidP="005A28EA">
            <w:pPr>
              <w:jc w:val="left"/>
              <w:rPr>
                <w:rFonts w:ascii="Times New Roman" w:hAnsi="Times New Roman"/>
                <w:sz w:val="22"/>
              </w:rPr>
            </w:pPr>
          </w:p>
        </w:tc>
      </w:tr>
      <w:tr w:rsidR="005A28EA" w:rsidRPr="00C0062E" w14:paraId="51CA3C77" w14:textId="77777777" w:rsidTr="005A28EA">
        <w:tc>
          <w:tcPr>
            <w:tcW w:w="1501" w:type="dxa"/>
            <w:tcBorders>
              <w:bottom w:val="single" w:sz="4" w:space="0" w:color="auto"/>
            </w:tcBorders>
          </w:tcPr>
          <w:p w14:paraId="47D0E220"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37FD0D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97BEBE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215B2F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57E9FF8"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65CBAD75" w14:textId="77777777" w:rsidR="005A28EA" w:rsidRPr="00460E3D" w:rsidRDefault="005A28EA" w:rsidP="005A28EA">
            <w:pPr>
              <w:jc w:val="left"/>
              <w:rPr>
                <w:rFonts w:ascii="Times New Roman" w:hAnsi="Times New Roman"/>
                <w:sz w:val="22"/>
              </w:rPr>
            </w:pPr>
          </w:p>
        </w:tc>
      </w:tr>
      <w:tr w:rsidR="005A28EA" w:rsidRPr="00C0062E" w14:paraId="50355154" w14:textId="77777777" w:rsidTr="005A28EA">
        <w:tc>
          <w:tcPr>
            <w:tcW w:w="14142" w:type="dxa"/>
            <w:gridSpan w:val="6"/>
            <w:shd w:val="pct10" w:color="auto" w:fill="auto"/>
          </w:tcPr>
          <w:p w14:paraId="567E8EB3" w14:textId="77777777"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14:paraId="750ED9FA" w14:textId="77777777" w:rsidTr="005A28EA">
        <w:tc>
          <w:tcPr>
            <w:tcW w:w="1501" w:type="dxa"/>
          </w:tcPr>
          <w:p w14:paraId="287DD75D" w14:textId="77777777" w:rsidR="005A28EA" w:rsidRPr="00460E3D" w:rsidRDefault="005A28EA" w:rsidP="005A28EA">
            <w:pPr>
              <w:jc w:val="left"/>
              <w:rPr>
                <w:rFonts w:ascii="Times New Roman" w:hAnsi="Times New Roman"/>
                <w:sz w:val="22"/>
              </w:rPr>
            </w:pPr>
          </w:p>
        </w:tc>
        <w:tc>
          <w:tcPr>
            <w:tcW w:w="2293" w:type="dxa"/>
          </w:tcPr>
          <w:p w14:paraId="7EBBC813" w14:textId="77777777" w:rsidR="005A28EA" w:rsidRPr="00460E3D" w:rsidRDefault="005A28EA" w:rsidP="005A28EA">
            <w:pPr>
              <w:jc w:val="left"/>
              <w:rPr>
                <w:rFonts w:ascii="Times New Roman" w:hAnsi="Times New Roman"/>
                <w:sz w:val="22"/>
              </w:rPr>
            </w:pPr>
          </w:p>
        </w:tc>
        <w:tc>
          <w:tcPr>
            <w:tcW w:w="1516" w:type="dxa"/>
          </w:tcPr>
          <w:p w14:paraId="04F77113" w14:textId="77777777" w:rsidR="005A28EA" w:rsidRPr="00460E3D" w:rsidRDefault="005A28EA" w:rsidP="005A28EA">
            <w:pPr>
              <w:jc w:val="left"/>
              <w:rPr>
                <w:rFonts w:ascii="Times New Roman" w:hAnsi="Times New Roman"/>
                <w:sz w:val="22"/>
              </w:rPr>
            </w:pPr>
          </w:p>
        </w:tc>
        <w:tc>
          <w:tcPr>
            <w:tcW w:w="1744" w:type="dxa"/>
          </w:tcPr>
          <w:p w14:paraId="23B9963C" w14:textId="77777777" w:rsidR="005A28EA" w:rsidRPr="00460E3D" w:rsidRDefault="005A28EA" w:rsidP="005A28EA">
            <w:pPr>
              <w:jc w:val="left"/>
              <w:rPr>
                <w:rFonts w:ascii="Times New Roman" w:hAnsi="Times New Roman"/>
                <w:sz w:val="22"/>
              </w:rPr>
            </w:pPr>
          </w:p>
        </w:tc>
        <w:tc>
          <w:tcPr>
            <w:tcW w:w="2977" w:type="dxa"/>
          </w:tcPr>
          <w:p w14:paraId="21C53558" w14:textId="77777777" w:rsidR="005A28EA" w:rsidRPr="00460E3D" w:rsidRDefault="005A28EA" w:rsidP="005A28EA">
            <w:pPr>
              <w:jc w:val="left"/>
              <w:rPr>
                <w:rFonts w:ascii="Times New Roman" w:hAnsi="Times New Roman"/>
                <w:sz w:val="22"/>
              </w:rPr>
            </w:pPr>
          </w:p>
        </w:tc>
        <w:tc>
          <w:tcPr>
            <w:tcW w:w="4111" w:type="dxa"/>
          </w:tcPr>
          <w:p w14:paraId="259C37A1" w14:textId="77777777" w:rsidR="005A28EA" w:rsidRPr="00460E3D" w:rsidRDefault="005A28EA" w:rsidP="005A28EA">
            <w:pPr>
              <w:jc w:val="left"/>
              <w:rPr>
                <w:rFonts w:ascii="Times New Roman" w:hAnsi="Times New Roman"/>
                <w:sz w:val="22"/>
              </w:rPr>
            </w:pPr>
          </w:p>
        </w:tc>
      </w:tr>
      <w:tr w:rsidR="005A28EA" w:rsidRPr="00C0062E" w14:paraId="72EBEF44" w14:textId="77777777" w:rsidTr="005A28EA">
        <w:tc>
          <w:tcPr>
            <w:tcW w:w="1501" w:type="dxa"/>
          </w:tcPr>
          <w:p w14:paraId="55CD3864" w14:textId="77777777" w:rsidR="005A28EA" w:rsidRPr="00460E3D" w:rsidRDefault="005A28EA" w:rsidP="005A28EA">
            <w:pPr>
              <w:jc w:val="left"/>
              <w:rPr>
                <w:rFonts w:ascii="Times New Roman" w:hAnsi="Times New Roman"/>
                <w:sz w:val="22"/>
              </w:rPr>
            </w:pPr>
          </w:p>
        </w:tc>
        <w:tc>
          <w:tcPr>
            <w:tcW w:w="2293" w:type="dxa"/>
          </w:tcPr>
          <w:p w14:paraId="3CF935CF" w14:textId="77777777" w:rsidR="005A28EA" w:rsidRPr="00460E3D" w:rsidRDefault="005A28EA" w:rsidP="005A28EA">
            <w:pPr>
              <w:jc w:val="left"/>
              <w:rPr>
                <w:rFonts w:ascii="Times New Roman" w:hAnsi="Times New Roman"/>
                <w:sz w:val="22"/>
              </w:rPr>
            </w:pPr>
          </w:p>
        </w:tc>
        <w:tc>
          <w:tcPr>
            <w:tcW w:w="1516" w:type="dxa"/>
          </w:tcPr>
          <w:p w14:paraId="3F922C1A" w14:textId="77777777" w:rsidR="005A28EA" w:rsidRPr="00460E3D" w:rsidRDefault="005A28EA" w:rsidP="005A28EA">
            <w:pPr>
              <w:jc w:val="left"/>
              <w:rPr>
                <w:rFonts w:ascii="Times New Roman" w:hAnsi="Times New Roman"/>
                <w:sz w:val="22"/>
              </w:rPr>
            </w:pPr>
          </w:p>
        </w:tc>
        <w:tc>
          <w:tcPr>
            <w:tcW w:w="1744" w:type="dxa"/>
          </w:tcPr>
          <w:p w14:paraId="65B2BC7B" w14:textId="77777777" w:rsidR="005A28EA" w:rsidRPr="00460E3D" w:rsidRDefault="005A28EA" w:rsidP="005A28EA">
            <w:pPr>
              <w:jc w:val="left"/>
              <w:rPr>
                <w:rFonts w:ascii="Times New Roman" w:hAnsi="Times New Roman"/>
                <w:sz w:val="22"/>
              </w:rPr>
            </w:pPr>
          </w:p>
        </w:tc>
        <w:tc>
          <w:tcPr>
            <w:tcW w:w="2977" w:type="dxa"/>
          </w:tcPr>
          <w:p w14:paraId="14F5AF20" w14:textId="77777777" w:rsidR="005A28EA" w:rsidRPr="00460E3D" w:rsidRDefault="005A28EA" w:rsidP="005A28EA">
            <w:pPr>
              <w:jc w:val="left"/>
              <w:rPr>
                <w:rFonts w:ascii="Times New Roman" w:hAnsi="Times New Roman"/>
                <w:sz w:val="22"/>
              </w:rPr>
            </w:pPr>
          </w:p>
        </w:tc>
        <w:tc>
          <w:tcPr>
            <w:tcW w:w="4111" w:type="dxa"/>
          </w:tcPr>
          <w:p w14:paraId="304C1C71" w14:textId="77777777" w:rsidR="005A28EA" w:rsidRPr="00460E3D" w:rsidRDefault="005A28EA" w:rsidP="005A28EA">
            <w:pPr>
              <w:jc w:val="left"/>
              <w:rPr>
                <w:rFonts w:ascii="Times New Roman" w:hAnsi="Times New Roman"/>
                <w:sz w:val="22"/>
              </w:rPr>
            </w:pPr>
          </w:p>
        </w:tc>
      </w:tr>
      <w:tr w:rsidR="005A28EA" w:rsidRPr="00C0062E" w14:paraId="46F2A3AC" w14:textId="77777777" w:rsidTr="005A28EA">
        <w:tc>
          <w:tcPr>
            <w:tcW w:w="1501" w:type="dxa"/>
          </w:tcPr>
          <w:p w14:paraId="60470A33" w14:textId="77777777" w:rsidR="005A28EA" w:rsidRPr="00460E3D" w:rsidRDefault="005A28EA" w:rsidP="005A28EA">
            <w:pPr>
              <w:jc w:val="left"/>
              <w:rPr>
                <w:rFonts w:ascii="Times New Roman" w:hAnsi="Times New Roman"/>
                <w:sz w:val="22"/>
              </w:rPr>
            </w:pPr>
          </w:p>
        </w:tc>
        <w:tc>
          <w:tcPr>
            <w:tcW w:w="2293" w:type="dxa"/>
          </w:tcPr>
          <w:p w14:paraId="205F222B" w14:textId="77777777" w:rsidR="005A28EA" w:rsidRPr="00460E3D" w:rsidRDefault="005A28EA" w:rsidP="005A28EA">
            <w:pPr>
              <w:jc w:val="left"/>
              <w:rPr>
                <w:rFonts w:ascii="Times New Roman" w:hAnsi="Times New Roman"/>
                <w:sz w:val="22"/>
              </w:rPr>
            </w:pPr>
          </w:p>
        </w:tc>
        <w:tc>
          <w:tcPr>
            <w:tcW w:w="1516" w:type="dxa"/>
          </w:tcPr>
          <w:p w14:paraId="7CAE84B7" w14:textId="77777777" w:rsidR="005A28EA" w:rsidRPr="00460E3D" w:rsidRDefault="005A28EA" w:rsidP="005A28EA">
            <w:pPr>
              <w:jc w:val="left"/>
              <w:rPr>
                <w:rFonts w:ascii="Times New Roman" w:hAnsi="Times New Roman"/>
                <w:sz w:val="22"/>
              </w:rPr>
            </w:pPr>
          </w:p>
        </w:tc>
        <w:tc>
          <w:tcPr>
            <w:tcW w:w="1744" w:type="dxa"/>
          </w:tcPr>
          <w:p w14:paraId="4E264A0E" w14:textId="77777777" w:rsidR="005A28EA" w:rsidRPr="00460E3D" w:rsidRDefault="005A28EA" w:rsidP="005A28EA">
            <w:pPr>
              <w:jc w:val="left"/>
              <w:rPr>
                <w:rFonts w:ascii="Times New Roman" w:hAnsi="Times New Roman"/>
                <w:sz w:val="22"/>
              </w:rPr>
            </w:pPr>
          </w:p>
        </w:tc>
        <w:tc>
          <w:tcPr>
            <w:tcW w:w="2977" w:type="dxa"/>
          </w:tcPr>
          <w:p w14:paraId="2DF3D261" w14:textId="77777777" w:rsidR="005A28EA" w:rsidRPr="00460E3D" w:rsidRDefault="005A28EA" w:rsidP="005A28EA">
            <w:pPr>
              <w:jc w:val="left"/>
              <w:rPr>
                <w:rFonts w:ascii="Times New Roman" w:hAnsi="Times New Roman"/>
                <w:sz w:val="22"/>
              </w:rPr>
            </w:pPr>
          </w:p>
        </w:tc>
        <w:tc>
          <w:tcPr>
            <w:tcW w:w="4111" w:type="dxa"/>
          </w:tcPr>
          <w:p w14:paraId="7DDA9E2A" w14:textId="77777777" w:rsidR="005A28EA" w:rsidRPr="00460E3D" w:rsidRDefault="005A28EA" w:rsidP="005A28EA">
            <w:pPr>
              <w:jc w:val="left"/>
              <w:rPr>
                <w:rFonts w:ascii="Times New Roman" w:hAnsi="Times New Roman"/>
                <w:sz w:val="22"/>
              </w:rPr>
            </w:pPr>
          </w:p>
        </w:tc>
      </w:tr>
      <w:tr w:rsidR="005A28EA" w:rsidRPr="00C0062E" w14:paraId="396F7C43" w14:textId="77777777" w:rsidTr="005A28EA">
        <w:tc>
          <w:tcPr>
            <w:tcW w:w="1501" w:type="dxa"/>
          </w:tcPr>
          <w:p w14:paraId="657DE568" w14:textId="77777777" w:rsidR="005A28EA" w:rsidRPr="00460E3D" w:rsidRDefault="005A28EA" w:rsidP="005A28EA">
            <w:pPr>
              <w:jc w:val="left"/>
              <w:rPr>
                <w:rFonts w:ascii="Times New Roman" w:hAnsi="Times New Roman"/>
                <w:sz w:val="22"/>
              </w:rPr>
            </w:pPr>
          </w:p>
        </w:tc>
        <w:tc>
          <w:tcPr>
            <w:tcW w:w="2293" w:type="dxa"/>
          </w:tcPr>
          <w:p w14:paraId="29D6C483" w14:textId="77777777" w:rsidR="005A28EA" w:rsidRPr="00460E3D" w:rsidRDefault="005A28EA" w:rsidP="005A28EA">
            <w:pPr>
              <w:jc w:val="left"/>
              <w:rPr>
                <w:rFonts w:ascii="Times New Roman" w:hAnsi="Times New Roman"/>
                <w:sz w:val="22"/>
              </w:rPr>
            </w:pPr>
          </w:p>
        </w:tc>
        <w:tc>
          <w:tcPr>
            <w:tcW w:w="1516" w:type="dxa"/>
          </w:tcPr>
          <w:p w14:paraId="2F3DA77D" w14:textId="77777777" w:rsidR="005A28EA" w:rsidRPr="00460E3D" w:rsidRDefault="005A28EA" w:rsidP="005A28EA">
            <w:pPr>
              <w:jc w:val="left"/>
              <w:rPr>
                <w:rFonts w:ascii="Times New Roman" w:hAnsi="Times New Roman"/>
                <w:sz w:val="22"/>
              </w:rPr>
            </w:pPr>
          </w:p>
        </w:tc>
        <w:tc>
          <w:tcPr>
            <w:tcW w:w="1744" w:type="dxa"/>
          </w:tcPr>
          <w:p w14:paraId="6B4F2E57" w14:textId="77777777" w:rsidR="005A28EA" w:rsidRPr="00460E3D" w:rsidRDefault="005A28EA" w:rsidP="005A28EA">
            <w:pPr>
              <w:jc w:val="left"/>
              <w:rPr>
                <w:rFonts w:ascii="Times New Roman" w:hAnsi="Times New Roman"/>
                <w:sz w:val="22"/>
              </w:rPr>
            </w:pPr>
          </w:p>
        </w:tc>
        <w:tc>
          <w:tcPr>
            <w:tcW w:w="2977" w:type="dxa"/>
          </w:tcPr>
          <w:p w14:paraId="57B1A7D4" w14:textId="77777777" w:rsidR="005A28EA" w:rsidRPr="00460E3D" w:rsidRDefault="005A28EA" w:rsidP="005A28EA">
            <w:pPr>
              <w:jc w:val="left"/>
              <w:rPr>
                <w:rFonts w:ascii="Times New Roman" w:hAnsi="Times New Roman"/>
                <w:sz w:val="22"/>
              </w:rPr>
            </w:pPr>
          </w:p>
        </w:tc>
        <w:tc>
          <w:tcPr>
            <w:tcW w:w="4111" w:type="dxa"/>
          </w:tcPr>
          <w:p w14:paraId="55806354" w14:textId="77777777" w:rsidR="005A28EA" w:rsidRPr="00460E3D" w:rsidRDefault="005A28EA" w:rsidP="005A28EA">
            <w:pPr>
              <w:jc w:val="left"/>
              <w:rPr>
                <w:rFonts w:ascii="Times New Roman" w:hAnsi="Times New Roman"/>
                <w:sz w:val="22"/>
              </w:rPr>
            </w:pPr>
          </w:p>
        </w:tc>
      </w:tr>
      <w:tr w:rsidR="005A28EA" w:rsidRPr="00C0062E" w14:paraId="7F8E326A" w14:textId="77777777" w:rsidTr="005A28EA">
        <w:tc>
          <w:tcPr>
            <w:tcW w:w="1501" w:type="dxa"/>
          </w:tcPr>
          <w:p w14:paraId="04FEDBA7" w14:textId="77777777" w:rsidR="005A28EA" w:rsidRPr="00460E3D" w:rsidRDefault="005A28EA" w:rsidP="005A28EA">
            <w:pPr>
              <w:jc w:val="left"/>
              <w:rPr>
                <w:rFonts w:ascii="Times New Roman" w:hAnsi="Times New Roman"/>
                <w:sz w:val="22"/>
              </w:rPr>
            </w:pPr>
          </w:p>
        </w:tc>
        <w:tc>
          <w:tcPr>
            <w:tcW w:w="2293" w:type="dxa"/>
          </w:tcPr>
          <w:p w14:paraId="403D49D2" w14:textId="77777777" w:rsidR="005A28EA" w:rsidRPr="00460E3D" w:rsidRDefault="005A28EA" w:rsidP="005A28EA">
            <w:pPr>
              <w:jc w:val="left"/>
              <w:rPr>
                <w:rFonts w:ascii="Times New Roman" w:hAnsi="Times New Roman"/>
                <w:sz w:val="22"/>
              </w:rPr>
            </w:pPr>
          </w:p>
        </w:tc>
        <w:tc>
          <w:tcPr>
            <w:tcW w:w="1516" w:type="dxa"/>
          </w:tcPr>
          <w:p w14:paraId="0A45C0F4" w14:textId="77777777" w:rsidR="005A28EA" w:rsidRPr="00460E3D" w:rsidRDefault="005A28EA" w:rsidP="005A28EA">
            <w:pPr>
              <w:jc w:val="left"/>
              <w:rPr>
                <w:rFonts w:ascii="Times New Roman" w:hAnsi="Times New Roman"/>
                <w:sz w:val="22"/>
              </w:rPr>
            </w:pPr>
          </w:p>
        </w:tc>
        <w:tc>
          <w:tcPr>
            <w:tcW w:w="1744" w:type="dxa"/>
          </w:tcPr>
          <w:p w14:paraId="310804F1" w14:textId="77777777" w:rsidR="005A28EA" w:rsidRPr="00460E3D" w:rsidRDefault="005A28EA" w:rsidP="005A28EA">
            <w:pPr>
              <w:jc w:val="left"/>
              <w:rPr>
                <w:rFonts w:ascii="Times New Roman" w:hAnsi="Times New Roman"/>
                <w:sz w:val="22"/>
              </w:rPr>
            </w:pPr>
          </w:p>
        </w:tc>
        <w:tc>
          <w:tcPr>
            <w:tcW w:w="2977" w:type="dxa"/>
          </w:tcPr>
          <w:p w14:paraId="1BB26326" w14:textId="77777777" w:rsidR="005A28EA" w:rsidRPr="00460E3D" w:rsidRDefault="005A28EA" w:rsidP="005A28EA">
            <w:pPr>
              <w:jc w:val="left"/>
              <w:rPr>
                <w:rFonts w:ascii="Times New Roman" w:hAnsi="Times New Roman"/>
                <w:sz w:val="22"/>
              </w:rPr>
            </w:pPr>
          </w:p>
        </w:tc>
        <w:tc>
          <w:tcPr>
            <w:tcW w:w="4111" w:type="dxa"/>
          </w:tcPr>
          <w:p w14:paraId="25927B3A" w14:textId="77777777" w:rsidR="005A28EA" w:rsidRPr="00460E3D" w:rsidRDefault="005A28EA" w:rsidP="005A28EA">
            <w:pPr>
              <w:jc w:val="left"/>
              <w:rPr>
                <w:rFonts w:ascii="Times New Roman" w:hAnsi="Times New Roman"/>
                <w:sz w:val="22"/>
              </w:rPr>
            </w:pPr>
          </w:p>
        </w:tc>
      </w:tr>
      <w:tr w:rsidR="005A28EA" w:rsidRPr="00C0062E" w14:paraId="38A6CE06" w14:textId="77777777" w:rsidTr="005A28EA">
        <w:tc>
          <w:tcPr>
            <w:tcW w:w="1501" w:type="dxa"/>
          </w:tcPr>
          <w:p w14:paraId="0D30FE41" w14:textId="77777777" w:rsidR="005A28EA" w:rsidRPr="00460E3D" w:rsidRDefault="005A28EA" w:rsidP="005A28EA">
            <w:pPr>
              <w:jc w:val="left"/>
              <w:rPr>
                <w:rFonts w:ascii="Times New Roman" w:hAnsi="Times New Roman"/>
                <w:sz w:val="22"/>
              </w:rPr>
            </w:pPr>
          </w:p>
        </w:tc>
        <w:tc>
          <w:tcPr>
            <w:tcW w:w="2293" w:type="dxa"/>
          </w:tcPr>
          <w:p w14:paraId="2B96ACE6" w14:textId="77777777" w:rsidR="005A28EA" w:rsidRPr="00460E3D" w:rsidRDefault="005A28EA" w:rsidP="005A28EA">
            <w:pPr>
              <w:jc w:val="left"/>
              <w:rPr>
                <w:rFonts w:ascii="Times New Roman" w:hAnsi="Times New Roman"/>
                <w:sz w:val="22"/>
              </w:rPr>
            </w:pPr>
          </w:p>
        </w:tc>
        <w:tc>
          <w:tcPr>
            <w:tcW w:w="1516" w:type="dxa"/>
          </w:tcPr>
          <w:p w14:paraId="4E73D09D" w14:textId="77777777" w:rsidR="005A28EA" w:rsidRPr="00460E3D" w:rsidRDefault="005A28EA" w:rsidP="005A28EA">
            <w:pPr>
              <w:jc w:val="left"/>
              <w:rPr>
                <w:rFonts w:ascii="Times New Roman" w:hAnsi="Times New Roman"/>
                <w:sz w:val="22"/>
              </w:rPr>
            </w:pPr>
          </w:p>
        </w:tc>
        <w:tc>
          <w:tcPr>
            <w:tcW w:w="1744" w:type="dxa"/>
          </w:tcPr>
          <w:p w14:paraId="4C1707CD" w14:textId="77777777" w:rsidR="005A28EA" w:rsidRPr="00460E3D" w:rsidRDefault="005A28EA" w:rsidP="005A28EA">
            <w:pPr>
              <w:jc w:val="left"/>
              <w:rPr>
                <w:rFonts w:ascii="Times New Roman" w:hAnsi="Times New Roman"/>
                <w:sz w:val="22"/>
              </w:rPr>
            </w:pPr>
          </w:p>
        </w:tc>
        <w:tc>
          <w:tcPr>
            <w:tcW w:w="2977" w:type="dxa"/>
          </w:tcPr>
          <w:p w14:paraId="2A932B7A" w14:textId="77777777" w:rsidR="005A28EA" w:rsidRPr="00460E3D" w:rsidRDefault="005A28EA" w:rsidP="005A28EA">
            <w:pPr>
              <w:jc w:val="left"/>
              <w:rPr>
                <w:rFonts w:ascii="Times New Roman" w:hAnsi="Times New Roman"/>
                <w:sz w:val="22"/>
              </w:rPr>
            </w:pPr>
          </w:p>
        </w:tc>
        <w:tc>
          <w:tcPr>
            <w:tcW w:w="4111" w:type="dxa"/>
          </w:tcPr>
          <w:p w14:paraId="6AF79F4A" w14:textId="77777777" w:rsidR="005A28EA" w:rsidRPr="00460E3D" w:rsidRDefault="005A28EA" w:rsidP="005A28EA">
            <w:pPr>
              <w:jc w:val="left"/>
              <w:rPr>
                <w:rFonts w:ascii="Times New Roman" w:hAnsi="Times New Roman"/>
                <w:sz w:val="22"/>
              </w:rPr>
            </w:pPr>
          </w:p>
        </w:tc>
      </w:tr>
    </w:tbl>
    <w:p w14:paraId="723A84A2" w14:textId="77777777"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49FF2D7E"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5D81115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7B198AB" w14:textId="77777777" w:rsidTr="005A28EA">
        <w:tc>
          <w:tcPr>
            <w:tcW w:w="9212" w:type="dxa"/>
          </w:tcPr>
          <w:p w14:paraId="3B822266"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0A6E71F5" w14:textId="77777777" w:rsidR="005A28EA" w:rsidRPr="00460E3D" w:rsidRDefault="005A28EA" w:rsidP="005A28EA">
            <w:pPr>
              <w:jc w:val="left"/>
              <w:rPr>
                <w:rFonts w:ascii="Times New Roman" w:hAnsi="Times New Roman"/>
                <w:sz w:val="22"/>
              </w:rPr>
            </w:pPr>
          </w:p>
          <w:p w14:paraId="4A1681BF" w14:textId="77777777" w:rsidR="005A28EA" w:rsidRPr="00460E3D" w:rsidRDefault="005A28EA" w:rsidP="005A28EA">
            <w:pPr>
              <w:jc w:val="left"/>
              <w:rPr>
                <w:rFonts w:ascii="Times New Roman" w:hAnsi="Times New Roman"/>
                <w:sz w:val="22"/>
              </w:rPr>
            </w:pPr>
          </w:p>
          <w:p w14:paraId="5C7C49A3" w14:textId="77777777" w:rsidR="005A28EA" w:rsidRPr="00460E3D" w:rsidRDefault="005A28EA" w:rsidP="005A28EA">
            <w:pPr>
              <w:jc w:val="left"/>
              <w:rPr>
                <w:rFonts w:ascii="Times New Roman" w:hAnsi="Times New Roman"/>
                <w:sz w:val="22"/>
              </w:rPr>
            </w:pPr>
          </w:p>
          <w:p w14:paraId="2721D679" w14:textId="77777777" w:rsidR="005A28EA" w:rsidRPr="00460E3D" w:rsidRDefault="005A28EA" w:rsidP="005A28EA">
            <w:pPr>
              <w:jc w:val="left"/>
              <w:rPr>
                <w:rFonts w:ascii="Times New Roman" w:hAnsi="Times New Roman"/>
                <w:sz w:val="22"/>
              </w:rPr>
            </w:pPr>
          </w:p>
          <w:p w14:paraId="582D94C8" w14:textId="77777777" w:rsidR="005A28EA" w:rsidRPr="00460E3D" w:rsidRDefault="005A28EA" w:rsidP="005A28EA">
            <w:pPr>
              <w:jc w:val="left"/>
              <w:rPr>
                <w:rFonts w:ascii="Times New Roman" w:hAnsi="Times New Roman"/>
                <w:sz w:val="22"/>
              </w:rPr>
            </w:pPr>
          </w:p>
        </w:tc>
      </w:tr>
    </w:tbl>
    <w:p w14:paraId="233AB40F"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88A79F5" w14:textId="77777777" w:rsidTr="005A28EA">
        <w:tc>
          <w:tcPr>
            <w:tcW w:w="9212" w:type="dxa"/>
            <w:shd w:val="clear" w:color="auto" w:fill="8DB3E2" w:themeFill="text2" w:themeFillTint="66"/>
          </w:tcPr>
          <w:p w14:paraId="1E1A786C" w14:textId="77777777"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14:paraId="7375AB14" w14:textId="77777777" w:rsidR="005A28EA" w:rsidRPr="00460E3D" w:rsidRDefault="005A28EA" w:rsidP="005A28EA">
      <w:pPr>
        <w:jc w:val="left"/>
        <w:rPr>
          <w:rFonts w:eastAsia="Calibri"/>
          <w:sz w:val="22"/>
          <w:szCs w:val="22"/>
          <w:lang w:eastAsia="en-US"/>
        </w:rPr>
      </w:pPr>
    </w:p>
    <w:p w14:paraId="043120DF"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6BC6AF33" w14:textId="77777777" w:rsidR="00C30A7D" w:rsidRPr="00460E3D" w:rsidRDefault="00C30A7D" w:rsidP="005A28EA">
      <w:pPr>
        <w:rPr>
          <w:rFonts w:eastAsia="Calibri"/>
          <w:i/>
          <w:sz w:val="22"/>
          <w:szCs w:val="22"/>
          <w:lang w:eastAsia="en-US"/>
        </w:rPr>
      </w:pPr>
    </w:p>
    <w:p w14:paraId="403C2D77"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6EBB5241" w14:textId="77777777" w:rsidTr="005A28EA">
        <w:tc>
          <w:tcPr>
            <w:tcW w:w="3369" w:type="dxa"/>
            <w:tcBorders>
              <w:bottom w:val="single" w:sz="4" w:space="0" w:color="auto"/>
            </w:tcBorders>
            <w:shd w:val="clear" w:color="auto" w:fill="D6E3BC" w:themeFill="accent3" w:themeFillTint="66"/>
          </w:tcPr>
          <w:p w14:paraId="5FA90479"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21D726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8ADA1A1" w14:textId="77777777" w:rsidTr="005A28EA">
        <w:tc>
          <w:tcPr>
            <w:tcW w:w="9180" w:type="dxa"/>
            <w:gridSpan w:val="2"/>
            <w:shd w:val="pct10" w:color="auto" w:fill="auto"/>
          </w:tcPr>
          <w:p w14:paraId="234F6A4C"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3E482038" w14:textId="77777777" w:rsidTr="005A28EA">
        <w:tc>
          <w:tcPr>
            <w:tcW w:w="3369" w:type="dxa"/>
          </w:tcPr>
          <w:p w14:paraId="781E63EB" w14:textId="77777777" w:rsidR="005A28EA" w:rsidRPr="00460E3D" w:rsidRDefault="005A28EA" w:rsidP="005A28EA">
            <w:pPr>
              <w:jc w:val="left"/>
              <w:rPr>
                <w:rFonts w:ascii="Times New Roman" w:hAnsi="Times New Roman"/>
                <w:sz w:val="22"/>
              </w:rPr>
            </w:pPr>
          </w:p>
        </w:tc>
        <w:tc>
          <w:tcPr>
            <w:tcW w:w="5811" w:type="dxa"/>
          </w:tcPr>
          <w:p w14:paraId="40EC24AF" w14:textId="77777777" w:rsidR="005A28EA" w:rsidRPr="00460E3D" w:rsidRDefault="005A28EA" w:rsidP="005A28EA">
            <w:pPr>
              <w:jc w:val="left"/>
              <w:rPr>
                <w:rFonts w:ascii="Times New Roman" w:hAnsi="Times New Roman"/>
                <w:sz w:val="22"/>
              </w:rPr>
            </w:pPr>
          </w:p>
        </w:tc>
      </w:tr>
      <w:tr w:rsidR="005A28EA" w:rsidRPr="00C0062E" w14:paraId="2420BD48" w14:textId="77777777" w:rsidTr="005A28EA">
        <w:tc>
          <w:tcPr>
            <w:tcW w:w="3369" w:type="dxa"/>
          </w:tcPr>
          <w:p w14:paraId="7008EB98" w14:textId="77777777" w:rsidR="005A28EA" w:rsidRPr="00460E3D" w:rsidRDefault="005A28EA" w:rsidP="005A28EA">
            <w:pPr>
              <w:jc w:val="left"/>
              <w:rPr>
                <w:rFonts w:ascii="Times New Roman" w:hAnsi="Times New Roman"/>
                <w:sz w:val="22"/>
              </w:rPr>
            </w:pPr>
          </w:p>
        </w:tc>
        <w:tc>
          <w:tcPr>
            <w:tcW w:w="5811" w:type="dxa"/>
          </w:tcPr>
          <w:p w14:paraId="21430B99" w14:textId="77777777" w:rsidR="005A28EA" w:rsidRPr="00460E3D" w:rsidRDefault="005A28EA" w:rsidP="005A28EA">
            <w:pPr>
              <w:jc w:val="left"/>
              <w:rPr>
                <w:rFonts w:ascii="Times New Roman" w:hAnsi="Times New Roman"/>
                <w:sz w:val="22"/>
              </w:rPr>
            </w:pPr>
          </w:p>
        </w:tc>
      </w:tr>
      <w:tr w:rsidR="005A28EA" w:rsidRPr="00C0062E" w14:paraId="2E7B42F9" w14:textId="77777777" w:rsidTr="005A28EA">
        <w:tc>
          <w:tcPr>
            <w:tcW w:w="3369" w:type="dxa"/>
          </w:tcPr>
          <w:p w14:paraId="170A3EB0" w14:textId="77777777" w:rsidR="005A28EA" w:rsidRPr="00460E3D" w:rsidRDefault="005A28EA" w:rsidP="005A28EA">
            <w:pPr>
              <w:jc w:val="left"/>
              <w:rPr>
                <w:rFonts w:ascii="Times New Roman" w:hAnsi="Times New Roman"/>
                <w:sz w:val="22"/>
              </w:rPr>
            </w:pPr>
          </w:p>
        </w:tc>
        <w:tc>
          <w:tcPr>
            <w:tcW w:w="5811" w:type="dxa"/>
          </w:tcPr>
          <w:p w14:paraId="7F139D02" w14:textId="77777777" w:rsidR="005A28EA" w:rsidRPr="00460E3D" w:rsidRDefault="005A28EA" w:rsidP="005A28EA">
            <w:pPr>
              <w:jc w:val="left"/>
              <w:rPr>
                <w:rFonts w:ascii="Times New Roman" w:hAnsi="Times New Roman"/>
                <w:sz w:val="22"/>
              </w:rPr>
            </w:pPr>
          </w:p>
        </w:tc>
      </w:tr>
      <w:tr w:rsidR="005A28EA" w:rsidRPr="00C0062E" w14:paraId="2F0369BB" w14:textId="77777777" w:rsidTr="005A28EA">
        <w:tc>
          <w:tcPr>
            <w:tcW w:w="3369" w:type="dxa"/>
          </w:tcPr>
          <w:p w14:paraId="49C51E00" w14:textId="77777777" w:rsidR="005A28EA" w:rsidRPr="00460E3D" w:rsidRDefault="005A28EA" w:rsidP="005A28EA">
            <w:pPr>
              <w:jc w:val="left"/>
              <w:rPr>
                <w:rFonts w:ascii="Times New Roman" w:hAnsi="Times New Roman"/>
                <w:sz w:val="22"/>
              </w:rPr>
            </w:pPr>
          </w:p>
        </w:tc>
        <w:tc>
          <w:tcPr>
            <w:tcW w:w="5811" w:type="dxa"/>
          </w:tcPr>
          <w:p w14:paraId="2A1CD425" w14:textId="77777777" w:rsidR="005A28EA" w:rsidRPr="00460E3D" w:rsidRDefault="005A28EA" w:rsidP="005A28EA">
            <w:pPr>
              <w:jc w:val="left"/>
              <w:rPr>
                <w:rFonts w:ascii="Times New Roman" w:hAnsi="Times New Roman"/>
                <w:sz w:val="22"/>
              </w:rPr>
            </w:pPr>
          </w:p>
        </w:tc>
      </w:tr>
      <w:tr w:rsidR="005A28EA" w:rsidRPr="00C0062E" w14:paraId="25A06B3A" w14:textId="77777777" w:rsidTr="005A28EA">
        <w:tc>
          <w:tcPr>
            <w:tcW w:w="3369" w:type="dxa"/>
          </w:tcPr>
          <w:p w14:paraId="30FC000E" w14:textId="77777777" w:rsidR="005A28EA" w:rsidRPr="00460E3D" w:rsidRDefault="005A28EA" w:rsidP="005A28EA">
            <w:pPr>
              <w:jc w:val="left"/>
              <w:rPr>
                <w:rFonts w:ascii="Times New Roman" w:hAnsi="Times New Roman"/>
                <w:sz w:val="22"/>
              </w:rPr>
            </w:pPr>
          </w:p>
        </w:tc>
        <w:tc>
          <w:tcPr>
            <w:tcW w:w="5811" w:type="dxa"/>
          </w:tcPr>
          <w:p w14:paraId="4E9AD9C0" w14:textId="77777777" w:rsidR="005A28EA" w:rsidRPr="00460E3D" w:rsidRDefault="005A28EA" w:rsidP="005A28EA">
            <w:pPr>
              <w:jc w:val="left"/>
              <w:rPr>
                <w:rFonts w:ascii="Times New Roman" w:hAnsi="Times New Roman"/>
                <w:sz w:val="22"/>
              </w:rPr>
            </w:pPr>
          </w:p>
        </w:tc>
      </w:tr>
      <w:tr w:rsidR="005A28EA" w:rsidRPr="00C0062E" w14:paraId="7D975133" w14:textId="77777777" w:rsidTr="005A28EA">
        <w:tc>
          <w:tcPr>
            <w:tcW w:w="3369" w:type="dxa"/>
          </w:tcPr>
          <w:p w14:paraId="163E46B2" w14:textId="77777777" w:rsidR="005A28EA" w:rsidRPr="00460E3D" w:rsidRDefault="005A28EA" w:rsidP="005A28EA">
            <w:pPr>
              <w:jc w:val="left"/>
              <w:rPr>
                <w:rFonts w:ascii="Times New Roman" w:hAnsi="Times New Roman"/>
                <w:sz w:val="22"/>
              </w:rPr>
            </w:pPr>
          </w:p>
        </w:tc>
        <w:tc>
          <w:tcPr>
            <w:tcW w:w="5811" w:type="dxa"/>
          </w:tcPr>
          <w:p w14:paraId="6E2ADE19" w14:textId="77777777" w:rsidR="005A28EA" w:rsidRPr="00460E3D" w:rsidRDefault="005A28EA" w:rsidP="005A28EA">
            <w:pPr>
              <w:jc w:val="left"/>
              <w:rPr>
                <w:rFonts w:ascii="Times New Roman" w:hAnsi="Times New Roman"/>
                <w:sz w:val="22"/>
              </w:rPr>
            </w:pPr>
          </w:p>
        </w:tc>
      </w:tr>
      <w:tr w:rsidR="005A28EA" w:rsidRPr="00C0062E" w14:paraId="72D39171" w14:textId="77777777" w:rsidTr="005A28EA">
        <w:tc>
          <w:tcPr>
            <w:tcW w:w="3369" w:type="dxa"/>
          </w:tcPr>
          <w:p w14:paraId="311315ED" w14:textId="77777777" w:rsidR="005A28EA" w:rsidRPr="00460E3D" w:rsidRDefault="005A28EA" w:rsidP="005A28EA">
            <w:pPr>
              <w:jc w:val="left"/>
              <w:rPr>
                <w:rFonts w:ascii="Times New Roman" w:hAnsi="Times New Roman"/>
                <w:sz w:val="22"/>
              </w:rPr>
            </w:pPr>
          </w:p>
        </w:tc>
        <w:tc>
          <w:tcPr>
            <w:tcW w:w="5811" w:type="dxa"/>
          </w:tcPr>
          <w:p w14:paraId="443CFD70" w14:textId="77777777" w:rsidR="005A28EA" w:rsidRPr="00460E3D" w:rsidRDefault="005A28EA" w:rsidP="005A28EA">
            <w:pPr>
              <w:jc w:val="left"/>
              <w:rPr>
                <w:rFonts w:ascii="Times New Roman" w:hAnsi="Times New Roman"/>
                <w:sz w:val="22"/>
              </w:rPr>
            </w:pPr>
          </w:p>
        </w:tc>
      </w:tr>
    </w:tbl>
    <w:p w14:paraId="397FA180" w14:textId="77777777" w:rsidR="005A28EA" w:rsidRPr="00460E3D" w:rsidRDefault="005A28EA" w:rsidP="005A28EA">
      <w:pPr>
        <w:jc w:val="left"/>
        <w:rPr>
          <w:rFonts w:eastAsia="Calibri"/>
          <w:sz w:val="22"/>
          <w:szCs w:val="22"/>
          <w:lang w:eastAsia="en-US"/>
        </w:rPr>
      </w:pPr>
    </w:p>
    <w:p w14:paraId="7063724E"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7D80F660" w14:textId="77777777" w:rsidTr="005A28EA">
        <w:tc>
          <w:tcPr>
            <w:tcW w:w="9212" w:type="dxa"/>
          </w:tcPr>
          <w:p w14:paraId="32250D2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527568F4" w14:textId="77777777" w:rsidR="005A28EA" w:rsidRPr="00460E3D" w:rsidRDefault="005A28EA" w:rsidP="005A28EA">
            <w:pPr>
              <w:jc w:val="left"/>
              <w:rPr>
                <w:rFonts w:ascii="Times New Roman" w:hAnsi="Times New Roman"/>
                <w:i/>
                <w:sz w:val="22"/>
              </w:rPr>
            </w:pPr>
          </w:p>
          <w:p w14:paraId="7D483ACB" w14:textId="77777777" w:rsidR="005A28EA" w:rsidRPr="00460E3D" w:rsidRDefault="005A28EA" w:rsidP="005A28EA">
            <w:pPr>
              <w:jc w:val="left"/>
              <w:rPr>
                <w:rFonts w:ascii="Times New Roman" w:hAnsi="Times New Roman"/>
                <w:i/>
                <w:sz w:val="22"/>
              </w:rPr>
            </w:pPr>
          </w:p>
          <w:p w14:paraId="57047C00" w14:textId="77777777" w:rsidR="005A28EA" w:rsidRPr="00460E3D" w:rsidRDefault="005A28EA" w:rsidP="005A28EA">
            <w:pPr>
              <w:jc w:val="left"/>
              <w:rPr>
                <w:rFonts w:ascii="Times New Roman" w:hAnsi="Times New Roman"/>
                <w:sz w:val="22"/>
              </w:rPr>
            </w:pPr>
          </w:p>
          <w:p w14:paraId="6215E863" w14:textId="77777777" w:rsidR="005A28EA" w:rsidRPr="00460E3D" w:rsidRDefault="005A28EA" w:rsidP="005A28EA">
            <w:pPr>
              <w:jc w:val="left"/>
              <w:rPr>
                <w:rFonts w:ascii="Times New Roman" w:hAnsi="Times New Roman"/>
                <w:sz w:val="22"/>
              </w:rPr>
            </w:pPr>
          </w:p>
        </w:tc>
      </w:tr>
    </w:tbl>
    <w:p w14:paraId="5778CDF7" w14:textId="77777777" w:rsidR="005A28EA" w:rsidRPr="00460E3D" w:rsidRDefault="005A28EA" w:rsidP="005A28EA">
      <w:pPr>
        <w:jc w:val="left"/>
        <w:rPr>
          <w:rFonts w:eastAsia="Calibri"/>
          <w:sz w:val="22"/>
          <w:szCs w:val="22"/>
          <w:lang w:eastAsia="en-US"/>
        </w:rPr>
      </w:pPr>
    </w:p>
    <w:p w14:paraId="508257C5"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B68EDC3" w14:textId="77777777" w:rsidTr="005A28EA">
        <w:tc>
          <w:tcPr>
            <w:tcW w:w="9212" w:type="dxa"/>
            <w:shd w:val="clear" w:color="auto" w:fill="8DB3E2" w:themeFill="text2" w:themeFillTint="66"/>
          </w:tcPr>
          <w:p w14:paraId="336DEEA5" w14:textId="77777777"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14:paraId="2375FFB3" w14:textId="77777777" w:rsidR="005A28EA" w:rsidRPr="00460E3D" w:rsidRDefault="005A28EA" w:rsidP="005A28EA">
      <w:pPr>
        <w:ind w:left="720"/>
        <w:jc w:val="left"/>
        <w:rPr>
          <w:rFonts w:eastAsia="Calibri"/>
          <w:b/>
          <w:sz w:val="22"/>
          <w:szCs w:val="22"/>
          <w:lang w:eastAsia="en-US"/>
        </w:rPr>
      </w:pPr>
    </w:p>
    <w:p w14:paraId="2E399B25" w14:textId="77777777" w:rsidR="00A02492" w:rsidRPr="00460E3D" w:rsidRDefault="00A02492" w:rsidP="00A02492">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0D3980AD"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0"/>
        <w:gridCol w:w="6430"/>
      </w:tblGrid>
      <w:tr w:rsidR="005A28EA" w:rsidRPr="00C0062E" w14:paraId="5757FF32" w14:textId="77777777" w:rsidTr="00890013">
        <w:tc>
          <w:tcPr>
            <w:tcW w:w="2630" w:type="dxa"/>
            <w:shd w:val="clear" w:color="auto" w:fill="B6DDE8" w:themeFill="accent5" w:themeFillTint="66"/>
          </w:tcPr>
          <w:p w14:paraId="720A1EF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430" w:type="dxa"/>
            <w:shd w:val="clear" w:color="auto" w:fill="B6DDE8" w:themeFill="accent5" w:themeFillTint="66"/>
          </w:tcPr>
          <w:p w14:paraId="09532FA8"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7348A1C2" w14:textId="77777777" w:rsidTr="00890013">
        <w:tc>
          <w:tcPr>
            <w:tcW w:w="2630" w:type="dxa"/>
          </w:tcPr>
          <w:p w14:paraId="65E5FFB9" w14:textId="77777777" w:rsidR="005A28EA" w:rsidRPr="00460E3D" w:rsidRDefault="005A28EA" w:rsidP="005A28EA">
            <w:pPr>
              <w:jc w:val="left"/>
              <w:rPr>
                <w:rFonts w:ascii="Times New Roman" w:hAnsi="Times New Roman"/>
                <w:sz w:val="22"/>
              </w:rPr>
            </w:pPr>
            <w:r w:rsidRPr="00C0062E">
              <w:rPr>
                <w:sz w:val="22"/>
              </w:rPr>
              <w:t>Faux prélèvement</w:t>
            </w:r>
          </w:p>
        </w:tc>
        <w:tc>
          <w:tcPr>
            <w:tcW w:w="6430" w:type="dxa"/>
          </w:tcPr>
          <w:p w14:paraId="0BFD1E61" w14:textId="77777777" w:rsidR="00890013" w:rsidRDefault="00A02492" w:rsidP="005A28EA">
            <w:pPr>
              <w:rPr>
                <w:sz w:val="22"/>
              </w:rPr>
            </w:pPr>
            <w:r w:rsidRPr="00EB6D95">
              <w:rPr>
                <w:sz w:val="22"/>
              </w:rPr>
              <w:t>Le fraudeur créancier émet des prélèvements vers des numéros de compte qu’il a obtenus illégalement et sans aucune autorisation ou réalité économique sous-jacente (« opération de paiement non autorisée » dans la terminologie de l’ABE).</w:t>
            </w:r>
            <w:bookmarkStart w:id="254" w:name="_GoBack"/>
            <w:bookmarkEnd w:id="254"/>
          </w:p>
          <w:p w14:paraId="0FC96CC6" w14:textId="71600718"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14:paraId="5A7A2889" w14:textId="77777777" w:rsidR="005A28EA" w:rsidRDefault="005A28EA" w:rsidP="00460E3D">
            <w:pPr>
              <w:rPr>
                <w:sz w:val="22"/>
              </w:rPr>
            </w:pPr>
            <w:r w:rsidRPr="00C0062E">
              <w:rPr>
                <w:sz w:val="22"/>
              </w:rPr>
              <w:t>Exemple 2 : le créancier émet des prélèvements non autorisés après avoir obtenu les coordonnées bancaires du débiteur grâce à un produit d’appel servant « d’hameçon » (seulement un débit autorisé).</w:t>
            </w:r>
          </w:p>
          <w:p w14:paraId="3D5EA765" w14:textId="7972E523" w:rsidR="00A02492" w:rsidRPr="00460E3D" w:rsidRDefault="00A02492" w:rsidP="00460E3D">
            <w:pPr>
              <w:rPr>
                <w:rFonts w:ascii="Times New Roman" w:hAnsi="Times New Roman"/>
                <w:sz w:val="22"/>
              </w:rPr>
            </w:pPr>
            <w:r>
              <w:rPr>
                <w:sz w:val="22"/>
              </w:rPr>
              <w:t xml:space="preserve">Exemple 3 : </w:t>
            </w:r>
            <w:r w:rsidRPr="00C0062E">
              <w:rPr>
                <w:sz w:val="22"/>
              </w:rPr>
              <w:t>Le créancier émet sciemment des prélèvements déjà émis (qui ont soit déjà été réglé,</w:t>
            </w:r>
            <w:r>
              <w:rPr>
                <w:sz w:val="22"/>
              </w:rPr>
              <w:t xml:space="preserve"> soit </w:t>
            </w:r>
            <w:r w:rsidRPr="00C0062E">
              <w:rPr>
                <w:sz w:val="22"/>
              </w:rPr>
              <w:t>fait l’objet de rejets pour op</w:t>
            </w:r>
            <w:r>
              <w:rPr>
                <w:sz w:val="22"/>
              </w:rPr>
              <w:t>position du débiteur</w:t>
            </w:r>
            <w:r w:rsidRPr="00C0062E">
              <w:rPr>
                <w:sz w:val="22"/>
              </w:rPr>
              <w:t>).</w:t>
            </w:r>
          </w:p>
        </w:tc>
      </w:tr>
      <w:tr w:rsidR="005A28EA" w:rsidRPr="00C0062E" w14:paraId="15A11E52" w14:textId="77777777" w:rsidTr="00890013">
        <w:tc>
          <w:tcPr>
            <w:tcW w:w="2630" w:type="dxa"/>
          </w:tcPr>
          <w:p w14:paraId="44728809" w14:textId="77777777" w:rsidR="005A28EA" w:rsidRPr="00460E3D" w:rsidRDefault="005A28EA" w:rsidP="005A28EA">
            <w:pPr>
              <w:jc w:val="left"/>
              <w:rPr>
                <w:rFonts w:ascii="Times New Roman" w:hAnsi="Times New Roman"/>
                <w:sz w:val="22"/>
              </w:rPr>
            </w:pPr>
            <w:r w:rsidRPr="00C0062E">
              <w:rPr>
                <w:sz w:val="22"/>
              </w:rPr>
              <w:t>Détournement</w:t>
            </w:r>
          </w:p>
        </w:tc>
        <w:tc>
          <w:tcPr>
            <w:tcW w:w="6430" w:type="dxa"/>
          </w:tcPr>
          <w:p w14:paraId="5EF26F35" w14:textId="67D73300" w:rsidR="005A28EA" w:rsidRPr="00460E3D" w:rsidRDefault="00A02492">
            <w:pPr>
              <w:rPr>
                <w:rFonts w:ascii="Times New Roman" w:hAnsi="Times New Roman"/>
                <w:sz w:val="22"/>
              </w:rPr>
            </w:pPr>
            <w:r w:rsidRPr="00EB6D95">
              <w:rPr>
                <w:sz w:val="22"/>
              </w:rPr>
              <w:t>Le fraudeur débiteur usurpe l’identité et l’IBAN d’un tiers pour la signature d’un mandat de prélèvement sur un compte qui n’est pas le sien (« manipulation du payeur par le fraudeur » dans la terminologie de l’ABE).</w:t>
            </w:r>
            <w:r w:rsidR="005A28EA" w:rsidRPr="00C0062E">
              <w:rPr>
                <w:sz w:val="22"/>
              </w:rPr>
              <w:t xml:space="preserve"> </w:t>
            </w:r>
          </w:p>
        </w:tc>
      </w:tr>
    </w:tbl>
    <w:p w14:paraId="3EDC0E79" w14:textId="77777777" w:rsidR="005A28EA" w:rsidRPr="00460E3D" w:rsidRDefault="005A28EA" w:rsidP="005A28EA">
      <w:pPr>
        <w:jc w:val="left"/>
        <w:rPr>
          <w:rFonts w:eastAsia="Calibri"/>
          <w:b/>
          <w:sz w:val="22"/>
          <w:szCs w:val="22"/>
          <w:lang w:eastAsia="en-US"/>
        </w:rPr>
      </w:pPr>
    </w:p>
    <w:p w14:paraId="1B2419D1"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14:paraId="52FF22F1"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20EC6459"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1"/>
        <w:gridCol w:w="6143"/>
      </w:tblGrid>
      <w:tr w:rsidR="005A28EA" w:rsidRPr="00C0062E" w14:paraId="6176D5B1" w14:textId="77777777" w:rsidTr="005A28EA">
        <w:tc>
          <w:tcPr>
            <w:tcW w:w="2977" w:type="dxa"/>
            <w:shd w:val="clear" w:color="auto" w:fill="F2DBDB" w:themeFill="accent2" w:themeFillTint="33"/>
          </w:tcPr>
          <w:p w14:paraId="27D27A48"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0A9EEBA"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223835DB" w14:textId="77777777" w:rsidR="005A28EA" w:rsidRPr="00460E3D" w:rsidRDefault="005A28EA" w:rsidP="005A28EA">
            <w:pPr>
              <w:jc w:val="left"/>
              <w:rPr>
                <w:rFonts w:ascii="Times New Roman" w:hAnsi="Times New Roman"/>
                <w:szCs w:val="24"/>
              </w:rPr>
            </w:pPr>
          </w:p>
        </w:tc>
      </w:tr>
      <w:tr w:rsidR="005A28EA" w:rsidRPr="00C0062E" w14:paraId="02E96F2C" w14:textId="77777777" w:rsidTr="005A28EA">
        <w:tc>
          <w:tcPr>
            <w:tcW w:w="2977" w:type="dxa"/>
            <w:shd w:val="clear" w:color="auto" w:fill="F2DBDB" w:themeFill="accent2" w:themeFillTint="33"/>
          </w:tcPr>
          <w:p w14:paraId="26F0DDEA"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017E221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5EEE9C27" w14:textId="77777777" w:rsidR="005A28EA" w:rsidRPr="00460E3D" w:rsidRDefault="005A28EA" w:rsidP="005A28EA">
            <w:pPr>
              <w:jc w:val="left"/>
              <w:rPr>
                <w:rFonts w:ascii="Times New Roman" w:hAnsi="Times New Roman"/>
                <w:szCs w:val="24"/>
              </w:rPr>
            </w:pPr>
          </w:p>
        </w:tc>
      </w:tr>
    </w:tbl>
    <w:p w14:paraId="505A923F" w14:textId="77777777" w:rsidR="005A28EA" w:rsidRPr="00460E3D" w:rsidRDefault="005A28EA" w:rsidP="005A28EA">
      <w:pPr>
        <w:ind w:left="360"/>
        <w:jc w:val="left"/>
        <w:rPr>
          <w:rFonts w:eastAsia="Calibri"/>
          <w:szCs w:val="24"/>
          <w:lang w:eastAsia="en-US"/>
        </w:rPr>
      </w:pPr>
    </w:p>
    <w:p w14:paraId="3DA95B9F"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252CC059"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0DBEB27" w14:textId="77777777" w:rsidR="005A28EA" w:rsidRPr="00460E3D" w:rsidRDefault="005A28EA" w:rsidP="005A28EA">
      <w:pPr>
        <w:jc w:val="left"/>
        <w:rPr>
          <w:rFonts w:eastAsia="Calibri"/>
          <w:sz w:val="22"/>
          <w:szCs w:val="22"/>
          <w:lang w:eastAsia="en-US"/>
        </w:rPr>
      </w:pPr>
    </w:p>
    <w:p w14:paraId="4FD90252"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533AE4BF"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54DEF231" w14:textId="77777777" w:rsidTr="00890013">
        <w:tc>
          <w:tcPr>
            <w:tcW w:w="2077" w:type="dxa"/>
            <w:shd w:val="clear" w:color="auto" w:fill="D6E3BC" w:themeFill="accent3" w:themeFillTint="66"/>
            <w:vAlign w:val="center"/>
          </w:tcPr>
          <w:p w14:paraId="15664EE1" w14:textId="77777777" w:rsidR="005A28EA" w:rsidRPr="00460E3D" w:rsidRDefault="005A28EA">
            <w:pPr>
              <w:jc w:val="center"/>
              <w:rPr>
                <w:rFonts w:ascii="Times New Roman" w:hAnsi="Times New Roman"/>
                <w:b/>
                <w:sz w:val="22"/>
              </w:rPr>
            </w:pPr>
            <w:r w:rsidRPr="00C0062E">
              <w:rPr>
                <w:b/>
                <w:sz w:val="22"/>
              </w:rPr>
              <w:t>Typologie de fraude</w:t>
            </w:r>
          </w:p>
        </w:tc>
        <w:tc>
          <w:tcPr>
            <w:tcW w:w="1687" w:type="dxa"/>
            <w:shd w:val="clear" w:color="auto" w:fill="D6E3BC" w:themeFill="accent3" w:themeFillTint="66"/>
            <w:vAlign w:val="center"/>
          </w:tcPr>
          <w:p w14:paraId="10ECB8E6"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296" w:type="dxa"/>
            <w:shd w:val="clear" w:color="auto" w:fill="D6E3BC" w:themeFill="accent3" w:themeFillTint="66"/>
            <w:vAlign w:val="center"/>
          </w:tcPr>
          <w:p w14:paraId="647E1B01"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782457A" w14:textId="77777777" w:rsidTr="00890013">
        <w:tc>
          <w:tcPr>
            <w:tcW w:w="2077" w:type="dxa"/>
          </w:tcPr>
          <w:p w14:paraId="07FE332C" w14:textId="77777777" w:rsidR="005A28EA" w:rsidRPr="00460E3D" w:rsidRDefault="005A28EA" w:rsidP="005A28EA">
            <w:pPr>
              <w:jc w:val="left"/>
              <w:rPr>
                <w:rFonts w:ascii="Times New Roman" w:hAnsi="Times New Roman"/>
                <w:sz w:val="22"/>
              </w:rPr>
            </w:pPr>
            <w:r w:rsidRPr="00C0062E">
              <w:rPr>
                <w:sz w:val="22"/>
              </w:rPr>
              <w:t>Faux prélèvement</w:t>
            </w:r>
          </w:p>
        </w:tc>
        <w:tc>
          <w:tcPr>
            <w:tcW w:w="1687" w:type="dxa"/>
          </w:tcPr>
          <w:p w14:paraId="3DFDCBA4" w14:textId="77777777" w:rsidR="005A28EA" w:rsidRPr="00460E3D" w:rsidRDefault="005A28EA" w:rsidP="005A28EA">
            <w:pPr>
              <w:jc w:val="left"/>
              <w:rPr>
                <w:rFonts w:ascii="Times New Roman" w:hAnsi="Times New Roman"/>
                <w:b/>
                <w:sz w:val="22"/>
              </w:rPr>
            </w:pPr>
          </w:p>
        </w:tc>
        <w:tc>
          <w:tcPr>
            <w:tcW w:w="5296" w:type="dxa"/>
          </w:tcPr>
          <w:p w14:paraId="4C7A364F" w14:textId="77777777" w:rsidR="005A28EA" w:rsidRPr="00460E3D" w:rsidRDefault="005A28EA" w:rsidP="005A28EA">
            <w:pPr>
              <w:jc w:val="left"/>
              <w:rPr>
                <w:rFonts w:ascii="Times New Roman" w:hAnsi="Times New Roman"/>
                <w:b/>
                <w:sz w:val="22"/>
              </w:rPr>
            </w:pPr>
          </w:p>
        </w:tc>
      </w:tr>
      <w:tr w:rsidR="005A28EA" w:rsidRPr="00C0062E" w14:paraId="138A27B7" w14:textId="77777777" w:rsidTr="00890013">
        <w:tc>
          <w:tcPr>
            <w:tcW w:w="2077" w:type="dxa"/>
          </w:tcPr>
          <w:p w14:paraId="2BB00574" w14:textId="77777777" w:rsidR="005A28EA" w:rsidRPr="00460E3D" w:rsidRDefault="005A28EA" w:rsidP="005A28EA">
            <w:pPr>
              <w:jc w:val="left"/>
              <w:rPr>
                <w:rFonts w:ascii="Times New Roman" w:hAnsi="Times New Roman"/>
                <w:sz w:val="22"/>
              </w:rPr>
            </w:pPr>
            <w:r w:rsidRPr="00C0062E">
              <w:rPr>
                <w:sz w:val="22"/>
              </w:rPr>
              <w:t>Détournement</w:t>
            </w:r>
          </w:p>
        </w:tc>
        <w:tc>
          <w:tcPr>
            <w:tcW w:w="1687" w:type="dxa"/>
          </w:tcPr>
          <w:p w14:paraId="1ACE0C75" w14:textId="77777777" w:rsidR="005A28EA" w:rsidRPr="00460E3D" w:rsidRDefault="005A28EA" w:rsidP="005A28EA">
            <w:pPr>
              <w:jc w:val="left"/>
              <w:rPr>
                <w:rFonts w:ascii="Times New Roman" w:hAnsi="Times New Roman"/>
                <w:b/>
                <w:sz w:val="22"/>
              </w:rPr>
            </w:pPr>
          </w:p>
        </w:tc>
        <w:tc>
          <w:tcPr>
            <w:tcW w:w="5296" w:type="dxa"/>
          </w:tcPr>
          <w:p w14:paraId="6DC0ABC2" w14:textId="77777777" w:rsidR="005A28EA" w:rsidRPr="00460E3D" w:rsidRDefault="005A28EA" w:rsidP="005A28EA">
            <w:pPr>
              <w:jc w:val="left"/>
              <w:rPr>
                <w:rFonts w:ascii="Times New Roman" w:hAnsi="Times New Roman"/>
                <w:b/>
                <w:sz w:val="22"/>
              </w:rPr>
            </w:pPr>
          </w:p>
        </w:tc>
      </w:tr>
    </w:tbl>
    <w:p w14:paraId="789D56DF" w14:textId="77777777" w:rsidR="005A28EA" w:rsidRPr="00460E3D" w:rsidRDefault="005A28EA" w:rsidP="005A28EA">
      <w:pPr>
        <w:ind w:left="1418"/>
        <w:jc w:val="left"/>
        <w:rPr>
          <w:rFonts w:eastAsia="Calibri"/>
          <w:b/>
          <w:sz w:val="22"/>
          <w:szCs w:val="22"/>
          <w:lang w:eastAsia="en-US"/>
        </w:rPr>
      </w:pPr>
    </w:p>
    <w:p w14:paraId="471A9A3A"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629B8E97"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366D9301" w14:textId="77777777" w:rsidTr="00890013">
        <w:tc>
          <w:tcPr>
            <w:tcW w:w="2077" w:type="dxa"/>
            <w:shd w:val="clear" w:color="auto" w:fill="D6E3BC" w:themeFill="accent3" w:themeFillTint="66"/>
            <w:vAlign w:val="center"/>
          </w:tcPr>
          <w:p w14:paraId="04BA29CD" w14:textId="77777777" w:rsidR="005A28EA" w:rsidRPr="00460E3D" w:rsidRDefault="005A28EA">
            <w:pPr>
              <w:jc w:val="center"/>
              <w:rPr>
                <w:rFonts w:ascii="Times New Roman" w:hAnsi="Times New Roman"/>
                <w:b/>
                <w:sz w:val="22"/>
              </w:rPr>
            </w:pPr>
            <w:r w:rsidRPr="00C0062E">
              <w:rPr>
                <w:b/>
                <w:sz w:val="22"/>
              </w:rPr>
              <w:t>Typologie de fraude</w:t>
            </w:r>
          </w:p>
        </w:tc>
        <w:tc>
          <w:tcPr>
            <w:tcW w:w="1687" w:type="dxa"/>
            <w:shd w:val="clear" w:color="auto" w:fill="D6E3BC" w:themeFill="accent3" w:themeFillTint="66"/>
            <w:vAlign w:val="center"/>
          </w:tcPr>
          <w:p w14:paraId="74E24302"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296" w:type="dxa"/>
            <w:shd w:val="clear" w:color="auto" w:fill="D6E3BC" w:themeFill="accent3" w:themeFillTint="66"/>
            <w:vAlign w:val="center"/>
          </w:tcPr>
          <w:p w14:paraId="2731A401"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3CDDC33F" w14:textId="77777777" w:rsidTr="00890013">
        <w:tc>
          <w:tcPr>
            <w:tcW w:w="2077" w:type="dxa"/>
          </w:tcPr>
          <w:p w14:paraId="24AD62A2" w14:textId="77777777" w:rsidR="005A28EA" w:rsidRPr="00460E3D" w:rsidRDefault="005A28EA" w:rsidP="005A28EA">
            <w:pPr>
              <w:jc w:val="left"/>
              <w:rPr>
                <w:rFonts w:ascii="Times New Roman" w:hAnsi="Times New Roman"/>
                <w:sz w:val="22"/>
              </w:rPr>
            </w:pPr>
            <w:r w:rsidRPr="00C0062E">
              <w:rPr>
                <w:sz w:val="22"/>
              </w:rPr>
              <w:t>Faux prélèvement</w:t>
            </w:r>
          </w:p>
        </w:tc>
        <w:tc>
          <w:tcPr>
            <w:tcW w:w="1687" w:type="dxa"/>
          </w:tcPr>
          <w:p w14:paraId="2AADAF74" w14:textId="77777777" w:rsidR="005A28EA" w:rsidRPr="00460E3D" w:rsidRDefault="005A28EA" w:rsidP="005A28EA">
            <w:pPr>
              <w:jc w:val="left"/>
              <w:rPr>
                <w:rFonts w:ascii="Times New Roman" w:hAnsi="Times New Roman"/>
                <w:b/>
                <w:sz w:val="22"/>
              </w:rPr>
            </w:pPr>
          </w:p>
        </w:tc>
        <w:tc>
          <w:tcPr>
            <w:tcW w:w="5296" w:type="dxa"/>
          </w:tcPr>
          <w:p w14:paraId="6430BD5F" w14:textId="77777777" w:rsidR="005A28EA" w:rsidRPr="00460E3D" w:rsidRDefault="005A28EA" w:rsidP="005A28EA">
            <w:pPr>
              <w:jc w:val="left"/>
              <w:rPr>
                <w:rFonts w:ascii="Times New Roman" w:hAnsi="Times New Roman"/>
                <w:b/>
                <w:sz w:val="22"/>
              </w:rPr>
            </w:pPr>
          </w:p>
        </w:tc>
      </w:tr>
      <w:tr w:rsidR="005A28EA" w:rsidRPr="00C0062E" w14:paraId="6A467C5C" w14:textId="77777777" w:rsidTr="00890013">
        <w:tc>
          <w:tcPr>
            <w:tcW w:w="2077" w:type="dxa"/>
          </w:tcPr>
          <w:p w14:paraId="22982AA5" w14:textId="77777777" w:rsidR="005A28EA" w:rsidRPr="00460E3D" w:rsidRDefault="005A28EA" w:rsidP="005A28EA">
            <w:pPr>
              <w:jc w:val="left"/>
              <w:rPr>
                <w:rFonts w:ascii="Times New Roman" w:hAnsi="Times New Roman"/>
                <w:sz w:val="22"/>
              </w:rPr>
            </w:pPr>
            <w:r w:rsidRPr="00C0062E">
              <w:rPr>
                <w:sz w:val="22"/>
              </w:rPr>
              <w:t>Détournement</w:t>
            </w:r>
          </w:p>
        </w:tc>
        <w:tc>
          <w:tcPr>
            <w:tcW w:w="1687" w:type="dxa"/>
          </w:tcPr>
          <w:p w14:paraId="42A8BEDA" w14:textId="77777777" w:rsidR="005A28EA" w:rsidRPr="00460E3D" w:rsidRDefault="005A28EA" w:rsidP="005A28EA">
            <w:pPr>
              <w:jc w:val="left"/>
              <w:rPr>
                <w:rFonts w:ascii="Times New Roman" w:hAnsi="Times New Roman"/>
                <w:b/>
                <w:sz w:val="22"/>
              </w:rPr>
            </w:pPr>
          </w:p>
        </w:tc>
        <w:tc>
          <w:tcPr>
            <w:tcW w:w="5296" w:type="dxa"/>
          </w:tcPr>
          <w:p w14:paraId="5EAE92E6" w14:textId="77777777" w:rsidR="005A28EA" w:rsidRPr="00460E3D" w:rsidRDefault="005A28EA" w:rsidP="005A28EA">
            <w:pPr>
              <w:jc w:val="left"/>
              <w:rPr>
                <w:rFonts w:ascii="Times New Roman" w:hAnsi="Times New Roman"/>
                <w:b/>
                <w:sz w:val="22"/>
              </w:rPr>
            </w:pPr>
          </w:p>
        </w:tc>
      </w:tr>
    </w:tbl>
    <w:p w14:paraId="709B5E2C" w14:textId="77777777" w:rsidR="005A28EA" w:rsidRPr="00460E3D" w:rsidRDefault="005A28EA" w:rsidP="005A28EA">
      <w:pPr>
        <w:ind w:left="720"/>
        <w:jc w:val="left"/>
        <w:rPr>
          <w:rFonts w:eastAsia="Calibri"/>
          <w:b/>
          <w:sz w:val="22"/>
          <w:szCs w:val="22"/>
          <w:lang w:eastAsia="en-US"/>
        </w:rPr>
      </w:pPr>
    </w:p>
    <w:p w14:paraId="1378A0F8"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15C4128D"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1E087781" w14:textId="77777777" w:rsidR="005A28EA" w:rsidRPr="00460E3D" w:rsidRDefault="005A28EA" w:rsidP="005A28EA">
      <w:pPr>
        <w:jc w:val="left"/>
        <w:rPr>
          <w:rFonts w:eastAsia="Calibri"/>
          <w:b/>
          <w:sz w:val="22"/>
          <w:szCs w:val="22"/>
          <w:lang w:eastAsia="en-US"/>
        </w:rPr>
      </w:pPr>
    </w:p>
    <w:p w14:paraId="45DD3FE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53E8F83A"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779DC4A2" w14:textId="77777777" w:rsidTr="005A28EA">
        <w:tc>
          <w:tcPr>
            <w:tcW w:w="2376" w:type="dxa"/>
            <w:shd w:val="clear" w:color="auto" w:fill="D6E3BC" w:themeFill="accent3" w:themeFillTint="66"/>
            <w:vAlign w:val="center"/>
          </w:tcPr>
          <w:p w14:paraId="2B87A037"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0D1A1AFA"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3D8996C0"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2692AD9"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094D33E5" w14:textId="77777777" w:rsidTr="005A28EA">
        <w:tc>
          <w:tcPr>
            <w:tcW w:w="2376" w:type="dxa"/>
          </w:tcPr>
          <w:p w14:paraId="7A8D7A14" w14:textId="77777777" w:rsidR="005A28EA" w:rsidRPr="00460E3D" w:rsidRDefault="005A28EA" w:rsidP="005A28EA">
            <w:pPr>
              <w:jc w:val="left"/>
              <w:rPr>
                <w:rFonts w:ascii="Times New Roman" w:hAnsi="Times New Roman"/>
                <w:b/>
                <w:sz w:val="22"/>
              </w:rPr>
            </w:pPr>
          </w:p>
        </w:tc>
        <w:tc>
          <w:tcPr>
            <w:tcW w:w="1985" w:type="dxa"/>
          </w:tcPr>
          <w:p w14:paraId="20913B97" w14:textId="77777777" w:rsidR="005A28EA" w:rsidRPr="00460E3D" w:rsidRDefault="005A28EA" w:rsidP="005A28EA">
            <w:pPr>
              <w:jc w:val="left"/>
              <w:rPr>
                <w:rFonts w:ascii="Times New Roman" w:hAnsi="Times New Roman"/>
                <w:b/>
                <w:sz w:val="22"/>
              </w:rPr>
            </w:pPr>
          </w:p>
        </w:tc>
        <w:tc>
          <w:tcPr>
            <w:tcW w:w="4851" w:type="dxa"/>
          </w:tcPr>
          <w:p w14:paraId="7EA7E01A" w14:textId="77777777" w:rsidR="005A28EA" w:rsidRPr="00460E3D" w:rsidRDefault="005A28EA" w:rsidP="005A28EA">
            <w:pPr>
              <w:jc w:val="left"/>
              <w:rPr>
                <w:rFonts w:ascii="Times New Roman" w:hAnsi="Times New Roman"/>
                <w:b/>
                <w:sz w:val="22"/>
              </w:rPr>
            </w:pPr>
          </w:p>
        </w:tc>
      </w:tr>
      <w:tr w:rsidR="005A28EA" w:rsidRPr="00C0062E" w14:paraId="4AE6F2EA" w14:textId="77777777" w:rsidTr="005A28EA">
        <w:tc>
          <w:tcPr>
            <w:tcW w:w="2376" w:type="dxa"/>
          </w:tcPr>
          <w:p w14:paraId="71CC81C6" w14:textId="77777777" w:rsidR="005A28EA" w:rsidRPr="00460E3D" w:rsidRDefault="005A28EA" w:rsidP="005A28EA">
            <w:pPr>
              <w:jc w:val="left"/>
              <w:rPr>
                <w:rFonts w:ascii="Times New Roman" w:hAnsi="Times New Roman"/>
                <w:b/>
                <w:sz w:val="22"/>
              </w:rPr>
            </w:pPr>
          </w:p>
        </w:tc>
        <w:tc>
          <w:tcPr>
            <w:tcW w:w="1985" w:type="dxa"/>
          </w:tcPr>
          <w:p w14:paraId="4D9B81DD" w14:textId="77777777" w:rsidR="005A28EA" w:rsidRPr="00460E3D" w:rsidRDefault="005A28EA" w:rsidP="005A28EA">
            <w:pPr>
              <w:jc w:val="left"/>
              <w:rPr>
                <w:rFonts w:ascii="Times New Roman" w:hAnsi="Times New Roman"/>
                <w:b/>
                <w:sz w:val="22"/>
              </w:rPr>
            </w:pPr>
          </w:p>
        </w:tc>
        <w:tc>
          <w:tcPr>
            <w:tcW w:w="4851" w:type="dxa"/>
          </w:tcPr>
          <w:p w14:paraId="61D1DBB7" w14:textId="77777777" w:rsidR="005A28EA" w:rsidRPr="00460E3D" w:rsidRDefault="005A28EA" w:rsidP="005A28EA">
            <w:pPr>
              <w:jc w:val="left"/>
              <w:rPr>
                <w:rFonts w:ascii="Times New Roman" w:hAnsi="Times New Roman"/>
                <w:b/>
                <w:sz w:val="22"/>
              </w:rPr>
            </w:pPr>
          </w:p>
        </w:tc>
      </w:tr>
      <w:tr w:rsidR="005A28EA" w:rsidRPr="00C0062E" w14:paraId="6408C378" w14:textId="77777777" w:rsidTr="005A28EA">
        <w:tc>
          <w:tcPr>
            <w:tcW w:w="2376" w:type="dxa"/>
          </w:tcPr>
          <w:p w14:paraId="1901E961" w14:textId="77777777" w:rsidR="005A28EA" w:rsidRPr="00460E3D" w:rsidRDefault="005A28EA" w:rsidP="005A28EA">
            <w:pPr>
              <w:jc w:val="left"/>
              <w:rPr>
                <w:rFonts w:ascii="Times New Roman" w:hAnsi="Times New Roman"/>
                <w:b/>
                <w:sz w:val="22"/>
              </w:rPr>
            </w:pPr>
          </w:p>
        </w:tc>
        <w:tc>
          <w:tcPr>
            <w:tcW w:w="1985" w:type="dxa"/>
          </w:tcPr>
          <w:p w14:paraId="7962F711" w14:textId="77777777" w:rsidR="005A28EA" w:rsidRPr="00460E3D" w:rsidRDefault="005A28EA" w:rsidP="005A28EA">
            <w:pPr>
              <w:jc w:val="left"/>
              <w:rPr>
                <w:rFonts w:ascii="Times New Roman" w:hAnsi="Times New Roman"/>
                <w:b/>
                <w:sz w:val="22"/>
              </w:rPr>
            </w:pPr>
          </w:p>
        </w:tc>
        <w:tc>
          <w:tcPr>
            <w:tcW w:w="4851" w:type="dxa"/>
          </w:tcPr>
          <w:p w14:paraId="64AD364B" w14:textId="77777777" w:rsidR="005A28EA" w:rsidRPr="00460E3D" w:rsidRDefault="005A28EA" w:rsidP="005A28EA">
            <w:pPr>
              <w:jc w:val="left"/>
              <w:rPr>
                <w:rFonts w:ascii="Times New Roman" w:hAnsi="Times New Roman"/>
                <w:b/>
                <w:sz w:val="22"/>
              </w:rPr>
            </w:pPr>
          </w:p>
        </w:tc>
      </w:tr>
      <w:tr w:rsidR="005A28EA" w:rsidRPr="00C0062E" w14:paraId="02AD8683" w14:textId="77777777" w:rsidTr="005A28EA">
        <w:tc>
          <w:tcPr>
            <w:tcW w:w="2376" w:type="dxa"/>
          </w:tcPr>
          <w:p w14:paraId="3F3FC5D5" w14:textId="77777777" w:rsidR="005A28EA" w:rsidRPr="00460E3D" w:rsidRDefault="005A28EA" w:rsidP="005A28EA">
            <w:pPr>
              <w:jc w:val="left"/>
              <w:rPr>
                <w:rFonts w:ascii="Times New Roman" w:hAnsi="Times New Roman"/>
                <w:b/>
                <w:sz w:val="22"/>
              </w:rPr>
            </w:pPr>
          </w:p>
        </w:tc>
        <w:tc>
          <w:tcPr>
            <w:tcW w:w="1985" w:type="dxa"/>
          </w:tcPr>
          <w:p w14:paraId="0C956428" w14:textId="77777777" w:rsidR="005A28EA" w:rsidRPr="00460E3D" w:rsidRDefault="005A28EA" w:rsidP="005A28EA">
            <w:pPr>
              <w:jc w:val="left"/>
              <w:rPr>
                <w:rFonts w:ascii="Times New Roman" w:hAnsi="Times New Roman"/>
                <w:b/>
                <w:sz w:val="22"/>
              </w:rPr>
            </w:pPr>
          </w:p>
        </w:tc>
        <w:tc>
          <w:tcPr>
            <w:tcW w:w="4851" w:type="dxa"/>
          </w:tcPr>
          <w:p w14:paraId="5A301BF6" w14:textId="77777777" w:rsidR="005A28EA" w:rsidRPr="00460E3D" w:rsidRDefault="005A28EA" w:rsidP="005A28EA">
            <w:pPr>
              <w:jc w:val="left"/>
              <w:rPr>
                <w:rFonts w:ascii="Times New Roman" w:hAnsi="Times New Roman"/>
                <w:b/>
                <w:sz w:val="22"/>
              </w:rPr>
            </w:pPr>
          </w:p>
        </w:tc>
      </w:tr>
      <w:tr w:rsidR="005A28EA" w:rsidRPr="00C0062E" w14:paraId="181408D1" w14:textId="77777777" w:rsidTr="005A28EA">
        <w:tc>
          <w:tcPr>
            <w:tcW w:w="2376" w:type="dxa"/>
          </w:tcPr>
          <w:p w14:paraId="560DF068" w14:textId="77777777" w:rsidR="005A28EA" w:rsidRPr="00460E3D" w:rsidRDefault="005A28EA" w:rsidP="005A28EA">
            <w:pPr>
              <w:jc w:val="left"/>
              <w:rPr>
                <w:rFonts w:ascii="Times New Roman" w:hAnsi="Times New Roman"/>
                <w:b/>
                <w:sz w:val="22"/>
              </w:rPr>
            </w:pPr>
          </w:p>
        </w:tc>
        <w:tc>
          <w:tcPr>
            <w:tcW w:w="1985" w:type="dxa"/>
          </w:tcPr>
          <w:p w14:paraId="6FCCB50D" w14:textId="77777777" w:rsidR="005A28EA" w:rsidRPr="00460E3D" w:rsidRDefault="005A28EA" w:rsidP="005A28EA">
            <w:pPr>
              <w:jc w:val="left"/>
              <w:rPr>
                <w:rFonts w:ascii="Times New Roman" w:hAnsi="Times New Roman"/>
                <w:b/>
                <w:sz w:val="22"/>
              </w:rPr>
            </w:pPr>
          </w:p>
        </w:tc>
        <w:tc>
          <w:tcPr>
            <w:tcW w:w="4851" w:type="dxa"/>
          </w:tcPr>
          <w:p w14:paraId="1B4A9A74" w14:textId="77777777" w:rsidR="005A28EA" w:rsidRPr="00460E3D" w:rsidRDefault="005A28EA" w:rsidP="005A28EA">
            <w:pPr>
              <w:jc w:val="left"/>
              <w:rPr>
                <w:rFonts w:ascii="Times New Roman" w:hAnsi="Times New Roman"/>
                <w:b/>
                <w:sz w:val="22"/>
              </w:rPr>
            </w:pPr>
          </w:p>
        </w:tc>
      </w:tr>
    </w:tbl>
    <w:p w14:paraId="53A30800" w14:textId="77777777" w:rsidR="005A28EA" w:rsidRPr="00460E3D" w:rsidRDefault="005A28EA" w:rsidP="005A28EA">
      <w:pPr>
        <w:ind w:left="720"/>
        <w:jc w:val="left"/>
        <w:rPr>
          <w:rFonts w:eastAsia="Calibri"/>
          <w:b/>
          <w:szCs w:val="24"/>
          <w:lang w:eastAsia="en-US"/>
        </w:rPr>
      </w:pPr>
    </w:p>
    <w:p w14:paraId="3076CC2E"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5883D4E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46CD3B8F" w14:textId="77777777" w:rsidTr="005A28EA">
        <w:tc>
          <w:tcPr>
            <w:tcW w:w="2376" w:type="dxa"/>
            <w:shd w:val="clear" w:color="auto" w:fill="D6E3BC" w:themeFill="accent3" w:themeFillTint="66"/>
            <w:vAlign w:val="center"/>
          </w:tcPr>
          <w:p w14:paraId="548C8E98"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2F4738C8"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A5A2925"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4FE95E23"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61ADDBDE" w14:textId="77777777" w:rsidTr="005A28EA">
        <w:tc>
          <w:tcPr>
            <w:tcW w:w="2376" w:type="dxa"/>
          </w:tcPr>
          <w:p w14:paraId="4A72A46E" w14:textId="77777777" w:rsidR="005A28EA" w:rsidRPr="00460E3D" w:rsidRDefault="005A28EA" w:rsidP="005A28EA">
            <w:pPr>
              <w:jc w:val="left"/>
              <w:rPr>
                <w:rFonts w:ascii="Times New Roman" w:hAnsi="Times New Roman"/>
                <w:b/>
                <w:sz w:val="22"/>
              </w:rPr>
            </w:pPr>
          </w:p>
        </w:tc>
        <w:tc>
          <w:tcPr>
            <w:tcW w:w="1985" w:type="dxa"/>
          </w:tcPr>
          <w:p w14:paraId="2B1AF4BE" w14:textId="77777777" w:rsidR="005A28EA" w:rsidRPr="00460E3D" w:rsidRDefault="005A28EA" w:rsidP="005A28EA">
            <w:pPr>
              <w:jc w:val="left"/>
              <w:rPr>
                <w:rFonts w:ascii="Times New Roman" w:hAnsi="Times New Roman"/>
                <w:b/>
                <w:sz w:val="22"/>
              </w:rPr>
            </w:pPr>
          </w:p>
        </w:tc>
        <w:tc>
          <w:tcPr>
            <w:tcW w:w="4851" w:type="dxa"/>
          </w:tcPr>
          <w:p w14:paraId="442BDC43" w14:textId="77777777" w:rsidR="005A28EA" w:rsidRPr="00460E3D" w:rsidRDefault="005A28EA" w:rsidP="005A28EA">
            <w:pPr>
              <w:jc w:val="left"/>
              <w:rPr>
                <w:rFonts w:ascii="Times New Roman" w:hAnsi="Times New Roman"/>
                <w:b/>
                <w:sz w:val="22"/>
              </w:rPr>
            </w:pPr>
          </w:p>
        </w:tc>
      </w:tr>
      <w:tr w:rsidR="005A28EA" w:rsidRPr="00C0062E" w14:paraId="44C103D1" w14:textId="77777777" w:rsidTr="005A28EA">
        <w:tc>
          <w:tcPr>
            <w:tcW w:w="2376" w:type="dxa"/>
          </w:tcPr>
          <w:p w14:paraId="65D8B235" w14:textId="77777777" w:rsidR="005A28EA" w:rsidRPr="00460E3D" w:rsidRDefault="005A28EA" w:rsidP="005A28EA">
            <w:pPr>
              <w:jc w:val="left"/>
              <w:rPr>
                <w:rFonts w:ascii="Times New Roman" w:hAnsi="Times New Roman"/>
                <w:b/>
                <w:sz w:val="22"/>
              </w:rPr>
            </w:pPr>
          </w:p>
        </w:tc>
        <w:tc>
          <w:tcPr>
            <w:tcW w:w="1985" w:type="dxa"/>
          </w:tcPr>
          <w:p w14:paraId="45397DEF" w14:textId="77777777" w:rsidR="005A28EA" w:rsidRPr="00460E3D" w:rsidRDefault="005A28EA" w:rsidP="005A28EA">
            <w:pPr>
              <w:jc w:val="left"/>
              <w:rPr>
                <w:rFonts w:ascii="Times New Roman" w:hAnsi="Times New Roman"/>
                <w:b/>
                <w:sz w:val="22"/>
              </w:rPr>
            </w:pPr>
          </w:p>
        </w:tc>
        <w:tc>
          <w:tcPr>
            <w:tcW w:w="4851" w:type="dxa"/>
          </w:tcPr>
          <w:p w14:paraId="49A11C21" w14:textId="77777777" w:rsidR="005A28EA" w:rsidRPr="00460E3D" w:rsidRDefault="005A28EA" w:rsidP="005A28EA">
            <w:pPr>
              <w:jc w:val="left"/>
              <w:rPr>
                <w:rFonts w:ascii="Times New Roman" w:hAnsi="Times New Roman"/>
                <w:b/>
                <w:sz w:val="22"/>
              </w:rPr>
            </w:pPr>
          </w:p>
        </w:tc>
      </w:tr>
      <w:tr w:rsidR="005A28EA" w:rsidRPr="00C0062E" w14:paraId="4E9B89D1" w14:textId="77777777" w:rsidTr="005A28EA">
        <w:tc>
          <w:tcPr>
            <w:tcW w:w="2376" w:type="dxa"/>
          </w:tcPr>
          <w:p w14:paraId="3BBC3CFF" w14:textId="77777777" w:rsidR="005A28EA" w:rsidRPr="00460E3D" w:rsidRDefault="005A28EA" w:rsidP="005A28EA">
            <w:pPr>
              <w:jc w:val="left"/>
              <w:rPr>
                <w:rFonts w:ascii="Times New Roman" w:hAnsi="Times New Roman"/>
                <w:b/>
                <w:sz w:val="22"/>
              </w:rPr>
            </w:pPr>
          </w:p>
        </w:tc>
        <w:tc>
          <w:tcPr>
            <w:tcW w:w="1985" w:type="dxa"/>
          </w:tcPr>
          <w:p w14:paraId="3F7CD4D5" w14:textId="77777777" w:rsidR="005A28EA" w:rsidRPr="00460E3D" w:rsidRDefault="005A28EA" w:rsidP="005A28EA">
            <w:pPr>
              <w:jc w:val="left"/>
              <w:rPr>
                <w:rFonts w:ascii="Times New Roman" w:hAnsi="Times New Roman"/>
                <w:b/>
                <w:sz w:val="22"/>
              </w:rPr>
            </w:pPr>
          </w:p>
        </w:tc>
        <w:tc>
          <w:tcPr>
            <w:tcW w:w="4851" w:type="dxa"/>
          </w:tcPr>
          <w:p w14:paraId="32FDD32F" w14:textId="77777777" w:rsidR="005A28EA" w:rsidRPr="00460E3D" w:rsidRDefault="005A28EA" w:rsidP="005A28EA">
            <w:pPr>
              <w:jc w:val="left"/>
              <w:rPr>
                <w:rFonts w:ascii="Times New Roman" w:hAnsi="Times New Roman"/>
                <w:b/>
                <w:sz w:val="22"/>
              </w:rPr>
            </w:pPr>
          </w:p>
        </w:tc>
      </w:tr>
      <w:tr w:rsidR="005A28EA" w:rsidRPr="00C0062E" w14:paraId="0B452069" w14:textId="77777777" w:rsidTr="005A28EA">
        <w:tc>
          <w:tcPr>
            <w:tcW w:w="2376" w:type="dxa"/>
          </w:tcPr>
          <w:p w14:paraId="4002E54D" w14:textId="77777777" w:rsidR="005A28EA" w:rsidRPr="00460E3D" w:rsidRDefault="005A28EA" w:rsidP="005A28EA">
            <w:pPr>
              <w:jc w:val="left"/>
              <w:rPr>
                <w:rFonts w:ascii="Times New Roman" w:hAnsi="Times New Roman"/>
                <w:b/>
                <w:sz w:val="22"/>
              </w:rPr>
            </w:pPr>
          </w:p>
        </w:tc>
        <w:tc>
          <w:tcPr>
            <w:tcW w:w="1985" w:type="dxa"/>
          </w:tcPr>
          <w:p w14:paraId="4A2394A9" w14:textId="77777777" w:rsidR="005A28EA" w:rsidRPr="00460E3D" w:rsidRDefault="005A28EA" w:rsidP="005A28EA">
            <w:pPr>
              <w:jc w:val="left"/>
              <w:rPr>
                <w:rFonts w:ascii="Times New Roman" w:hAnsi="Times New Roman"/>
                <w:b/>
                <w:sz w:val="22"/>
              </w:rPr>
            </w:pPr>
          </w:p>
        </w:tc>
        <w:tc>
          <w:tcPr>
            <w:tcW w:w="4851" w:type="dxa"/>
          </w:tcPr>
          <w:p w14:paraId="520B017E" w14:textId="77777777" w:rsidR="005A28EA" w:rsidRPr="00460E3D" w:rsidRDefault="005A28EA" w:rsidP="005A28EA">
            <w:pPr>
              <w:jc w:val="left"/>
              <w:rPr>
                <w:rFonts w:ascii="Times New Roman" w:hAnsi="Times New Roman"/>
                <w:b/>
                <w:sz w:val="22"/>
              </w:rPr>
            </w:pPr>
          </w:p>
        </w:tc>
      </w:tr>
      <w:tr w:rsidR="005A28EA" w:rsidRPr="00C0062E" w14:paraId="6C1EF031" w14:textId="77777777" w:rsidTr="005A28EA">
        <w:tc>
          <w:tcPr>
            <w:tcW w:w="2376" w:type="dxa"/>
          </w:tcPr>
          <w:p w14:paraId="75F90341" w14:textId="77777777" w:rsidR="005A28EA" w:rsidRPr="00460E3D" w:rsidRDefault="005A28EA" w:rsidP="005A28EA">
            <w:pPr>
              <w:jc w:val="left"/>
              <w:rPr>
                <w:rFonts w:ascii="Times New Roman" w:hAnsi="Times New Roman"/>
                <w:b/>
                <w:sz w:val="22"/>
              </w:rPr>
            </w:pPr>
          </w:p>
        </w:tc>
        <w:tc>
          <w:tcPr>
            <w:tcW w:w="1985" w:type="dxa"/>
          </w:tcPr>
          <w:p w14:paraId="6CFECDC5" w14:textId="77777777" w:rsidR="005A28EA" w:rsidRPr="00460E3D" w:rsidRDefault="005A28EA" w:rsidP="005A28EA">
            <w:pPr>
              <w:jc w:val="left"/>
              <w:rPr>
                <w:rFonts w:ascii="Times New Roman" w:hAnsi="Times New Roman"/>
                <w:b/>
                <w:sz w:val="22"/>
              </w:rPr>
            </w:pPr>
          </w:p>
        </w:tc>
        <w:tc>
          <w:tcPr>
            <w:tcW w:w="4851" w:type="dxa"/>
          </w:tcPr>
          <w:p w14:paraId="0628F3D5" w14:textId="77777777" w:rsidR="005A28EA" w:rsidRPr="00460E3D" w:rsidRDefault="005A28EA" w:rsidP="005A28EA">
            <w:pPr>
              <w:jc w:val="left"/>
              <w:rPr>
                <w:rFonts w:ascii="Times New Roman" w:hAnsi="Times New Roman"/>
                <w:b/>
                <w:sz w:val="22"/>
              </w:rPr>
            </w:pPr>
          </w:p>
        </w:tc>
      </w:tr>
    </w:tbl>
    <w:p w14:paraId="79F18261" w14:textId="77777777" w:rsidR="005A28EA" w:rsidRPr="00460E3D" w:rsidRDefault="005A28EA" w:rsidP="005A28EA">
      <w:pPr>
        <w:jc w:val="left"/>
        <w:rPr>
          <w:rFonts w:eastAsia="Calibri"/>
          <w:sz w:val="22"/>
          <w:szCs w:val="22"/>
          <w:lang w:eastAsia="en-US"/>
        </w:rPr>
      </w:pPr>
    </w:p>
    <w:p w14:paraId="4123C9BC"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14:paraId="14FF0CF0" w14:textId="77777777"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7D441A6E" w14:textId="77777777" w:rsidTr="005A28EA">
        <w:tc>
          <w:tcPr>
            <w:tcW w:w="9210" w:type="dxa"/>
          </w:tcPr>
          <w:p w14:paraId="17A00C49"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72040FBA" w14:textId="77777777" w:rsidR="005A28EA" w:rsidRPr="00460E3D" w:rsidRDefault="005A28EA" w:rsidP="005A28EA">
            <w:pPr>
              <w:jc w:val="left"/>
              <w:rPr>
                <w:rFonts w:ascii="Times New Roman" w:hAnsi="Times New Roman"/>
                <w:b/>
                <w:sz w:val="22"/>
              </w:rPr>
            </w:pPr>
          </w:p>
          <w:p w14:paraId="20DC5027" w14:textId="77777777" w:rsidR="005A28EA" w:rsidRPr="00460E3D" w:rsidRDefault="005A28EA" w:rsidP="005A28EA">
            <w:pPr>
              <w:jc w:val="left"/>
              <w:rPr>
                <w:rFonts w:ascii="Times New Roman" w:hAnsi="Times New Roman"/>
                <w:b/>
                <w:sz w:val="22"/>
              </w:rPr>
            </w:pPr>
          </w:p>
          <w:p w14:paraId="3EFBAC21" w14:textId="77777777" w:rsidR="005A28EA" w:rsidRPr="00460E3D" w:rsidRDefault="005A28EA" w:rsidP="005A28EA">
            <w:pPr>
              <w:jc w:val="left"/>
              <w:rPr>
                <w:rFonts w:ascii="Times New Roman" w:hAnsi="Times New Roman"/>
                <w:b/>
                <w:sz w:val="22"/>
              </w:rPr>
            </w:pPr>
          </w:p>
          <w:p w14:paraId="58073E29" w14:textId="77777777" w:rsidR="005A28EA" w:rsidRPr="00460E3D" w:rsidRDefault="005A28EA" w:rsidP="005A28EA">
            <w:pPr>
              <w:jc w:val="left"/>
              <w:rPr>
                <w:rFonts w:ascii="Times New Roman" w:hAnsi="Times New Roman"/>
                <w:b/>
                <w:sz w:val="22"/>
              </w:rPr>
            </w:pPr>
          </w:p>
          <w:p w14:paraId="28E8925F" w14:textId="77777777" w:rsidR="005A28EA" w:rsidRPr="00460E3D" w:rsidRDefault="005A28EA" w:rsidP="005A28EA">
            <w:pPr>
              <w:jc w:val="left"/>
              <w:rPr>
                <w:rFonts w:ascii="Times New Roman" w:hAnsi="Times New Roman"/>
                <w:b/>
                <w:sz w:val="22"/>
              </w:rPr>
            </w:pPr>
          </w:p>
        </w:tc>
      </w:tr>
    </w:tbl>
    <w:p w14:paraId="38B6D896" w14:textId="77777777" w:rsidR="005A28EA" w:rsidRPr="00460E3D" w:rsidRDefault="005A28EA" w:rsidP="005A28EA">
      <w:pPr>
        <w:jc w:val="left"/>
        <w:rPr>
          <w:rFonts w:eastAsia="Calibri"/>
          <w:b/>
          <w:sz w:val="22"/>
          <w:szCs w:val="22"/>
          <w:lang w:eastAsia="en-US"/>
        </w:rPr>
      </w:pPr>
    </w:p>
    <w:p w14:paraId="599FB840" w14:textId="77777777"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14:paraId="5F6C4D35"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6019AAEB" w14:textId="77777777" w:rsidTr="005A28EA">
        <w:tc>
          <w:tcPr>
            <w:tcW w:w="14142" w:type="dxa"/>
            <w:shd w:val="clear" w:color="auto" w:fill="FBD4B4" w:themeFill="accent6" w:themeFillTint="66"/>
          </w:tcPr>
          <w:p w14:paraId="58DAE1EA" w14:textId="77777777" w:rsidR="005A28EA" w:rsidRPr="00460E3D" w:rsidRDefault="005A28EA" w:rsidP="005A28EA">
            <w:pPr>
              <w:numPr>
                <w:ilvl w:val="0"/>
                <w:numId w:val="72"/>
              </w:numPr>
              <w:jc w:val="left"/>
              <w:rPr>
                <w:rFonts w:ascii="Times New Roman" w:hAnsi="Times New Roman"/>
                <w:b/>
                <w:sz w:val="22"/>
              </w:rPr>
            </w:pPr>
            <w:r w:rsidRPr="00460E3D">
              <w:rPr>
                <w:b/>
                <w:sz w:val="22"/>
              </w:rPr>
              <w:t>Lettre de change (LCR) et du billet à ordre relevé (BOR)</w:t>
            </w:r>
          </w:p>
        </w:tc>
      </w:tr>
    </w:tbl>
    <w:p w14:paraId="53BEDC33"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4CE2E327" w14:textId="77777777" w:rsidTr="005A28EA">
        <w:tc>
          <w:tcPr>
            <w:tcW w:w="14142" w:type="dxa"/>
            <w:shd w:val="clear" w:color="auto" w:fill="8DB3E2" w:themeFill="text2" w:themeFillTint="66"/>
          </w:tcPr>
          <w:p w14:paraId="5C1280C5" w14:textId="77777777" w:rsidR="005A28EA" w:rsidRPr="00460E3D" w:rsidRDefault="005A28EA" w:rsidP="005A28EA">
            <w:pPr>
              <w:ind w:left="360"/>
              <w:jc w:val="left"/>
              <w:rPr>
                <w:rFonts w:ascii="Times New Roman" w:hAnsi="Times New Roman"/>
                <w:b/>
                <w:sz w:val="22"/>
              </w:rPr>
            </w:pPr>
            <w:r w:rsidRPr="00C0062E">
              <w:rPr>
                <w:b/>
                <w:sz w:val="22"/>
              </w:rPr>
              <w:t>4.1. Présentation de l’offre</w:t>
            </w:r>
          </w:p>
        </w:tc>
      </w:tr>
    </w:tbl>
    <w:p w14:paraId="373123FD" w14:textId="77777777" w:rsidR="005A28EA" w:rsidRPr="00460E3D" w:rsidRDefault="005A28EA" w:rsidP="005A28EA">
      <w:pPr>
        <w:jc w:val="left"/>
        <w:rPr>
          <w:rFonts w:eastAsia="Calibri"/>
          <w:sz w:val="22"/>
          <w:szCs w:val="22"/>
          <w:lang w:eastAsia="en-US"/>
        </w:rPr>
      </w:pPr>
    </w:p>
    <w:p w14:paraId="733E6C0F" w14:textId="77777777"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des services</w:t>
      </w:r>
    </w:p>
    <w:p w14:paraId="3CC482C5" w14:textId="77777777" w:rsidR="005A28EA" w:rsidRPr="00460E3D" w:rsidRDefault="005A28EA" w:rsidP="005A28EA">
      <w:pPr>
        <w:ind w:left="720"/>
        <w:jc w:val="left"/>
        <w:rPr>
          <w:rFonts w:eastAsia="Calibri"/>
          <w:b/>
          <w:sz w:val="22"/>
          <w:szCs w:val="22"/>
          <w:lang w:eastAsia="en-US"/>
        </w:rPr>
      </w:pPr>
    </w:p>
    <w:p w14:paraId="59D99B34"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44991117" w14:textId="77777777" w:rsidTr="005A28EA">
        <w:tc>
          <w:tcPr>
            <w:tcW w:w="1501" w:type="dxa"/>
            <w:tcBorders>
              <w:bottom w:val="single" w:sz="4" w:space="0" w:color="auto"/>
            </w:tcBorders>
            <w:shd w:val="clear" w:color="auto" w:fill="D6E3BC" w:themeFill="accent3" w:themeFillTint="66"/>
          </w:tcPr>
          <w:p w14:paraId="0C23F95A"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5B21B4E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3725FF80"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7C79576"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4EBDA00A"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BB1871B"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B42A0BB" w14:textId="77777777" w:rsidTr="005A28EA">
        <w:tc>
          <w:tcPr>
            <w:tcW w:w="1501" w:type="dxa"/>
          </w:tcPr>
          <w:p w14:paraId="3F3189FB" w14:textId="77777777" w:rsidR="005A28EA" w:rsidRPr="00460E3D" w:rsidRDefault="005A28EA" w:rsidP="005A28EA">
            <w:pPr>
              <w:jc w:val="left"/>
              <w:rPr>
                <w:rFonts w:ascii="Times New Roman" w:hAnsi="Times New Roman"/>
                <w:sz w:val="22"/>
              </w:rPr>
            </w:pPr>
          </w:p>
        </w:tc>
        <w:tc>
          <w:tcPr>
            <w:tcW w:w="2293" w:type="dxa"/>
          </w:tcPr>
          <w:p w14:paraId="6A8727DD" w14:textId="77777777" w:rsidR="005A28EA" w:rsidRPr="00460E3D" w:rsidRDefault="005A28EA" w:rsidP="005A28EA">
            <w:pPr>
              <w:jc w:val="left"/>
              <w:rPr>
                <w:rFonts w:ascii="Times New Roman" w:hAnsi="Times New Roman"/>
                <w:sz w:val="22"/>
              </w:rPr>
            </w:pPr>
          </w:p>
        </w:tc>
        <w:tc>
          <w:tcPr>
            <w:tcW w:w="1516" w:type="dxa"/>
          </w:tcPr>
          <w:p w14:paraId="5E1146A4" w14:textId="77777777" w:rsidR="005A28EA" w:rsidRPr="00460E3D" w:rsidRDefault="005A28EA" w:rsidP="005A28EA">
            <w:pPr>
              <w:jc w:val="left"/>
              <w:rPr>
                <w:rFonts w:ascii="Times New Roman" w:hAnsi="Times New Roman"/>
                <w:sz w:val="22"/>
              </w:rPr>
            </w:pPr>
          </w:p>
        </w:tc>
        <w:tc>
          <w:tcPr>
            <w:tcW w:w="1744" w:type="dxa"/>
          </w:tcPr>
          <w:p w14:paraId="57CFD6FF" w14:textId="77777777" w:rsidR="005A28EA" w:rsidRPr="00460E3D" w:rsidRDefault="005A28EA" w:rsidP="005A28EA">
            <w:pPr>
              <w:jc w:val="left"/>
              <w:rPr>
                <w:rFonts w:ascii="Times New Roman" w:hAnsi="Times New Roman"/>
                <w:sz w:val="22"/>
              </w:rPr>
            </w:pPr>
          </w:p>
        </w:tc>
        <w:tc>
          <w:tcPr>
            <w:tcW w:w="2977" w:type="dxa"/>
          </w:tcPr>
          <w:p w14:paraId="5B77D12C" w14:textId="77777777" w:rsidR="005A28EA" w:rsidRPr="00460E3D" w:rsidRDefault="005A28EA" w:rsidP="005A28EA">
            <w:pPr>
              <w:jc w:val="left"/>
              <w:rPr>
                <w:rFonts w:ascii="Times New Roman" w:hAnsi="Times New Roman"/>
                <w:sz w:val="22"/>
              </w:rPr>
            </w:pPr>
          </w:p>
        </w:tc>
        <w:tc>
          <w:tcPr>
            <w:tcW w:w="4111" w:type="dxa"/>
          </w:tcPr>
          <w:p w14:paraId="1EA06B57" w14:textId="77777777" w:rsidR="005A28EA" w:rsidRPr="00460E3D" w:rsidRDefault="005A28EA" w:rsidP="005A28EA">
            <w:pPr>
              <w:jc w:val="left"/>
              <w:rPr>
                <w:rFonts w:ascii="Times New Roman" w:hAnsi="Times New Roman"/>
                <w:sz w:val="22"/>
              </w:rPr>
            </w:pPr>
          </w:p>
        </w:tc>
      </w:tr>
      <w:tr w:rsidR="005A28EA" w:rsidRPr="00C0062E" w14:paraId="7075F7C4" w14:textId="77777777" w:rsidTr="005A28EA">
        <w:tc>
          <w:tcPr>
            <w:tcW w:w="1501" w:type="dxa"/>
          </w:tcPr>
          <w:p w14:paraId="161CDB49" w14:textId="77777777" w:rsidR="005A28EA" w:rsidRPr="00460E3D" w:rsidRDefault="005A28EA" w:rsidP="005A28EA">
            <w:pPr>
              <w:jc w:val="left"/>
              <w:rPr>
                <w:rFonts w:ascii="Times New Roman" w:hAnsi="Times New Roman"/>
                <w:sz w:val="22"/>
              </w:rPr>
            </w:pPr>
          </w:p>
        </w:tc>
        <w:tc>
          <w:tcPr>
            <w:tcW w:w="2293" w:type="dxa"/>
          </w:tcPr>
          <w:p w14:paraId="6C153F95" w14:textId="77777777" w:rsidR="005A28EA" w:rsidRPr="00460E3D" w:rsidRDefault="005A28EA" w:rsidP="005A28EA">
            <w:pPr>
              <w:jc w:val="left"/>
              <w:rPr>
                <w:rFonts w:ascii="Times New Roman" w:hAnsi="Times New Roman"/>
                <w:sz w:val="22"/>
              </w:rPr>
            </w:pPr>
          </w:p>
        </w:tc>
        <w:tc>
          <w:tcPr>
            <w:tcW w:w="1516" w:type="dxa"/>
          </w:tcPr>
          <w:p w14:paraId="06351C96" w14:textId="77777777" w:rsidR="005A28EA" w:rsidRPr="00460E3D" w:rsidRDefault="005A28EA" w:rsidP="005A28EA">
            <w:pPr>
              <w:jc w:val="left"/>
              <w:rPr>
                <w:rFonts w:ascii="Times New Roman" w:hAnsi="Times New Roman"/>
                <w:sz w:val="22"/>
              </w:rPr>
            </w:pPr>
          </w:p>
        </w:tc>
        <w:tc>
          <w:tcPr>
            <w:tcW w:w="1744" w:type="dxa"/>
          </w:tcPr>
          <w:p w14:paraId="3E9657DF" w14:textId="77777777" w:rsidR="005A28EA" w:rsidRPr="00460E3D" w:rsidRDefault="005A28EA" w:rsidP="005A28EA">
            <w:pPr>
              <w:jc w:val="left"/>
              <w:rPr>
                <w:rFonts w:ascii="Times New Roman" w:hAnsi="Times New Roman"/>
                <w:sz w:val="22"/>
              </w:rPr>
            </w:pPr>
          </w:p>
        </w:tc>
        <w:tc>
          <w:tcPr>
            <w:tcW w:w="2977" w:type="dxa"/>
          </w:tcPr>
          <w:p w14:paraId="28B5D463" w14:textId="77777777" w:rsidR="005A28EA" w:rsidRPr="00460E3D" w:rsidRDefault="005A28EA" w:rsidP="005A28EA">
            <w:pPr>
              <w:jc w:val="left"/>
              <w:rPr>
                <w:rFonts w:ascii="Times New Roman" w:hAnsi="Times New Roman"/>
                <w:sz w:val="22"/>
              </w:rPr>
            </w:pPr>
          </w:p>
        </w:tc>
        <w:tc>
          <w:tcPr>
            <w:tcW w:w="4111" w:type="dxa"/>
          </w:tcPr>
          <w:p w14:paraId="62A1B3A7" w14:textId="77777777" w:rsidR="005A28EA" w:rsidRPr="00460E3D" w:rsidRDefault="005A28EA" w:rsidP="005A28EA">
            <w:pPr>
              <w:jc w:val="left"/>
              <w:rPr>
                <w:rFonts w:ascii="Times New Roman" w:hAnsi="Times New Roman"/>
                <w:sz w:val="22"/>
              </w:rPr>
            </w:pPr>
          </w:p>
        </w:tc>
      </w:tr>
      <w:tr w:rsidR="005A28EA" w:rsidRPr="00C0062E" w14:paraId="7BAA47DC" w14:textId="77777777" w:rsidTr="005A28EA">
        <w:tc>
          <w:tcPr>
            <w:tcW w:w="1501" w:type="dxa"/>
            <w:tcBorders>
              <w:bottom w:val="single" w:sz="4" w:space="0" w:color="auto"/>
            </w:tcBorders>
          </w:tcPr>
          <w:p w14:paraId="78AEFBD5"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C000E4A"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59312D1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4E9B76B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D271105"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1EC4B6EC" w14:textId="77777777" w:rsidR="005A28EA" w:rsidRPr="00460E3D" w:rsidRDefault="005A28EA" w:rsidP="005A28EA">
            <w:pPr>
              <w:jc w:val="left"/>
              <w:rPr>
                <w:rFonts w:ascii="Times New Roman" w:hAnsi="Times New Roman"/>
                <w:sz w:val="22"/>
              </w:rPr>
            </w:pPr>
          </w:p>
        </w:tc>
      </w:tr>
      <w:tr w:rsidR="005A28EA" w:rsidRPr="00C0062E" w14:paraId="04033572" w14:textId="77777777" w:rsidTr="005A28EA">
        <w:tc>
          <w:tcPr>
            <w:tcW w:w="1501" w:type="dxa"/>
            <w:tcBorders>
              <w:bottom w:val="single" w:sz="4" w:space="0" w:color="auto"/>
            </w:tcBorders>
          </w:tcPr>
          <w:p w14:paraId="4E93B1BE"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316926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63FA4A3C"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3FEC614"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0019E6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9274EB4" w14:textId="77777777" w:rsidR="005A28EA" w:rsidRPr="00460E3D" w:rsidRDefault="005A28EA" w:rsidP="005A28EA">
            <w:pPr>
              <w:jc w:val="left"/>
              <w:rPr>
                <w:rFonts w:ascii="Times New Roman" w:hAnsi="Times New Roman"/>
                <w:sz w:val="22"/>
              </w:rPr>
            </w:pPr>
          </w:p>
        </w:tc>
      </w:tr>
      <w:tr w:rsidR="005A28EA" w:rsidRPr="00C0062E" w14:paraId="06B32EEB" w14:textId="77777777" w:rsidTr="005A28EA">
        <w:tc>
          <w:tcPr>
            <w:tcW w:w="1501" w:type="dxa"/>
          </w:tcPr>
          <w:p w14:paraId="0A261907" w14:textId="77777777" w:rsidR="005A28EA" w:rsidRPr="00460E3D" w:rsidRDefault="005A28EA" w:rsidP="005A28EA">
            <w:pPr>
              <w:jc w:val="left"/>
              <w:rPr>
                <w:rFonts w:ascii="Times New Roman" w:hAnsi="Times New Roman"/>
                <w:sz w:val="22"/>
              </w:rPr>
            </w:pPr>
          </w:p>
        </w:tc>
        <w:tc>
          <w:tcPr>
            <w:tcW w:w="2293" w:type="dxa"/>
          </w:tcPr>
          <w:p w14:paraId="729AE760" w14:textId="77777777" w:rsidR="005A28EA" w:rsidRPr="00460E3D" w:rsidRDefault="005A28EA" w:rsidP="005A28EA">
            <w:pPr>
              <w:jc w:val="left"/>
              <w:rPr>
                <w:rFonts w:ascii="Times New Roman" w:hAnsi="Times New Roman"/>
                <w:sz w:val="22"/>
              </w:rPr>
            </w:pPr>
          </w:p>
        </w:tc>
        <w:tc>
          <w:tcPr>
            <w:tcW w:w="1516" w:type="dxa"/>
          </w:tcPr>
          <w:p w14:paraId="3BAB32CE" w14:textId="77777777" w:rsidR="005A28EA" w:rsidRPr="00460E3D" w:rsidRDefault="005A28EA" w:rsidP="005A28EA">
            <w:pPr>
              <w:jc w:val="left"/>
              <w:rPr>
                <w:rFonts w:ascii="Times New Roman" w:hAnsi="Times New Roman"/>
                <w:sz w:val="22"/>
              </w:rPr>
            </w:pPr>
          </w:p>
        </w:tc>
        <w:tc>
          <w:tcPr>
            <w:tcW w:w="1744" w:type="dxa"/>
          </w:tcPr>
          <w:p w14:paraId="31C8D617" w14:textId="77777777" w:rsidR="005A28EA" w:rsidRPr="00460E3D" w:rsidRDefault="005A28EA" w:rsidP="005A28EA">
            <w:pPr>
              <w:jc w:val="left"/>
              <w:rPr>
                <w:rFonts w:ascii="Times New Roman" w:hAnsi="Times New Roman"/>
                <w:sz w:val="22"/>
              </w:rPr>
            </w:pPr>
          </w:p>
        </w:tc>
        <w:tc>
          <w:tcPr>
            <w:tcW w:w="2977" w:type="dxa"/>
          </w:tcPr>
          <w:p w14:paraId="00C9EE40" w14:textId="77777777" w:rsidR="005A28EA" w:rsidRPr="00460E3D" w:rsidRDefault="005A28EA" w:rsidP="005A28EA">
            <w:pPr>
              <w:jc w:val="left"/>
              <w:rPr>
                <w:rFonts w:ascii="Times New Roman" w:hAnsi="Times New Roman"/>
                <w:sz w:val="22"/>
              </w:rPr>
            </w:pPr>
          </w:p>
        </w:tc>
        <w:tc>
          <w:tcPr>
            <w:tcW w:w="4111" w:type="dxa"/>
          </w:tcPr>
          <w:p w14:paraId="5DC5C213" w14:textId="77777777" w:rsidR="005A28EA" w:rsidRPr="00460E3D" w:rsidRDefault="005A28EA" w:rsidP="005A28EA">
            <w:pPr>
              <w:jc w:val="left"/>
              <w:rPr>
                <w:rFonts w:ascii="Times New Roman" w:hAnsi="Times New Roman"/>
                <w:sz w:val="22"/>
              </w:rPr>
            </w:pPr>
          </w:p>
        </w:tc>
      </w:tr>
      <w:tr w:rsidR="005A28EA" w:rsidRPr="00C0062E" w14:paraId="18AA0219" w14:textId="77777777" w:rsidTr="005A28EA">
        <w:tc>
          <w:tcPr>
            <w:tcW w:w="1501" w:type="dxa"/>
          </w:tcPr>
          <w:p w14:paraId="231BAE69" w14:textId="77777777" w:rsidR="005A28EA" w:rsidRPr="00460E3D" w:rsidRDefault="005A28EA" w:rsidP="005A28EA">
            <w:pPr>
              <w:jc w:val="left"/>
              <w:rPr>
                <w:rFonts w:ascii="Times New Roman" w:hAnsi="Times New Roman"/>
                <w:sz w:val="22"/>
              </w:rPr>
            </w:pPr>
          </w:p>
        </w:tc>
        <w:tc>
          <w:tcPr>
            <w:tcW w:w="2293" w:type="dxa"/>
          </w:tcPr>
          <w:p w14:paraId="77FEBF18" w14:textId="77777777" w:rsidR="005A28EA" w:rsidRPr="00460E3D" w:rsidRDefault="005A28EA" w:rsidP="005A28EA">
            <w:pPr>
              <w:jc w:val="left"/>
              <w:rPr>
                <w:rFonts w:ascii="Times New Roman" w:hAnsi="Times New Roman"/>
                <w:sz w:val="22"/>
              </w:rPr>
            </w:pPr>
          </w:p>
        </w:tc>
        <w:tc>
          <w:tcPr>
            <w:tcW w:w="1516" w:type="dxa"/>
          </w:tcPr>
          <w:p w14:paraId="02F5EA78" w14:textId="77777777" w:rsidR="005A28EA" w:rsidRPr="00460E3D" w:rsidRDefault="005A28EA" w:rsidP="005A28EA">
            <w:pPr>
              <w:jc w:val="left"/>
              <w:rPr>
                <w:rFonts w:ascii="Times New Roman" w:hAnsi="Times New Roman"/>
                <w:sz w:val="22"/>
              </w:rPr>
            </w:pPr>
          </w:p>
        </w:tc>
        <w:tc>
          <w:tcPr>
            <w:tcW w:w="1744" w:type="dxa"/>
          </w:tcPr>
          <w:p w14:paraId="2F309CB1" w14:textId="77777777" w:rsidR="005A28EA" w:rsidRPr="00460E3D" w:rsidRDefault="005A28EA" w:rsidP="005A28EA">
            <w:pPr>
              <w:jc w:val="left"/>
              <w:rPr>
                <w:rFonts w:ascii="Times New Roman" w:hAnsi="Times New Roman"/>
                <w:sz w:val="22"/>
              </w:rPr>
            </w:pPr>
          </w:p>
        </w:tc>
        <w:tc>
          <w:tcPr>
            <w:tcW w:w="2977" w:type="dxa"/>
          </w:tcPr>
          <w:p w14:paraId="76F7F463" w14:textId="77777777" w:rsidR="005A28EA" w:rsidRPr="00460E3D" w:rsidRDefault="005A28EA" w:rsidP="005A28EA">
            <w:pPr>
              <w:jc w:val="left"/>
              <w:rPr>
                <w:rFonts w:ascii="Times New Roman" w:hAnsi="Times New Roman"/>
                <w:sz w:val="22"/>
              </w:rPr>
            </w:pPr>
          </w:p>
        </w:tc>
        <w:tc>
          <w:tcPr>
            <w:tcW w:w="4111" w:type="dxa"/>
          </w:tcPr>
          <w:p w14:paraId="216772C0" w14:textId="77777777" w:rsidR="005A28EA" w:rsidRPr="00460E3D" w:rsidRDefault="005A28EA" w:rsidP="005A28EA">
            <w:pPr>
              <w:jc w:val="left"/>
              <w:rPr>
                <w:rFonts w:ascii="Times New Roman" w:hAnsi="Times New Roman"/>
                <w:sz w:val="22"/>
              </w:rPr>
            </w:pPr>
          </w:p>
        </w:tc>
      </w:tr>
      <w:tr w:rsidR="005A28EA" w:rsidRPr="00C0062E" w14:paraId="0139037D" w14:textId="77777777" w:rsidTr="005A28EA">
        <w:tc>
          <w:tcPr>
            <w:tcW w:w="1501" w:type="dxa"/>
          </w:tcPr>
          <w:p w14:paraId="4D1F4476" w14:textId="77777777" w:rsidR="005A28EA" w:rsidRPr="00460E3D" w:rsidRDefault="005A28EA" w:rsidP="005A28EA">
            <w:pPr>
              <w:jc w:val="left"/>
              <w:rPr>
                <w:rFonts w:ascii="Times New Roman" w:hAnsi="Times New Roman"/>
                <w:sz w:val="22"/>
              </w:rPr>
            </w:pPr>
          </w:p>
        </w:tc>
        <w:tc>
          <w:tcPr>
            <w:tcW w:w="2293" w:type="dxa"/>
          </w:tcPr>
          <w:p w14:paraId="4392325E" w14:textId="77777777" w:rsidR="005A28EA" w:rsidRPr="00460E3D" w:rsidRDefault="005A28EA" w:rsidP="005A28EA">
            <w:pPr>
              <w:jc w:val="left"/>
              <w:rPr>
                <w:rFonts w:ascii="Times New Roman" w:hAnsi="Times New Roman"/>
                <w:sz w:val="22"/>
              </w:rPr>
            </w:pPr>
          </w:p>
        </w:tc>
        <w:tc>
          <w:tcPr>
            <w:tcW w:w="1516" w:type="dxa"/>
          </w:tcPr>
          <w:p w14:paraId="5AA30F45" w14:textId="77777777" w:rsidR="005A28EA" w:rsidRPr="00460E3D" w:rsidRDefault="005A28EA" w:rsidP="005A28EA">
            <w:pPr>
              <w:jc w:val="left"/>
              <w:rPr>
                <w:rFonts w:ascii="Times New Roman" w:hAnsi="Times New Roman"/>
                <w:sz w:val="22"/>
              </w:rPr>
            </w:pPr>
          </w:p>
        </w:tc>
        <w:tc>
          <w:tcPr>
            <w:tcW w:w="1744" w:type="dxa"/>
          </w:tcPr>
          <w:p w14:paraId="3C8DC313" w14:textId="77777777" w:rsidR="005A28EA" w:rsidRPr="00460E3D" w:rsidRDefault="005A28EA" w:rsidP="005A28EA">
            <w:pPr>
              <w:jc w:val="left"/>
              <w:rPr>
                <w:rFonts w:ascii="Times New Roman" w:hAnsi="Times New Roman"/>
                <w:sz w:val="22"/>
              </w:rPr>
            </w:pPr>
          </w:p>
        </w:tc>
        <w:tc>
          <w:tcPr>
            <w:tcW w:w="2977" w:type="dxa"/>
          </w:tcPr>
          <w:p w14:paraId="25819728" w14:textId="77777777" w:rsidR="005A28EA" w:rsidRPr="00460E3D" w:rsidRDefault="005A28EA" w:rsidP="005A28EA">
            <w:pPr>
              <w:jc w:val="left"/>
              <w:rPr>
                <w:rFonts w:ascii="Times New Roman" w:hAnsi="Times New Roman"/>
                <w:sz w:val="22"/>
              </w:rPr>
            </w:pPr>
          </w:p>
        </w:tc>
        <w:tc>
          <w:tcPr>
            <w:tcW w:w="4111" w:type="dxa"/>
          </w:tcPr>
          <w:p w14:paraId="7790988B" w14:textId="77777777" w:rsidR="005A28EA" w:rsidRPr="00460E3D" w:rsidRDefault="005A28EA" w:rsidP="005A28EA">
            <w:pPr>
              <w:jc w:val="left"/>
              <w:rPr>
                <w:rFonts w:ascii="Times New Roman" w:hAnsi="Times New Roman"/>
                <w:sz w:val="22"/>
              </w:rPr>
            </w:pPr>
          </w:p>
        </w:tc>
      </w:tr>
      <w:tr w:rsidR="005A28EA" w:rsidRPr="00C0062E" w14:paraId="49147C8A" w14:textId="77777777" w:rsidTr="005A28EA">
        <w:tc>
          <w:tcPr>
            <w:tcW w:w="1501" w:type="dxa"/>
          </w:tcPr>
          <w:p w14:paraId="0347709C" w14:textId="77777777" w:rsidR="005A28EA" w:rsidRPr="00460E3D" w:rsidRDefault="005A28EA" w:rsidP="005A28EA">
            <w:pPr>
              <w:jc w:val="left"/>
              <w:rPr>
                <w:rFonts w:ascii="Times New Roman" w:hAnsi="Times New Roman"/>
                <w:sz w:val="22"/>
              </w:rPr>
            </w:pPr>
          </w:p>
        </w:tc>
        <w:tc>
          <w:tcPr>
            <w:tcW w:w="2293" w:type="dxa"/>
          </w:tcPr>
          <w:p w14:paraId="66B7CBDD" w14:textId="77777777" w:rsidR="005A28EA" w:rsidRPr="00460E3D" w:rsidRDefault="005A28EA" w:rsidP="005A28EA">
            <w:pPr>
              <w:jc w:val="left"/>
              <w:rPr>
                <w:rFonts w:ascii="Times New Roman" w:hAnsi="Times New Roman"/>
                <w:sz w:val="22"/>
              </w:rPr>
            </w:pPr>
          </w:p>
        </w:tc>
        <w:tc>
          <w:tcPr>
            <w:tcW w:w="1516" w:type="dxa"/>
          </w:tcPr>
          <w:p w14:paraId="3414D5A8" w14:textId="77777777" w:rsidR="005A28EA" w:rsidRPr="00460E3D" w:rsidRDefault="005A28EA" w:rsidP="005A28EA">
            <w:pPr>
              <w:jc w:val="left"/>
              <w:rPr>
                <w:rFonts w:ascii="Times New Roman" w:hAnsi="Times New Roman"/>
                <w:sz w:val="22"/>
              </w:rPr>
            </w:pPr>
          </w:p>
        </w:tc>
        <w:tc>
          <w:tcPr>
            <w:tcW w:w="1744" w:type="dxa"/>
          </w:tcPr>
          <w:p w14:paraId="1E555CA2" w14:textId="77777777" w:rsidR="005A28EA" w:rsidRPr="00460E3D" w:rsidRDefault="005A28EA" w:rsidP="005A28EA">
            <w:pPr>
              <w:jc w:val="left"/>
              <w:rPr>
                <w:rFonts w:ascii="Times New Roman" w:hAnsi="Times New Roman"/>
                <w:sz w:val="22"/>
              </w:rPr>
            </w:pPr>
          </w:p>
        </w:tc>
        <w:tc>
          <w:tcPr>
            <w:tcW w:w="2977" w:type="dxa"/>
          </w:tcPr>
          <w:p w14:paraId="4BCF7B15" w14:textId="77777777" w:rsidR="005A28EA" w:rsidRPr="00460E3D" w:rsidRDefault="005A28EA" w:rsidP="005A28EA">
            <w:pPr>
              <w:jc w:val="left"/>
              <w:rPr>
                <w:rFonts w:ascii="Times New Roman" w:hAnsi="Times New Roman"/>
                <w:sz w:val="22"/>
              </w:rPr>
            </w:pPr>
          </w:p>
        </w:tc>
        <w:tc>
          <w:tcPr>
            <w:tcW w:w="4111" w:type="dxa"/>
          </w:tcPr>
          <w:p w14:paraId="71B1B25D" w14:textId="77777777" w:rsidR="005A28EA" w:rsidRPr="00460E3D" w:rsidRDefault="005A28EA" w:rsidP="005A28EA">
            <w:pPr>
              <w:jc w:val="left"/>
              <w:rPr>
                <w:rFonts w:ascii="Times New Roman" w:hAnsi="Times New Roman"/>
                <w:sz w:val="22"/>
              </w:rPr>
            </w:pPr>
          </w:p>
        </w:tc>
      </w:tr>
      <w:tr w:rsidR="00983B9E" w:rsidRPr="00C0062E" w14:paraId="1BEB7A16" w14:textId="77777777" w:rsidTr="005A28EA">
        <w:tc>
          <w:tcPr>
            <w:tcW w:w="1501" w:type="dxa"/>
          </w:tcPr>
          <w:p w14:paraId="2C570E37" w14:textId="77777777" w:rsidR="00983B9E" w:rsidRPr="00460E3D" w:rsidRDefault="00983B9E" w:rsidP="005A28EA">
            <w:pPr>
              <w:jc w:val="left"/>
              <w:rPr>
                <w:sz w:val="22"/>
              </w:rPr>
            </w:pPr>
          </w:p>
        </w:tc>
        <w:tc>
          <w:tcPr>
            <w:tcW w:w="2293" w:type="dxa"/>
          </w:tcPr>
          <w:p w14:paraId="22C90BE2" w14:textId="77777777" w:rsidR="00983B9E" w:rsidRPr="00460E3D" w:rsidRDefault="00983B9E" w:rsidP="005A28EA">
            <w:pPr>
              <w:jc w:val="left"/>
              <w:rPr>
                <w:sz w:val="22"/>
              </w:rPr>
            </w:pPr>
          </w:p>
        </w:tc>
        <w:tc>
          <w:tcPr>
            <w:tcW w:w="1516" w:type="dxa"/>
          </w:tcPr>
          <w:p w14:paraId="15D9948D" w14:textId="77777777" w:rsidR="00983B9E" w:rsidRPr="00460E3D" w:rsidRDefault="00983B9E" w:rsidP="005A28EA">
            <w:pPr>
              <w:jc w:val="left"/>
              <w:rPr>
                <w:sz w:val="22"/>
              </w:rPr>
            </w:pPr>
          </w:p>
        </w:tc>
        <w:tc>
          <w:tcPr>
            <w:tcW w:w="1744" w:type="dxa"/>
          </w:tcPr>
          <w:p w14:paraId="5724A895" w14:textId="77777777" w:rsidR="00983B9E" w:rsidRPr="00460E3D" w:rsidRDefault="00983B9E" w:rsidP="005A28EA">
            <w:pPr>
              <w:jc w:val="left"/>
              <w:rPr>
                <w:sz w:val="22"/>
              </w:rPr>
            </w:pPr>
          </w:p>
        </w:tc>
        <w:tc>
          <w:tcPr>
            <w:tcW w:w="2977" w:type="dxa"/>
          </w:tcPr>
          <w:p w14:paraId="34644148" w14:textId="77777777" w:rsidR="00983B9E" w:rsidRPr="00460E3D" w:rsidRDefault="00983B9E" w:rsidP="005A28EA">
            <w:pPr>
              <w:jc w:val="left"/>
              <w:rPr>
                <w:sz w:val="22"/>
              </w:rPr>
            </w:pPr>
          </w:p>
        </w:tc>
        <w:tc>
          <w:tcPr>
            <w:tcW w:w="4111" w:type="dxa"/>
          </w:tcPr>
          <w:p w14:paraId="0529493E" w14:textId="77777777" w:rsidR="00983B9E" w:rsidRPr="00460E3D" w:rsidRDefault="00983B9E" w:rsidP="005A28EA">
            <w:pPr>
              <w:jc w:val="left"/>
              <w:rPr>
                <w:sz w:val="22"/>
              </w:rPr>
            </w:pPr>
          </w:p>
        </w:tc>
      </w:tr>
      <w:tr w:rsidR="00983B9E" w:rsidRPr="00C0062E" w14:paraId="6D686A6D" w14:textId="77777777" w:rsidTr="005A28EA">
        <w:tc>
          <w:tcPr>
            <w:tcW w:w="1501" w:type="dxa"/>
          </w:tcPr>
          <w:p w14:paraId="33B75810" w14:textId="77777777" w:rsidR="00983B9E" w:rsidRPr="00460E3D" w:rsidRDefault="00983B9E" w:rsidP="005A28EA">
            <w:pPr>
              <w:jc w:val="left"/>
              <w:rPr>
                <w:sz w:val="22"/>
              </w:rPr>
            </w:pPr>
          </w:p>
        </w:tc>
        <w:tc>
          <w:tcPr>
            <w:tcW w:w="2293" w:type="dxa"/>
          </w:tcPr>
          <w:p w14:paraId="1BBA2EE3" w14:textId="77777777" w:rsidR="00983B9E" w:rsidRPr="00460E3D" w:rsidRDefault="00983B9E" w:rsidP="005A28EA">
            <w:pPr>
              <w:jc w:val="left"/>
              <w:rPr>
                <w:sz w:val="22"/>
              </w:rPr>
            </w:pPr>
          </w:p>
        </w:tc>
        <w:tc>
          <w:tcPr>
            <w:tcW w:w="1516" w:type="dxa"/>
          </w:tcPr>
          <w:p w14:paraId="50A58278" w14:textId="77777777" w:rsidR="00983B9E" w:rsidRPr="00460E3D" w:rsidRDefault="00983B9E" w:rsidP="005A28EA">
            <w:pPr>
              <w:jc w:val="left"/>
              <w:rPr>
                <w:sz w:val="22"/>
              </w:rPr>
            </w:pPr>
          </w:p>
        </w:tc>
        <w:tc>
          <w:tcPr>
            <w:tcW w:w="1744" w:type="dxa"/>
          </w:tcPr>
          <w:p w14:paraId="788B24C9" w14:textId="77777777" w:rsidR="00983B9E" w:rsidRPr="00460E3D" w:rsidRDefault="00983B9E" w:rsidP="005A28EA">
            <w:pPr>
              <w:jc w:val="left"/>
              <w:rPr>
                <w:sz w:val="22"/>
              </w:rPr>
            </w:pPr>
          </w:p>
        </w:tc>
        <w:tc>
          <w:tcPr>
            <w:tcW w:w="2977" w:type="dxa"/>
          </w:tcPr>
          <w:p w14:paraId="0D0F2224" w14:textId="77777777" w:rsidR="00983B9E" w:rsidRPr="00460E3D" w:rsidRDefault="00983B9E" w:rsidP="005A28EA">
            <w:pPr>
              <w:jc w:val="left"/>
              <w:rPr>
                <w:sz w:val="22"/>
              </w:rPr>
            </w:pPr>
          </w:p>
        </w:tc>
        <w:tc>
          <w:tcPr>
            <w:tcW w:w="4111" w:type="dxa"/>
          </w:tcPr>
          <w:p w14:paraId="189D80F1" w14:textId="77777777" w:rsidR="00983B9E" w:rsidRPr="00460E3D" w:rsidRDefault="00983B9E" w:rsidP="005A28EA">
            <w:pPr>
              <w:jc w:val="left"/>
              <w:rPr>
                <w:sz w:val="22"/>
              </w:rPr>
            </w:pPr>
          </w:p>
        </w:tc>
      </w:tr>
      <w:tr w:rsidR="00983B9E" w:rsidRPr="00C0062E" w14:paraId="437185A8" w14:textId="77777777" w:rsidTr="005A28EA">
        <w:tc>
          <w:tcPr>
            <w:tcW w:w="1501" w:type="dxa"/>
          </w:tcPr>
          <w:p w14:paraId="59C7BF5F" w14:textId="77777777" w:rsidR="00983B9E" w:rsidRPr="00460E3D" w:rsidRDefault="00983B9E" w:rsidP="005A28EA">
            <w:pPr>
              <w:jc w:val="left"/>
              <w:rPr>
                <w:sz w:val="22"/>
              </w:rPr>
            </w:pPr>
          </w:p>
        </w:tc>
        <w:tc>
          <w:tcPr>
            <w:tcW w:w="2293" w:type="dxa"/>
          </w:tcPr>
          <w:p w14:paraId="5F058F61" w14:textId="77777777" w:rsidR="00983B9E" w:rsidRPr="00460E3D" w:rsidRDefault="00983B9E" w:rsidP="005A28EA">
            <w:pPr>
              <w:jc w:val="left"/>
              <w:rPr>
                <w:sz w:val="22"/>
              </w:rPr>
            </w:pPr>
          </w:p>
        </w:tc>
        <w:tc>
          <w:tcPr>
            <w:tcW w:w="1516" w:type="dxa"/>
          </w:tcPr>
          <w:p w14:paraId="735A5D58" w14:textId="77777777" w:rsidR="00983B9E" w:rsidRPr="00460E3D" w:rsidRDefault="00983B9E" w:rsidP="005A28EA">
            <w:pPr>
              <w:jc w:val="left"/>
              <w:rPr>
                <w:sz w:val="22"/>
              </w:rPr>
            </w:pPr>
          </w:p>
        </w:tc>
        <w:tc>
          <w:tcPr>
            <w:tcW w:w="1744" w:type="dxa"/>
          </w:tcPr>
          <w:p w14:paraId="6CBBE264" w14:textId="77777777" w:rsidR="00983B9E" w:rsidRPr="00460E3D" w:rsidRDefault="00983B9E" w:rsidP="005A28EA">
            <w:pPr>
              <w:jc w:val="left"/>
              <w:rPr>
                <w:sz w:val="22"/>
              </w:rPr>
            </w:pPr>
          </w:p>
        </w:tc>
        <w:tc>
          <w:tcPr>
            <w:tcW w:w="2977" w:type="dxa"/>
          </w:tcPr>
          <w:p w14:paraId="7EE9060B" w14:textId="77777777" w:rsidR="00983B9E" w:rsidRPr="00460E3D" w:rsidRDefault="00983B9E" w:rsidP="005A28EA">
            <w:pPr>
              <w:jc w:val="left"/>
              <w:rPr>
                <w:sz w:val="22"/>
              </w:rPr>
            </w:pPr>
          </w:p>
        </w:tc>
        <w:tc>
          <w:tcPr>
            <w:tcW w:w="4111" w:type="dxa"/>
          </w:tcPr>
          <w:p w14:paraId="4C99CD9B" w14:textId="77777777" w:rsidR="00983B9E" w:rsidRPr="00460E3D" w:rsidRDefault="00983B9E" w:rsidP="005A28EA">
            <w:pPr>
              <w:jc w:val="left"/>
              <w:rPr>
                <w:sz w:val="22"/>
              </w:rPr>
            </w:pPr>
          </w:p>
        </w:tc>
      </w:tr>
      <w:tr w:rsidR="00983B9E" w:rsidRPr="00C0062E" w14:paraId="4A50C6BB" w14:textId="77777777" w:rsidTr="005A28EA">
        <w:tc>
          <w:tcPr>
            <w:tcW w:w="1501" w:type="dxa"/>
          </w:tcPr>
          <w:p w14:paraId="75214968" w14:textId="77777777" w:rsidR="00983B9E" w:rsidRPr="00460E3D" w:rsidRDefault="00983B9E" w:rsidP="005A28EA">
            <w:pPr>
              <w:jc w:val="left"/>
              <w:rPr>
                <w:sz w:val="22"/>
              </w:rPr>
            </w:pPr>
          </w:p>
        </w:tc>
        <w:tc>
          <w:tcPr>
            <w:tcW w:w="2293" w:type="dxa"/>
          </w:tcPr>
          <w:p w14:paraId="190A10A5" w14:textId="77777777" w:rsidR="00983B9E" w:rsidRPr="00460E3D" w:rsidRDefault="00983B9E" w:rsidP="005A28EA">
            <w:pPr>
              <w:jc w:val="left"/>
              <w:rPr>
                <w:sz w:val="22"/>
              </w:rPr>
            </w:pPr>
          </w:p>
        </w:tc>
        <w:tc>
          <w:tcPr>
            <w:tcW w:w="1516" w:type="dxa"/>
          </w:tcPr>
          <w:p w14:paraId="322D5924" w14:textId="77777777" w:rsidR="00983B9E" w:rsidRPr="00460E3D" w:rsidRDefault="00983B9E" w:rsidP="005A28EA">
            <w:pPr>
              <w:jc w:val="left"/>
              <w:rPr>
                <w:sz w:val="22"/>
              </w:rPr>
            </w:pPr>
          </w:p>
        </w:tc>
        <w:tc>
          <w:tcPr>
            <w:tcW w:w="1744" w:type="dxa"/>
          </w:tcPr>
          <w:p w14:paraId="10C193B2" w14:textId="77777777" w:rsidR="00983B9E" w:rsidRPr="00460E3D" w:rsidRDefault="00983B9E" w:rsidP="005A28EA">
            <w:pPr>
              <w:jc w:val="left"/>
              <w:rPr>
                <w:sz w:val="22"/>
              </w:rPr>
            </w:pPr>
          </w:p>
        </w:tc>
        <w:tc>
          <w:tcPr>
            <w:tcW w:w="2977" w:type="dxa"/>
          </w:tcPr>
          <w:p w14:paraId="6D4BD06E" w14:textId="77777777" w:rsidR="00983B9E" w:rsidRPr="00460E3D" w:rsidRDefault="00983B9E" w:rsidP="005A28EA">
            <w:pPr>
              <w:jc w:val="left"/>
              <w:rPr>
                <w:sz w:val="22"/>
              </w:rPr>
            </w:pPr>
          </w:p>
        </w:tc>
        <w:tc>
          <w:tcPr>
            <w:tcW w:w="4111" w:type="dxa"/>
          </w:tcPr>
          <w:p w14:paraId="1087F1B7" w14:textId="77777777" w:rsidR="00983B9E" w:rsidRPr="00460E3D" w:rsidRDefault="00983B9E" w:rsidP="005A28EA">
            <w:pPr>
              <w:jc w:val="left"/>
              <w:rPr>
                <w:sz w:val="22"/>
              </w:rPr>
            </w:pPr>
          </w:p>
        </w:tc>
      </w:tr>
      <w:tr w:rsidR="00983B9E" w:rsidRPr="00C0062E" w14:paraId="6C7E5620" w14:textId="77777777" w:rsidTr="005A28EA">
        <w:tc>
          <w:tcPr>
            <w:tcW w:w="1501" w:type="dxa"/>
          </w:tcPr>
          <w:p w14:paraId="17E4D831" w14:textId="77777777" w:rsidR="00983B9E" w:rsidRPr="00460E3D" w:rsidRDefault="00983B9E" w:rsidP="005A28EA">
            <w:pPr>
              <w:jc w:val="left"/>
              <w:rPr>
                <w:sz w:val="22"/>
              </w:rPr>
            </w:pPr>
          </w:p>
        </w:tc>
        <w:tc>
          <w:tcPr>
            <w:tcW w:w="2293" w:type="dxa"/>
          </w:tcPr>
          <w:p w14:paraId="414684A0" w14:textId="77777777" w:rsidR="00983B9E" w:rsidRPr="00460E3D" w:rsidRDefault="00983B9E" w:rsidP="005A28EA">
            <w:pPr>
              <w:jc w:val="left"/>
              <w:rPr>
                <w:sz w:val="22"/>
              </w:rPr>
            </w:pPr>
          </w:p>
        </w:tc>
        <w:tc>
          <w:tcPr>
            <w:tcW w:w="1516" w:type="dxa"/>
          </w:tcPr>
          <w:p w14:paraId="495ACA23" w14:textId="77777777" w:rsidR="00983B9E" w:rsidRPr="00460E3D" w:rsidRDefault="00983B9E" w:rsidP="005A28EA">
            <w:pPr>
              <w:jc w:val="left"/>
              <w:rPr>
                <w:sz w:val="22"/>
              </w:rPr>
            </w:pPr>
          </w:p>
        </w:tc>
        <w:tc>
          <w:tcPr>
            <w:tcW w:w="1744" w:type="dxa"/>
          </w:tcPr>
          <w:p w14:paraId="3B097CA7" w14:textId="77777777" w:rsidR="00983B9E" w:rsidRPr="00460E3D" w:rsidRDefault="00983B9E" w:rsidP="005A28EA">
            <w:pPr>
              <w:jc w:val="left"/>
              <w:rPr>
                <w:sz w:val="22"/>
              </w:rPr>
            </w:pPr>
          </w:p>
        </w:tc>
        <w:tc>
          <w:tcPr>
            <w:tcW w:w="2977" w:type="dxa"/>
          </w:tcPr>
          <w:p w14:paraId="75FFE7A2" w14:textId="77777777" w:rsidR="00983B9E" w:rsidRPr="00460E3D" w:rsidRDefault="00983B9E" w:rsidP="005A28EA">
            <w:pPr>
              <w:jc w:val="left"/>
              <w:rPr>
                <w:sz w:val="22"/>
              </w:rPr>
            </w:pPr>
          </w:p>
        </w:tc>
        <w:tc>
          <w:tcPr>
            <w:tcW w:w="4111" w:type="dxa"/>
          </w:tcPr>
          <w:p w14:paraId="7566314D" w14:textId="77777777" w:rsidR="00983B9E" w:rsidRPr="00460E3D" w:rsidRDefault="00983B9E" w:rsidP="005A28EA">
            <w:pPr>
              <w:jc w:val="left"/>
              <w:rPr>
                <w:sz w:val="22"/>
              </w:rPr>
            </w:pPr>
          </w:p>
        </w:tc>
      </w:tr>
      <w:tr w:rsidR="00983B9E" w:rsidRPr="00C0062E" w14:paraId="3153C53C" w14:textId="77777777" w:rsidTr="005A28EA">
        <w:tc>
          <w:tcPr>
            <w:tcW w:w="1501" w:type="dxa"/>
          </w:tcPr>
          <w:p w14:paraId="45BAECE8" w14:textId="77777777" w:rsidR="00983B9E" w:rsidRPr="00460E3D" w:rsidRDefault="00983B9E" w:rsidP="005A28EA">
            <w:pPr>
              <w:jc w:val="left"/>
              <w:rPr>
                <w:sz w:val="22"/>
              </w:rPr>
            </w:pPr>
          </w:p>
        </w:tc>
        <w:tc>
          <w:tcPr>
            <w:tcW w:w="2293" w:type="dxa"/>
          </w:tcPr>
          <w:p w14:paraId="2F1F4DAF" w14:textId="77777777" w:rsidR="00983B9E" w:rsidRPr="00460E3D" w:rsidRDefault="00983B9E" w:rsidP="005A28EA">
            <w:pPr>
              <w:jc w:val="left"/>
              <w:rPr>
                <w:sz w:val="22"/>
              </w:rPr>
            </w:pPr>
          </w:p>
        </w:tc>
        <w:tc>
          <w:tcPr>
            <w:tcW w:w="1516" w:type="dxa"/>
          </w:tcPr>
          <w:p w14:paraId="5EF3FE66" w14:textId="77777777" w:rsidR="00983B9E" w:rsidRPr="00460E3D" w:rsidRDefault="00983B9E" w:rsidP="005A28EA">
            <w:pPr>
              <w:jc w:val="left"/>
              <w:rPr>
                <w:sz w:val="22"/>
              </w:rPr>
            </w:pPr>
          </w:p>
        </w:tc>
        <w:tc>
          <w:tcPr>
            <w:tcW w:w="1744" w:type="dxa"/>
          </w:tcPr>
          <w:p w14:paraId="5173885D" w14:textId="77777777" w:rsidR="00983B9E" w:rsidRPr="00460E3D" w:rsidRDefault="00983B9E" w:rsidP="005A28EA">
            <w:pPr>
              <w:jc w:val="left"/>
              <w:rPr>
                <w:sz w:val="22"/>
              </w:rPr>
            </w:pPr>
          </w:p>
        </w:tc>
        <w:tc>
          <w:tcPr>
            <w:tcW w:w="2977" w:type="dxa"/>
          </w:tcPr>
          <w:p w14:paraId="5843348C" w14:textId="77777777" w:rsidR="00983B9E" w:rsidRPr="00460E3D" w:rsidRDefault="00983B9E" w:rsidP="005A28EA">
            <w:pPr>
              <w:jc w:val="left"/>
              <w:rPr>
                <w:sz w:val="22"/>
              </w:rPr>
            </w:pPr>
          </w:p>
        </w:tc>
        <w:tc>
          <w:tcPr>
            <w:tcW w:w="4111" w:type="dxa"/>
          </w:tcPr>
          <w:p w14:paraId="2543B3C1" w14:textId="77777777" w:rsidR="00983B9E" w:rsidRPr="00460E3D" w:rsidRDefault="00983B9E" w:rsidP="005A28EA">
            <w:pPr>
              <w:jc w:val="left"/>
              <w:rPr>
                <w:sz w:val="22"/>
              </w:rPr>
            </w:pPr>
          </w:p>
        </w:tc>
      </w:tr>
      <w:tr w:rsidR="00983B9E" w:rsidRPr="00C0062E" w14:paraId="2A0544F4" w14:textId="77777777" w:rsidTr="005A28EA">
        <w:tc>
          <w:tcPr>
            <w:tcW w:w="1501" w:type="dxa"/>
          </w:tcPr>
          <w:p w14:paraId="75C26BA1" w14:textId="77777777" w:rsidR="00983B9E" w:rsidRPr="00460E3D" w:rsidRDefault="00983B9E" w:rsidP="005A28EA">
            <w:pPr>
              <w:jc w:val="left"/>
              <w:rPr>
                <w:sz w:val="22"/>
              </w:rPr>
            </w:pPr>
          </w:p>
        </w:tc>
        <w:tc>
          <w:tcPr>
            <w:tcW w:w="2293" w:type="dxa"/>
          </w:tcPr>
          <w:p w14:paraId="3EA801B7" w14:textId="77777777" w:rsidR="00983B9E" w:rsidRPr="00460E3D" w:rsidRDefault="00983B9E" w:rsidP="005A28EA">
            <w:pPr>
              <w:jc w:val="left"/>
              <w:rPr>
                <w:sz w:val="22"/>
              </w:rPr>
            </w:pPr>
          </w:p>
        </w:tc>
        <w:tc>
          <w:tcPr>
            <w:tcW w:w="1516" w:type="dxa"/>
          </w:tcPr>
          <w:p w14:paraId="4E5697A1" w14:textId="77777777" w:rsidR="00983B9E" w:rsidRPr="00460E3D" w:rsidRDefault="00983B9E" w:rsidP="005A28EA">
            <w:pPr>
              <w:jc w:val="left"/>
              <w:rPr>
                <w:sz w:val="22"/>
              </w:rPr>
            </w:pPr>
          </w:p>
        </w:tc>
        <w:tc>
          <w:tcPr>
            <w:tcW w:w="1744" w:type="dxa"/>
          </w:tcPr>
          <w:p w14:paraId="6B03E6A2" w14:textId="77777777" w:rsidR="00983B9E" w:rsidRPr="00460E3D" w:rsidRDefault="00983B9E" w:rsidP="005A28EA">
            <w:pPr>
              <w:jc w:val="left"/>
              <w:rPr>
                <w:sz w:val="22"/>
              </w:rPr>
            </w:pPr>
          </w:p>
        </w:tc>
        <w:tc>
          <w:tcPr>
            <w:tcW w:w="2977" w:type="dxa"/>
          </w:tcPr>
          <w:p w14:paraId="0FB3CB51" w14:textId="77777777" w:rsidR="00983B9E" w:rsidRPr="00460E3D" w:rsidRDefault="00983B9E" w:rsidP="005A28EA">
            <w:pPr>
              <w:jc w:val="left"/>
              <w:rPr>
                <w:sz w:val="22"/>
              </w:rPr>
            </w:pPr>
          </w:p>
        </w:tc>
        <w:tc>
          <w:tcPr>
            <w:tcW w:w="4111" w:type="dxa"/>
          </w:tcPr>
          <w:p w14:paraId="7F8B9CA4" w14:textId="77777777" w:rsidR="00983B9E" w:rsidRPr="00460E3D" w:rsidRDefault="00983B9E" w:rsidP="005A28EA">
            <w:pPr>
              <w:jc w:val="left"/>
              <w:rPr>
                <w:sz w:val="22"/>
              </w:rPr>
            </w:pPr>
          </w:p>
        </w:tc>
      </w:tr>
    </w:tbl>
    <w:p w14:paraId="31FAA38F"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77616E3A" w14:textId="77777777" w:rsidR="005A28EA" w:rsidRPr="00460E3D" w:rsidRDefault="005A28EA" w:rsidP="005A28EA">
      <w:pPr>
        <w:ind w:left="720"/>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6FCE99A2" w14:textId="77777777"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3E8D1B6"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0AD89335" w14:textId="77777777" w:rsidTr="00983B9E">
        <w:tc>
          <w:tcPr>
            <w:tcW w:w="9060" w:type="dxa"/>
          </w:tcPr>
          <w:p w14:paraId="75C228AD" w14:textId="6D79BD7C" w:rsidR="005A28EA" w:rsidRPr="00460E3D" w:rsidRDefault="005A28EA" w:rsidP="005A28EA">
            <w:pPr>
              <w:jc w:val="left"/>
              <w:rPr>
                <w:rFonts w:ascii="Times New Roman" w:hAnsi="Times New Roman"/>
                <w:i/>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349F74D4" w14:textId="77777777" w:rsidR="005A28EA" w:rsidRPr="00460E3D" w:rsidRDefault="005A28EA" w:rsidP="005A28EA">
            <w:pPr>
              <w:jc w:val="left"/>
              <w:rPr>
                <w:rFonts w:ascii="Times New Roman" w:hAnsi="Times New Roman"/>
                <w:sz w:val="22"/>
              </w:rPr>
            </w:pPr>
          </w:p>
          <w:p w14:paraId="6451A5C8" w14:textId="481C2A52" w:rsidR="005A28EA" w:rsidRDefault="005A28EA" w:rsidP="005A28EA">
            <w:pPr>
              <w:jc w:val="left"/>
              <w:rPr>
                <w:rFonts w:ascii="Times New Roman" w:hAnsi="Times New Roman"/>
                <w:sz w:val="22"/>
              </w:rPr>
            </w:pPr>
          </w:p>
          <w:p w14:paraId="7B906F11" w14:textId="4407C53D" w:rsidR="00983B9E" w:rsidRDefault="00983B9E" w:rsidP="005A28EA">
            <w:pPr>
              <w:jc w:val="left"/>
              <w:rPr>
                <w:rFonts w:ascii="Times New Roman" w:hAnsi="Times New Roman"/>
                <w:sz w:val="22"/>
              </w:rPr>
            </w:pPr>
          </w:p>
          <w:p w14:paraId="79267CA3" w14:textId="737D6110" w:rsidR="00983B9E" w:rsidRDefault="00983B9E" w:rsidP="005A28EA">
            <w:pPr>
              <w:jc w:val="left"/>
              <w:rPr>
                <w:rFonts w:ascii="Times New Roman" w:hAnsi="Times New Roman"/>
                <w:sz w:val="22"/>
              </w:rPr>
            </w:pPr>
          </w:p>
          <w:p w14:paraId="2C018D96" w14:textId="5C1EFDE5" w:rsidR="00983B9E" w:rsidRDefault="00983B9E" w:rsidP="005A28EA">
            <w:pPr>
              <w:jc w:val="left"/>
              <w:rPr>
                <w:rFonts w:ascii="Times New Roman" w:hAnsi="Times New Roman"/>
                <w:sz w:val="22"/>
              </w:rPr>
            </w:pPr>
          </w:p>
          <w:p w14:paraId="2BFF190D" w14:textId="77777777" w:rsidR="00983B9E" w:rsidRPr="00460E3D" w:rsidRDefault="00983B9E" w:rsidP="005A28EA">
            <w:pPr>
              <w:jc w:val="left"/>
              <w:rPr>
                <w:rFonts w:ascii="Times New Roman" w:hAnsi="Times New Roman"/>
                <w:sz w:val="22"/>
              </w:rPr>
            </w:pPr>
          </w:p>
          <w:p w14:paraId="2B51CF69" w14:textId="77777777" w:rsidR="005A28EA" w:rsidRPr="00460E3D" w:rsidRDefault="005A28EA" w:rsidP="005A28EA">
            <w:pPr>
              <w:jc w:val="left"/>
              <w:rPr>
                <w:rFonts w:ascii="Times New Roman" w:hAnsi="Times New Roman"/>
                <w:sz w:val="22"/>
              </w:rPr>
            </w:pPr>
          </w:p>
          <w:p w14:paraId="7C8EBC3E" w14:textId="77777777" w:rsidR="005A28EA" w:rsidRPr="00460E3D" w:rsidRDefault="005A28EA" w:rsidP="005A28EA">
            <w:pPr>
              <w:jc w:val="left"/>
              <w:rPr>
                <w:rFonts w:ascii="Times New Roman" w:hAnsi="Times New Roman"/>
                <w:sz w:val="22"/>
              </w:rPr>
            </w:pPr>
          </w:p>
        </w:tc>
      </w:tr>
    </w:tbl>
    <w:p w14:paraId="31941552" w14:textId="77777777" w:rsidR="005A28EA" w:rsidRDefault="005A28EA" w:rsidP="005A28EA">
      <w:pPr>
        <w:jc w:val="left"/>
        <w:rPr>
          <w:rFonts w:eastAsia="Calibri"/>
          <w:sz w:val="22"/>
          <w:szCs w:val="22"/>
          <w:lang w:eastAsia="en-US"/>
        </w:rPr>
      </w:pPr>
    </w:p>
    <w:p w14:paraId="1902C60E" w14:textId="77777777" w:rsidR="007531F6" w:rsidRPr="00460E3D" w:rsidRDefault="007531F6"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C84A836" w14:textId="77777777" w:rsidTr="005A28EA">
        <w:tc>
          <w:tcPr>
            <w:tcW w:w="9212" w:type="dxa"/>
            <w:shd w:val="clear" w:color="auto" w:fill="8DB3E2" w:themeFill="text2" w:themeFillTint="66"/>
          </w:tcPr>
          <w:p w14:paraId="1A74C3B5" w14:textId="77777777" w:rsidR="005A28EA" w:rsidRPr="00460E3D" w:rsidRDefault="005A28EA" w:rsidP="005A28EA">
            <w:pPr>
              <w:ind w:left="360"/>
              <w:jc w:val="left"/>
              <w:rPr>
                <w:rFonts w:ascii="Times New Roman" w:hAnsi="Times New Roman"/>
                <w:b/>
                <w:sz w:val="22"/>
              </w:rPr>
            </w:pPr>
            <w:r w:rsidRPr="00C0062E">
              <w:rPr>
                <w:b/>
                <w:sz w:val="22"/>
              </w:rPr>
              <w:t>4.2. Organisation opérationnelle de l’activité LCR et BOR</w:t>
            </w:r>
          </w:p>
        </w:tc>
      </w:tr>
    </w:tbl>
    <w:p w14:paraId="5835CE99" w14:textId="77777777" w:rsidR="005A28EA" w:rsidRPr="00460E3D" w:rsidRDefault="005A28EA" w:rsidP="005A28EA">
      <w:pPr>
        <w:jc w:val="left"/>
        <w:rPr>
          <w:rFonts w:eastAsia="Calibri"/>
          <w:sz w:val="22"/>
          <w:szCs w:val="22"/>
          <w:lang w:eastAsia="en-US"/>
        </w:rPr>
      </w:pPr>
    </w:p>
    <w:p w14:paraId="23439927"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73573146"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288E53EA" w14:textId="77777777" w:rsidTr="005A28EA">
        <w:tc>
          <w:tcPr>
            <w:tcW w:w="3369" w:type="dxa"/>
            <w:tcBorders>
              <w:bottom w:val="single" w:sz="4" w:space="0" w:color="auto"/>
            </w:tcBorders>
            <w:shd w:val="clear" w:color="auto" w:fill="D6E3BC" w:themeFill="accent3" w:themeFillTint="66"/>
          </w:tcPr>
          <w:p w14:paraId="730A4EE6"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6D81D326"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6D1BA8BF" w14:textId="77777777" w:rsidTr="005A28EA">
        <w:tc>
          <w:tcPr>
            <w:tcW w:w="9180" w:type="dxa"/>
            <w:gridSpan w:val="2"/>
            <w:shd w:val="pct10" w:color="auto" w:fill="auto"/>
          </w:tcPr>
          <w:p w14:paraId="7735FC44" w14:textId="77777777" w:rsidR="005A28EA" w:rsidRPr="00460E3D" w:rsidRDefault="005A28EA" w:rsidP="005A28EA">
            <w:pPr>
              <w:jc w:val="center"/>
              <w:rPr>
                <w:rFonts w:ascii="Times New Roman" w:hAnsi="Times New Roman"/>
                <w:b/>
                <w:sz w:val="22"/>
              </w:rPr>
            </w:pPr>
            <w:r w:rsidRPr="00C0062E">
              <w:rPr>
                <w:b/>
                <w:sz w:val="22"/>
              </w:rPr>
              <w:t>Activité du tiré</w:t>
            </w:r>
          </w:p>
        </w:tc>
      </w:tr>
      <w:tr w:rsidR="005A28EA" w:rsidRPr="00C0062E" w14:paraId="1BE4993E" w14:textId="77777777" w:rsidTr="005A28EA">
        <w:tc>
          <w:tcPr>
            <w:tcW w:w="3369" w:type="dxa"/>
          </w:tcPr>
          <w:p w14:paraId="5925A4E4" w14:textId="77777777" w:rsidR="005A28EA" w:rsidRPr="00460E3D" w:rsidRDefault="005A28EA" w:rsidP="005A28EA">
            <w:pPr>
              <w:jc w:val="left"/>
              <w:rPr>
                <w:rFonts w:ascii="Times New Roman" w:hAnsi="Times New Roman"/>
                <w:sz w:val="22"/>
              </w:rPr>
            </w:pPr>
          </w:p>
        </w:tc>
        <w:tc>
          <w:tcPr>
            <w:tcW w:w="5811" w:type="dxa"/>
          </w:tcPr>
          <w:p w14:paraId="1433A243" w14:textId="77777777" w:rsidR="005A28EA" w:rsidRPr="00460E3D" w:rsidRDefault="005A28EA" w:rsidP="005A28EA">
            <w:pPr>
              <w:jc w:val="left"/>
              <w:rPr>
                <w:rFonts w:ascii="Times New Roman" w:hAnsi="Times New Roman"/>
                <w:sz w:val="22"/>
              </w:rPr>
            </w:pPr>
          </w:p>
        </w:tc>
      </w:tr>
      <w:tr w:rsidR="005A28EA" w:rsidRPr="00C0062E" w14:paraId="242C6E89" w14:textId="77777777" w:rsidTr="005A28EA">
        <w:tc>
          <w:tcPr>
            <w:tcW w:w="3369" w:type="dxa"/>
          </w:tcPr>
          <w:p w14:paraId="2BD79C24" w14:textId="77777777" w:rsidR="005A28EA" w:rsidRPr="00460E3D" w:rsidRDefault="005A28EA" w:rsidP="005A28EA">
            <w:pPr>
              <w:jc w:val="left"/>
              <w:rPr>
                <w:rFonts w:ascii="Times New Roman" w:hAnsi="Times New Roman"/>
                <w:sz w:val="22"/>
              </w:rPr>
            </w:pPr>
          </w:p>
        </w:tc>
        <w:tc>
          <w:tcPr>
            <w:tcW w:w="5811" w:type="dxa"/>
          </w:tcPr>
          <w:p w14:paraId="098DE8E6" w14:textId="77777777" w:rsidR="005A28EA" w:rsidRPr="00460E3D" w:rsidRDefault="005A28EA" w:rsidP="005A28EA">
            <w:pPr>
              <w:jc w:val="left"/>
              <w:rPr>
                <w:rFonts w:ascii="Times New Roman" w:hAnsi="Times New Roman"/>
                <w:sz w:val="22"/>
              </w:rPr>
            </w:pPr>
          </w:p>
        </w:tc>
      </w:tr>
      <w:tr w:rsidR="005A28EA" w:rsidRPr="00C0062E" w14:paraId="2E9EEE97" w14:textId="77777777" w:rsidTr="005A28EA">
        <w:tc>
          <w:tcPr>
            <w:tcW w:w="3369" w:type="dxa"/>
            <w:tcBorders>
              <w:bottom w:val="single" w:sz="4" w:space="0" w:color="auto"/>
            </w:tcBorders>
          </w:tcPr>
          <w:p w14:paraId="57995356"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301EF4B7" w14:textId="77777777" w:rsidR="005A28EA" w:rsidRPr="00460E3D" w:rsidRDefault="005A28EA" w:rsidP="005A28EA">
            <w:pPr>
              <w:jc w:val="left"/>
              <w:rPr>
                <w:rFonts w:ascii="Times New Roman" w:hAnsi="Times New Roman"/>
                <w:sz w:val="22"/>
              </w:rPr>
            </w:pPr>
          </w:p>
        </w:tc>
      </w:tr>
      <w:tr w:rsidR="005A28EA" w:rsidRPr="00C0062E" w14:paraId="3E74A506" w14:textId="77777777" w:rsidTr="005A28EA">
        <w:tc>
          <w:tcPr>
            <w:tcW w:w="9180" w:type="dxa"/>
            <w:gridSpan w:val="2"/>
            <w:shd w:val="pct10" w:color="auto" w:fill="auto"/>
          </w:tcPr>
          <w:p w14:paraId="2233F617" w14:textId="77777777"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14:paraId="6F100095" w14:textId="77777777" w:rsidTr="005A28EA">
        <w:tc>
          <w:tcPr>
            <w:tcW w:w="3369" w:type="dxa"/>
          </w:tcPr>
          <w:p w14:paraId="1BEBBAC3" w14:textId="77777777" w:rsidR="005A28EA" w:rsidRPr="00460E3D" w:rsidRDefault="005A28EA" w:rsidP="005A28EA">
            <w:pPr>
              <w:jc w:val="left"/>
              <w:rPr>
                <w:rFonts w:ascii="Times New Roman" w:hAnsi="Times New Roman"/>
                <w:sz w:val="22"/>
              </w:rPr>
            </w:pPr>
          </w:p>
        </w:tc>
        <w:tc>
          <w:tcPr>
            <w:tcW w:w="5811" w:type="dxa"/>
          </w:tcPr>
          <w:p w14:paraId="3D688DAD" w14:textId="77777777" w:rsidR="005A28EA" w:rsidRPr="00460E3D" w:rsidRDefault="005A28EA" w:rsidP="005A28EA">
            <w:pPr>
              <w:jc w:val="left"/>
              <w:rPr>
                <w:rFonts w:ascii="Times New Roman" w:hAnsi="Times New Roman"/>
                <w:sz w:val="22"/>
              </w:rPr>
            </w:pPr>
          </w:p>
        </w:tc>
      </w:tr>
      <w:tr w:rsidR="005A28EA" w:rsidRPr="00C0062E" w14:paraId="26E83C37" w14:textId="77777777" w:rsidTr="005A28EA">
        <w:tc>
          <w:tcPr>
            <w:tcW w:w="3369" w:type="dxa"/>
          </w:tcPr>
          <w:p w14:paraId="53F3530E" w14:textId="77777777" w:rsidR="005A28EA" w:rsidRPr="00460E3D" w:rsidRDefault="005A28EA" w:rsidP="005A28EA">
            <w:pPr>
              <w:jc w:val="left"/>
              <w:rPr>
                <w:rFonts w:ascii="Times New Roman" w:hAnsi="Times New Roman"/>
                <w:sz w:val="22"/>
              </w:rPr>
            </w:pPr>
          </w:p>
        </w:tc>
        <w:tc>
          <w:tcPr>
            <w:tcW w:w="5811" w:type="dxa"/>
          </w:tcPr>
          <w:p w14:paraId="38C634E6" w14:textId="77777777" w:rsidR="005A28EA" w:rsidRPr="00460E3D" w:rsidRDefault="005A28EA" w:rsidP="005A28EA">
            <w:pPr>
              <w:jc w:val="left"/>
              <w:rPr>
                <w:rFonts w:ascii="Times New Roman" w:hAnsi="Times New Roman"/>
                <w:sz w:val="22"/>
              </w:rPr>
            </w:pPr>
          </w:p>
        </w:tc>
      </w:tr>
      <w:tr w:rsidR="005A28EA" w:rsidRPr="00C0062E" w14:paraId="6CCCB106" w14:textId="77777777" w:rsidTr="005A28EA">
        <w:tc>
          <w:tcPr>
            <w:tcW w:w="3369" w:type="dxa"/>
          </w:tcPr>
          <w:p w14:paraId="365AC998" w14:textId="77777777" w:rsidR="005A28EA" w:rsidRPr="00460E3D" w:rsidRDefault="005A28EA" w:rsidP="005A28EA">
            <w:pPr>
              <w:jc w:val="left"/>
              <w:rPr>
                <w:rFonts w:ascii="Times New Roman" w:hAnsi="Times New Roman"/>
                <w:sz w:val="22"/>
              </w:rPr>
            </w:pPr>
          </w:p>
        </w:tc>
        <w:tc>
          <w:tcPr>
            <w:tcW w:w="5811" w:type="dxa"/>
          </w:tcPr>
          <w:p w14:paraId="53F4AE39" w14:textId="77777777" w:rsidR="005A28EA" w:rsidRPr="00460E3D" w:rsidRDefault="005A28EA" w:rsidP="005A28EA">
            <w:pPr>
              <w:jc w:val="left"/>
              <w:rPr>
                <w:rFonts w:ascii="Times New Roman" w:hAnsi="Times New Roman"/>
                <w:sz w:val="22"/>
              </w:rPr>
            </w:pPr>
          </w:p>
        </w:tc>
      </w:tr>
    </w:tbl>
    <w:p w14:paraId="03B017BD" w14:textId="77777777" w:rsidR="005A28EA" w:rsidRPr="00460E3D" w:rsidRDefault="005A28EA" w:rsidP="005A28EA">
      <w:pPr>
        <w:jc w:val="left"/>
        <w:rPr>
          <w:rFonts w:eastAsia="Calibri"/>
          <w:sz w:val="22"/>
          <w:szCs w:val="22"/>
          <w:lang w:eastAsia="en-US"/>
        </w:rPr>
      </w:pPr>
    </w:p>
    <w:p w14:paraId="158B582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39539A3" w14:textId="77777777" w:rsidTr="005A28EA">
        <w:tc>
          <w:tcPr>
            <w:tcW w:w="9212" w:type="dxa"/>
          </w:tcPr>
          <w:p w14:paraId="1DC15CE8"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1E16057A" w14:textId="77777777" w:rsidR="005A28EA" w:rsidRPr="00460E3D" w:rsidRDefault="005A28EA" w:rsidP="005A28EA">
            <w:pPr>
              <w:rPr>
                <w:rFonts w:ascii="Times New Roman" w:hAnsi="Times New Roman"/>
                <w:i/>
                <w:sz w:val="22"/>
              </w:rPr>
            </w:pPr>
          </w:p>
          <w:p w14:paraId="4DDCE0F4" w14:textId="700FB25B" w:rsidR="005A28EA" w:rsidRDefault="005A28EA" w:rsidP="005A28EA">
            <w:pPr>
              <w:rPr>
                <w:rFonts w:ascii="Times New Roman" w:hAnsi="Times New Roman"/>
                <w:sz w:val="22"/>
              </w:rPr>
            </w:pPr>
          </w:p>
          <w:p w14:paraId="253A2E18" w14:textId="7748AAE1" w:rsidR="00983B9E" w:rsidRDefault="00983B9E" w:rsidP="005A28EA">
            <w:pPr>
              <w:rPr>
                <w:rFonts w:ascii="Times New Roman" w:hAnsi="Times New Roman"/>
                <w:sz w:val="22"/>
              </w:rPr>
            </w:pPr>
          </w:p>
          <w:p w14:paraId="39D06FDD" w14:textId="3B4D954E" w:rsidR="00983B9E" w:rsidRDefault="00983B9E" w:rsidP="005A28EA">
            <w:pPr>
              <w:rPr>
                <w:rFonts w:ascii="Times New Roman" w:hAnsi="Times New Roman"/>
                <w:sz w:val="22"/>
              </w:rPr>
            </w:pPr>
          </w:p>
          <w:p w14:paraId="2A65A808" w14:textId="0FD473BA" w:rsidR="00983B9E" w:rsidRDefault="00983B9E" w:rsidP="005A28EA">
            <w:pPr>
              <w:rPr>
                <w:rFonts w:ascii="Times New Roman" w:hAnsi="Times New Roman"/>
                <w:sz w:val="22"/>
              </w:rPr>
            </w:pPr>
          </w:p>
          <w:p w14:paraId="6468650F" w14:textId="005ED105" w:rsidR="00983B9E" w:rsidRDefault="00983B9E" w:rsidP="005A28EA">
            <w:pPr>
              <w:rPr>
                <w:rFonts w:ascii="Times New Roman" w:hAnsi="Times New Roman"/>
                <w:sz w:val="22"/>
              </w:rPr>
            </w:pPr>
          </w:p>
          <w:p w14:paraId="50854F82" w14:textId="344434D0" w:rsidR="00983B9E" w:rsidRDefault="00983B9E" w:rsidP="005A28EA">
            <w:pPr>
              <w:rPr>
                <w:rFonts w:ascii="Times New Roman" w:hAnsi="Times New Roman"/>
                <w:sz w:val="22"/>
              </w:rPr>
            </w:pPr>
          </w:p>
          <w:p w14:paraId="37AAF158" w14:textId="68BAE05C" w:rsidR="00983B9E" w:rsidRDefault="00983B9E" w:rsidP="005A28EA">
            <w:pPr>
              <w:rPr>
                <w:rFonts w:ascii="Times New Roman" w:hAnsi="Times New Roman"/>
                <w:sz w:val="22"/>
              </w:rPr>
            </w:pPr>
          </w:p>
          <w:p w14:paraId="643E0582" w14:textId="4AAB1396" w:rsidR="00983B9E" w:rsidRDefault="00983B9E" w:rsidP="005A28EA">
            <w:pPr>
              <w:rPr>
                <w:rFonts w:ascii="Times New Roman" w:hAnsi="Times New Roman"/>
                <w:sz w:val="22"/>
              </w:rPr>
            </w:pPr>
          </w:p>
          <w:p w14:paraId="201B412E" w14:textId="15FC61DC" w:rsidR="00983B9E" w:rsidRDefault="00983B9E" w:rsidP="005A28EA">
            <w:pPr>
              <w:rPr>
                <w:rFonts w:ascii="Times New Roman" w:hAnsi="Times New Roman"/>
                <w:sz w:val="22"/>
              </w:rPr>
            </w:pPr>
          </w:p>
          <w:p w14:paraId="0E42F4FD" w14:textId="772A703C" w:rsidR="00983B9E" w:rsidRDefault="00983B9E" w:rsidP="005A28EA">
            <w:pPr>
              <w:rPr>
                <w:rFonts w:ascii="Times New Roman" w:hAnsi="Times New Roman"/>
                <w:sz w:val="22"/>
              </w:rPr>
            </w:pPr>
          </w:p>
          <w:p w14:paraId="32209ABE" w14:textId="166CF9D5" w:rsidR="00983B9E" w:rsidRDefault="00983B9E" w:rsidP="005A28EA">
            <w:pPr>
              <w:rPr>
                <w:rFonts w:ascii="Times New Roman" w:hAnsi="Times New Roman"/>
                <w:sz w:val="22"/>
              </w:rPr>
            </w:pPr>
          </w:p>
          <w:p w14:paraId="6DB90D42" w14:textId="47520A2F" w:rsidR="00983B9E" w:rsidRDefault="00983B9E" w:rsidP="005A28EA">
            <w:pPr>
              <w:rPr>
                <w:rFonts w:ascii="Times New Roman" w:hAnsi="Times New Roman"/>
                <w:sz w:val="22"/>
              </w:rPr>
            </w:pPr>
          </w:p>
          <w:p w14:paraId="315D88A3" w14:textId="77777777" w:rsidR="00983B9E" w:rsidRDefault="00983B9E" w:rsidP="005A28EA">
            <w:pPr>
              <w:rPr>
                <w:rFonts w:ascii="Times New Roman" w:hAnsi="Times New Roman"/>
                <w:sz w:val="22"/>
              </w:rPr>
            </w:pPr>
          </w:p>
          <w:p w14:paraId="757EB9D5" w14:textId="77777777" w:rsidR="005A28EA" w:rsidRDefault="005A28EA" w:rsidP="005A28EA">
            <w:pPr>
              <w:rPr>
                <w:rFonts w:ascii="Times New Roman" w:hAnsi="Times New Roman"/>
                <w:sz w:val="22"/>
              </w:rPr>
            </w:pPr>
          </w:p>
          <w:p w14:paraId="2DAEBCFE" w14:textId="10CBCCDB" w:rsidR="00983B9E" w:rsidRPr="00460E3D" w:rsidRDefault="00983B9E" w:rsidP="005A28EA">
            <w:pPr>
              <w:rPr>
                <w:rFonts w:ascii="Times New Roman" w:hAnsi="Times New Roman"/>
                <w:sz w:val="22"/>
              </w:rPr>
            </w:pPr>
          </w:p>
        </w:tc>
      </w:tr>
    </w:tbl>
    <w:p w14:paraId="3303B6F3" w14:textId="77777777" w:rsidR="00983B9E" w:rsidRDefault="00983B9E" w:rsidP="005A28EA">
      <w:pPr>
        <w:jc w:val="left"/>
        <w:rPr>
          <w:rFonts w:eastAsia="Calibri"/>
          <w:szCs w:val="24"/>
          <w:lang w:eastAsia="en-US"/>
        </w:rPr>
        <w:sectPr w:rsidR="00983B9E" w:rsidSect="00983B9E">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792B1B7" w14:textId="77777777" w:rsidTr="005A28EA">
        <w:tc>
          <w:tcPr>
            <w:tcW w:w="9212" w:type="dxa"/>
            <w:shd w:val="clear" w:color="auto" w:fill="8DB3E2" w:themeFill="text2" w:themeFillTint="66"/>
          </w:tcPr>
          <w:p w14:paraId="2B47ABB3" w14:textId="77777777" w:rsidR="005A28EA" w:rsidRPr="00460E3D" w:rsidRDefault="005A28EA" w:rsidP="005A28EA">
            <w:pPr>
              <w:ind w:left="360"/>
              <w:jc w:val="left"/>
              <w:rPr>
                <w:rFonts w:ascii="Times New Roman" w:hAnsi="Times New Roman"/>
                <w:b/>
                <w:sz w:val="22"/>
              </w:rPr>
            </w:pPr>
            <w:r w:rsidRPr="00C0062E">
              <w:rPr>
                <w:b/>
                <w:sz w:val="22"/>
              </w:rPr>
              <w:t>4.3. Grille d’analyse des risques et principaux incidents de fraude</w:t>
            </w:r>
          </w:p>
        </w:tc>
      </w:tr>
    </w:tbl>
    <w:p w14:paraId="3F45E3B6" w14:textId="77777777" w:rsidR="00E067C6" w:rsidRDefault="00E067C6" w:rsidP="00E067C6">
      <w:pPr>
        <w:spacing w:after="200" w:line="276" w:lineRule="auto"/>
        <w:ind w:left="720"/>
        <w:jc w:val="left"/>
        <w:rPr>
          <w:rFonts w:eastAsia="Calibri"/>
          <w:b/>
          <w:sz w:val="22"/>
          <w:szCs w:val="22"/>
          <w:lang w:eastAsia="en-US"/>
        </w:rPr>
      </w:pPr>
    </w:p>
    <w:p w14:paraId="26A5D35C" w14:textId="77777777" w:rsidR="00B04881" w:rsidRPr="00460E3D" w:rsidRDefault="00B04881" w:rsidP="00B04881">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4C44300A"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3"/>
        <w:gridCol w:w="6427"/>
      </w:tblGrid>
      <w:tr w:rsidR="005A28EA" w:rsidRPr="00C0062E" w14:paraId="2C7A328A" w14:textId="77777777" w:rsidTr="005A28EA">
        <w:tc>
          <w:tcPr>
            <w:tcW w:w="2660" w:type="dxa"/>
            <w:shd w:val="clear" w:color="auto" w:fill="B6DDE8" w:themeFill="accent5" w:themeFillTint="66"/>
          </w:tcPr>
          <w:p w14:paraId="6EF3DF0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1CC0D363"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FE43B7C" w14:textId="77777777" w:rsidTr="005A28EA">
        <w:tc>
          <w:tcPr>
            <w:tcW w:w="2660" w:type="dxa"/>
          </w:tcPr>
          <w:p w14:paraId="66F1AD19" w14:textId="74F7FA4B" w:rsidR="005A28EA" w:rsidRPr="00460E3D" w:rsidRDefault="005A28EA" w:rsidP="00B04881">
            <w:pPr>
              <w:jc w:val="left"/>
              <w:rPr>
                <w:rFonts w:ascii="Times New Roman" w:hAnsi="Times New Roman"/>
                <w:sz w:val="22"/>
              </w:rPr>
            </w:pPr>
            <w:r w:rsidRPr="00C0062E">
              <w:rPr>
                <w:sz w:val="22"/>
              </w:rPr>
              <w:t xml:space="preserve">Vol, perte </w:t>
            </w:r>
          </w:p>
        </w:tc>
        <w:tc>
          <w:tcPr>
            <w:tcW w:w="6552" w:type="dxa"/>
          </w:tcPr>
          <w:p w14:paraId="608A9789" w14:textId="7B2CFA08" w:rsidR="005A28EA" w:rsidRPr="00460E3D" w:rsidRDefault="00B04881" w:rsidP="00890013">
            <w:pPr>
              <w:rPr>
                <w:rFonts w:ascii="Times New Roman" w:hAnsi="Times New Roman"/>
                <w:sz w:val="22"/>
              </w:rPr>
            </w:pPr>
            <w:r w:rsidRPr="00D24C66">
              <w:rPr>
                <w:rFonts w:cstheme="minorHAnsi"/>
                <w:sz w:val="22"/>
              </w:rPr>
              <w:t>Émission illégitime d’un effet de commerce par un fraudeur en utilisant une formule vierge.</w:t>
            </w:r>
            <w:r>
              <w:rPr>
                <w:rFonts w:cstheme="minorHAnsi"/>
                <w:sz w:val="22"/>
              </w:rPr>
              <w:t xml:space="preserve"> </w:t>
            </w:r>
          </w:p>
        </w:tc>
      </w:tr>
      <w:tr w:rsidR="005A28EA" w:rsidRPr="00C0062E" w14:paraId="7817979A" w14:textId="77777777" w:rsidTr="005A28EA">
        <w:tc>
          <w:tcPr>
            <w:tcW w:w="2660" w:type="dxa"/>
          </w:tcPr>
          <w:p w14:paraId="31CAE049" w14:textId="77777777" w:rsidR="005A28EA" w:rsidRPr="00460E3D" w:rsidRDefault="005A28EA" w:rsidP="005A28EA">
            <w:pPr>
              <w:jc w:val="left"/>
              <w:rPr>
                <w:rFonts w:ascii="Times New Roman" w:hAnsi="Times New Roman"/>
                <w:sz w:val="22"/>
              </w:rPr>
            </w:pPr>
            <w:r w:rsidRPr="00C0062E">
              <w:rPr>
                <w:sz w:val="22"/>
              </w:rPr>
              <w:t>Contrefaçon</w:t>
            </w:r>
          </w:p>
        </w:tc>
        <w:tc>
          <w:tcPr>
            <w:tcW w:w="6552" w:type="dxa"/>
          </w:tcPr>
          <w:p w14:paraId="4F0B1AFF" w14:textId="02B8A876" w:rsidR="005A28EA" w:rsidRPr="00460E3D" w:rsidRDefault="00B04881" w:rsidP="00890013">
            <w:pPr>
              <w:rPr>
                <w:rFonts w:ascii="Times New Roman" w:hAnsi="Times New Roman"/>
                <w:sz w:val="22"/>
              </w:rPr>
            </w:pPr>
            <w:r w:rsidRPr="00D24C66">
              <w:rPr>
                <w:rFonts w:cstheme="minorHAnsi"/>
                <w:sz w:val="22"/>
              </w:rPr>
              <w:t>Faux effet de commerce créé de toutes pièces par le fraudeur, émis sur une banque existante ou une fausse banque.</w:t>
            </w:r>
            <w:r>
              <w:rPr>
                <w:rFonts w:cstheme="minorHAnsi"/>
                <w:sz w:val="22"/>
              </w:rPr>
              <w:t xml:space="preserve"> </w:t>
            </w:r>
          </w:p>
        </w:tc>
      </w:tr>
      <w:tr w:rsidR="005A28EA" w:rsidRPr="00C0062E" w14:paraId="71307129" w14:textId="77777777" w:rsidTr="005A28EA">
        <w:tc>
          <w:tcPr>
            <w:tcW w:w="2660" w:type="dxa"/>
          </w:tcPr>
          <w:p w14:paraId="3C1FEF86" w14:textId="77777777" w:rsidR="005A28EA" w:rsidRPr="00460E3D" w:rsidRDefault="005A28EA" w:rsidP="005A28EA">
            <w:pPr>
              <w:jc w:val="left"/>
              <w:rPr>
                <w:rFonts w:ascii="Times New Roman" w:hAnsi="Times New Roman"/>
                <w:sz w:val="22"/>
              </w:rPr>
            </w:pPr>
            <w:r w:rsidRPr="00C0062E">
              <w:rPr>
                <w:sz w:val="22"/>
              </w:rPr>
              <w:t>Falsification</w:t>
            </w:r>
          </w:p>
        </w:tc>
        <w:tc>
          <w:tcPr>
            <w:tcW w:w="6552" w:type="dxa"/>
          </w:tcPr>
          <w:p w14:paraId="3034B5D5" w14:textId="5F4C9553" w:rsidR="005A28EA" w:rsidRPr="00460E3D" w:rsidRDefault="00B04881" w:rsidP="00890013">
            <w:pPr>
              <w:rPr>
                <w:rFonts w:ascii="Times New Roman" w:hAnsi="Times New Roman"/>
                <w:sz w:val="22"/>
              </w:rPr>
            </w:pPr>
            <w:r w:rsidRPr="00D24C66">
              <w:rPr>
                <w:rFonts w:cstheme="minorHAnsi"/>
                <w:sz w:val="22"/>
              </w:rPr>
              <w:t>Effet de commerce régulier intercepté par un fraudeur qui l’altère volontairement par grattage, gommage ou effacement.</w:t>
            </w:r>
          </w:p>
        </w:tc>
      </w:tr>
      <w:tr w:rsidR="005A28EA" w:rsidRPr="00C0062E" w14:paraId="16627197" w14:textId="77777777" w:rsidTr="005A28EA">
        <w:tc>
          <w:tcPr>
            <w:tcW w:w="2660" w:type="dxa"/>
          </w:tcPr>
          <w:p w14:paraId="6A72285B" w14:textId="77777777" w:rsidR="005A28EA" w:rsidRPr="00460E3D" w:rsidRDefault="005A28EA" w:rsidP="005A28EA">
            <w:pPr>
              <w:jc w:val="left"/>
              <w:rPr>
                <w:rFonts w:ascii="Times New Roman" w:hAnsi="Times New Roman"/>
                <w:sz w:val="22"/>
              </w:rPr>
            </w:pPr>
            <w:r w:rsidRPr="00C0062E">
              <w:rPr>
                <w:sz w:val="22"/>
              </w:rPr>
              <w:t>Détournement, rejeu</w:t>
            </w:r>
          </w:p>
        </w:tc>
        <w:tc>
          <w:tcPr>
            <w:tcW w:w="6552" w:type="dxa"/>
          </w:tcPr>
          <w:p w14:paraId="38830BA4" w14:textId="39255F90" w:rsidR="005A28EA" w:rsidRPr="00460E3D" w:rsidRDefault="00B04881" w:rsidP="00890013">
            <w:pPr>
              <w:rPr>
                <w:rFonts w:ascii="Times New Roman" w:hAnsi="Times New Roman"/>
                <w:sz w:val="22"/>
              </w:rPr>
            </w:pPr>
            <w:r w:rsidRPr="00D24C66">
              <w:rPr>
                <w:rFonts w:cstheme="minorHAnsi"/>
                <w:sz w:val="22"/>
              </w:rPr>
              <w:t>Effet de commerce perdu ou volé après compensation dans les systèmes de paiement et présenté à nouveau à l’encaissement.</w:t>
            </w:r>
          </w:p>
        </w:tc>
      </w:tr>
    </w:tbl>
    <w:p w14:paraId="59AC6D9E" w14:textId="77777777" w:rsidR="005A28EA" w:rsidRDefault="005A28EA" w:rsidP="005A28EA">
      <w:pPr>
        <w:jc w:val="left"/>
        <w:rPr>
          <w:rFonts w:eastAsia="Calibri"/>
          <w:b/>
          <w:sz w:val="22"/>
          <w:szCs w:val="22"/>
          <w:lang w:eastAsia="en-US"/>
        </w:rPr>
      </w:pPr>
    </w:p>
    <w:p w14:paraId="46F63657" w14:textId="77777777" w:rsidR="007531F6" w:rsidRDefault="007531F6" w:rsidP="005A28EA">
      <w:pPr>
        <w:jc w:val="left"/>
        <w:rPr>
          <w:rFonts w:eastAsia="Calibri"/>
          <w:b/>
          <w:sz w:val="22"/>
          <w:szCs w:val="22"/>
          <w:lang w:eastAsia="en-US"/>
        </w:rPr>
      </w:pPr>
    </w:p>
    <w:p w14:paraId="6E8F8FAE" w14:textId="77777777" w:rsidR="003B0563" w:rsidRPr="00D63D99" w:rsidRDefault="005A28EA" w:rsidP="00D63D99">
      <w:pPr>
        <w:numPr>
          <w:ilvl w:val="0"/>
          <w:numId w:val="91"/>
        </w:numPr>
        <w:spacing w:after="200" w:line="276" w:lineRule="auto"/>
        <w:jc w:val="left"/>
        <w:rPr>
          <w:rFonts w:eastAsia="Calibri"/>
          <w:b/>
          <w:sz w:val="22"/>
          <w:szCs w:val="22"/>
          <w:lang w:eastAsia="en-US"/>
        </w:rPr>
      </w:pPr>
      <w:r w:rsidRPr="003B0563">
        <w:rPr>
          <w:rFonts w:eastAsia="Calibri"/>
          <w:b/>
          <w:sz w:val="22"/>
          <w:szCs w:val="22"/>
          <w:lang w:eastAsia="en-US"/>
        </w:rPr>
        <w:t>Cotation globale du risque de fraude sur le</w:t>
      </w:r>
      <w:r w:rsidR="007A2855" w:rsidRPr="003B0563">
        <w:rPr>
          <w:rFonts w:eastAsia="Calibri"/>
          <w:b/>
          <w:sz w:val="22"/>
          <w:szCs w:val="22"/>
          <w:lang w:eastAsia="en-US"/>
        </w:rPr>
        <w:t>s LCR et BOR</w:t>
      </w:r>
    </w:p>
    <w:p w14:paraId="1487EB84" w14:textId="77777777" w:rsidR="005A28EA" w:rsidRPr="003B0563" w:rsidRDefault="005A28EA" w:rsidP="00D63D99">
      <w:pPr>
        <w:spacing w:after="200" w:line="276" w:lineRule="auto"/>
        <w:jc w:val="left"/>
        <w:rPr>
          <w:rFonts w:eastAsia="Calibri"/>
          <w:b/>
          <w:sz w:val="22"/>
          <w:szCs w:val="22"/>
          <w:lang w:eastAsia="en-US"/>
        </w:rPr>
      </w:pPr>
      <w:r w:rsidRPr="003B0563">
        <w:rPr>
          <w:rFonts w:eastAsia="Calibri"/>
          <w:i/>
          <w:sz w:val="22"/>
          <w:szCs w:val="22"/>
          <w:lang w:eastAsia="en-US"/>
        </w:rPr>
        <w:t>La matrice de cotation utilisée par l’établissement pour évaluer le risque de fraude est à communiquer dans la partie IV de la présente annexe.</w:t>
      </w:r>
    </w:p>
    <w:tbl>
      <w:tblPr>
        <w:tblStyle w:val="Grilledutableau11"/>
        <w:tblW w:w="0" w:type="auto"/>
        <w:tblInd w:w="-34" w:type="dxa"/>
        <w:tblLook w:val="04A0" w:firstRow="1" w:lastRow="0" w:firstColumn="1" w:lastColumn="0" w:noHBand="0" w:noVBand="1"/>
      </w:tblPr>
      <w:tblGrid>
        <w:gridCol w:w="2951"/>
        <w:gridCol w:w="6143"/>
      </w:tblGrid>
      <w:tr w:rsidR="005A28EA" w:rsidRPr="00C0062E" w14:paraId="44A82BC4" w14:textId="77777777" w:rsidTr="005A28EA">
        <w:tc>
          <w:tcPr>
            <w:tcW w:w="2977" w:type="dxa"/>
            <w:shd w:val="clear" w:color="auto" w:fill="F2DBDB" w:themeFill="accent2" w:themeFillTint="33"/>
          </w:tcPr>
          <w:p w14:paraId="3D62F09C" w14:textId="77777777" w:rsidR="005A28EA" w:rsidRPr="00460E3D" w:rsidRDefault="005A28EA" w:rsidP="005A28EA">
            <w:pPr>
              <w:jc w:val="left"/>
              <w:rPr>
                <w:rFonts w:ascii="Times New Roman" w:hAnsi="Times New Roman"/>
                <w:szCs w:val="24"/>
                <w:u w:val="single"/>
              </w:rPr>
            </w:pPr>
            <w:r w:rsidRPr="00460E3D">
              <w:rPr>
                <w:szCs w:val="24"/>
                <w:u w:val="single"/>
              </w:rPr>
              <w:t>Risque brut</w:t>
            </w:r>
          </w:p>
          <w:p w14:paraId="17B5595B"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2331B2E1" w14:textId="77777777" w:rsidR="005A28EA" w:rsidRPr="00460E3D" w:rsidRDefault="005A28EA" w:rsidP="005A28EA">
            <w:pPr>
              <w:jc w:val="left"/>
              <w:rPr>
                <w:rFonts w:ascii="Times New Roman" w:hAnsi="Times New Roman"/>
                <w:szCs w:val="24"/>
              </w:rPr>
            </w:pPr>
          </w:p>
        </w:tc>
      </w:tr>
      <w:tr w:rsidR="005A28EA" w:rsidRPr="00C0062E" w14:paraId="039412AD" w14:textId="77777777" w:rsidTr="005A28EA">
        <w:tc>
          <w:tcPr>
            <w:tcW w:w="2977" w:type="dxa"/>
            <w:shd w:val="clear" w:color="auto" w:fill="F2DBDB" w:themeFill="accent2" w:themeFillTint="33"/>
          </w:tcPr>
          <w:p w14:paraId="02A3E9BB"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654A5125"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F17EAB5" w14:textId="77777777" w:rsidR="005A28EA" w:rsidRPr="00460E3D" w:rsidRDefault="005A28EA" w:rsidP="005A28EA">
            <w:pPr>
              <w:jc w:val="left"/>
              <w:rPr>
                <w:rFonts w:ascii="Times New Roman" w:hAnsi="Times New Roman"/>
                <w:szCs w:val="24"/>
              </w:rPr>
            </w:pPr>
          </w:p>
        </w:tc>
      </w:tr>
    </w:tbl>
    <w:p w14:paraId="629D2022" w14:textId="77777777" w:rsidR="005A28EA" w:rsidRPr="00460E3D" w:rsidRDefault="005A28EA" w:rsidP="005A28EA">
      <w:pPr>
        <w:ind w:left="360"/>
        <w:jc w:val="left"/>
        <w:rPr>
          <w:rFonts w:eastAsia="Calibri"/>
          <w:szCs w:val="24"/>
          <w:lang w:eastAsia="en-US"/>
        </w:rPr>
      </w:pPr>
    </w:p>
    <w:p w14:paraId="40E6956A" w14:textId="77777777"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68FECDE9"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122E4BA6"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9"/>
        <w:gridCol w:w="1686"/>
        <w:gridCol w:w="5295"/>
      </w:tblGrid>
      <w:tr w:rsidR="005A28EA" w:rsidRPr="00C0062E" w14:paraId="051065C0" w14:textId="77777777" w:rsidTr="00112009">
        <w:tc>
          <w:tcPr>
            <w:tcW w:w="2079" w:type="dxa"/>
            <w:shd w:val="clear" w:color="auto" w:fill="D6E3BC" w:themeFill="accent3" w:themeFillTint="66"/>
            <w:vAlign w:val="center"/>
          </w:tcPr>
          <w:p w14:paraId="1518D747" w14:textId="77777777" w:rsidR="005A28EA" w:rsidRPr="00460E3D" w:rsidRDefault="005A28EA">
            <w:pPr>
              <w:jc w:val="center"/>
              <w:rPr>
                <w:rFonts w:ascii="Times New Roman" w:hAnsi="Times New Roman"/>
                <w:b/>
                <w:sz w:val="22"/>
              </w:rPr>
            </w:pPr>
            <w:r w:rsidRPr="00C0062E">
              <w:rPr>
                <w:b/>
                <w:sz w:val="22"/>
              </w:rPr>
              <w:t>Typologie de fraude</w:t>
            </w:r>
          </w:p>
        </w:tc>
        <w:tc>
          <w:tcPr>
            <w:tcW w:w="1686" w:type="dxa"/>
            <w:shd w:val="clear" w:color="auto" w:fill="D6E3BC" w:themeFill="accent3" w:themeFillTint="66"/>
            <w:vAlign w:val="center"/>
          </w:tcPr>
          <w:p w14:paraId="75078C9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295" w:type="dxa"/>
            <w:shd w:val="clear" w:color="auto" w:fill="D6E3BC" w:themeFill="accent3" w:themeFillTint="66"/>
            <w:vAlign w:val="center"/>
          </w:tcPr>
          <w:p w14:paraId="3DA88558"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48528E91" w14:textId="77777777" w:rsidTr="00112009">
        <w:tc>
          <w:tcPr>
            <w:tcW w:w="2079" w:type="dxa"/>
          </w:tcPr>
          <w:p w14:paraId="611C35FD" w14:textId="6097AE68" w:rsidR="005A28EA" w:rsidRPr="00460E3D" w:rsidRDefault="005A28EA" w:rsidP="00B04881">
            <w:pPr>
              <w:jc w:val="left"/>
              <w:rPr>
                <w:rFonts w:ascii="Times New Roman" w:hAnsi="Times New Roman"/>
                <w:sz w:val="22"/>
              </w:rPr>
            </w:pPr>
            <w:r w:rsidRPr="00C0062E">
              <w:rPr>
                <w:sz w:val="22"/>
              </w:rPr>
              <w:t xml:space="preserve">Vol, perte </w:t>
            </w:r>
          </w:p>
        </w:tc>
        <w:tc>
          <w:tcPr>
            <w:tcW w:w="1686" w:type="dxa"/>
          </w:tcPr>
          <w:p w14:paraId="12501071" w14:textId="77777777" w:rsidR="005A28EA" w:rsidRPr="00460E3D" w:rsidRDefault="005A28EA" w:rsidP="005A28EA">
            <w:pPr>
              <w:jc w:val="left"/>
              <w:rPr>
                <w:rFonts w:ascii="Times New Roman" w:hAnsi="Times New Roman"/>
                <w:b/>
                <w:sz w:val="22"/>
              </w:rPr>
            </w:pPr>
          </w:p>
        </w:tc>
        <w:tc>
          <w:tcPr>
            <w:tcW w:w="5295" w:type="dxa"/>
          </w:tcPr>
          <w:p w14:paraId="24937740" w14:textId="77777777" w:rsidR="005A28EA" w:rsidRPr="00460E3D" w:rsidRDefault="005A28EA" w:rsidP="005A28EA">
            <w:pPr>
              <w:jc w:val="left"/>
              <w:rPr>
                <w:rFonts w:ascii="Times New Roman" w:hAnsi="Times New Roman"/>
                <w:b/>
                <w:sz w:val="22"/>
              </w:rPr>
            </w:pPr>
          </w:p>
        </w:tc>
      </w:tr>
      <w:tr w:rsidR="005A28EA" w:rsidRPr="00C0062E" w14:paraId="71E49717" w14:textId="77777777" w:rsidTr="00112009">
        <w:tc>
          <w:tcPr>
            <w:tcW w:w="2079" w:type="dxa"/>
          </w:tcPr>
          <w:p w14:paraId="223432FC" w14:textId="321DE5A5" w:rsidR="005A28EA" w:rsidRPr="00460E3D" w:rsidRDefault="005A28EA" w:rsidP="005A28EA">
            <w:pPr>
              <w:jc w:val="left"/>
              <w:rPr>
                <w:rFonts w:ascii="Times New Roman" w:hAnsi="Times New Roman"/>
                <w:sz w:val="22"/>
              </w:rPr>
            </w:pPr>
            <w:r w:rsidRPr="00C0062E">
              <w:rPr>
                <w:sz w:val="22"/>
              </w:rPr>
              <w:t>Contrefaçon</w:t>
            </w:r>
          </w:p>
        </w:tc>
        <w:tc>
          <w:tcPr>
            <w:tcW w:w="1686" w:type="dxa"/>
          </w:tcPr>
          <w:p w14:paraId="4794AD03" w14:textId="77777777" w:rsidR="005A28EA" w:rsidRPr="00460E3D" w:rsidRDefault="005A28EA" w:rsidP="005A28EA">
            <w:pPr>
              <w:jc w:val="left"/>
              <w:rPr>
                <w:rFonts w:ascii="Times New Roman" w:hAnsi="Times New Roman"/>
                <w:b/>
                <w:sz w:val="22"/>
              </w:rPr>
            </w:pPr>
          </w:p>
        </w:tc>
        <w:tc>
          <w:tcPr>
            <w:tcW w:w="5295" w:type="dxa"/>
          </w:tcPr>
          <w:p w14:paraId="2DBE2029" w14:textId="77777777" w:rsidR="005A28EA" w:rsidRPr="00460E3D" w:rsidRDefault="005A28EA" w:rsidP="005A28EA">
            <w:pPr>
              <w:jc w:val="left"/>
              <w:rPr>
                <w:rFonts w:ascii="Times New Roman" w:hAnsi="Times New Roman"/>
                <w:b/>
                <w:sz w:val="22"/>
              </w:rPr>
            </w:pPr>
          </w:p>
        </w:tc>
      </w:tr>
      <w:tr w:rsidR="005A28EA" w:rsidRPr="00C0062E" w14:paraId="4941BA8B" w14:textId="77777777" w:rsidTr="00112009">
        <w:tc>
          <w:tcPr>
            <w:tcW w:w="2079" w:type="dxa"/>
          </w:tcPr>
          <w:p w14:paraId="69853128" w14:textId="77777777" w:rsidR="005A28EA" w:rsidRPr="00460E3D" w:rsidRDefault="005A28EA" w:rsidP="005A28EA">
            <w:pPr>
              <w:jc w:val="left"/>
              <w:rPr>
                <w:rFonts w:ascii="Times New Roman" w:hAnsi="Times New Roman"/>
                <w:sz w:val="22"/>
              </w:rPr>
            </w:pPr>
            <w:r w:rsidRPr="00C0062E">
              <w:rPr>
                <w:sz w:val="22"/>
              </w:rPr>
              <w:t>Falsification</w:t>
            </w:r>
          </w:p>
        </w:tc>
        <w:tc>
          <w:tcPr>
            <w:tcW w:w="1686" w:type="dxa"/>
          </w:tcPr>
          <w:p w14:paraId="35BBC9A3" w14:textId="77777777" w:rsidR="005A28EA" w:rsidRPr="00460E3D" w:rsidRDefault="005A28EA" w:rsidP="005A28EA">
            <w:pPr>
              <w:jc w:val="left"/>
              <w:rPr>
                <w:rFonts w:ascii="Times New Roman" w:hAnsi="Times New Roman"/>
                <w:b/>
                <w:sz w:val="22"/>
              </w:rPr>
            </w:pPr>
          </w:p>
        </w:tc>
        <w:tc>
          <w:tcPr>
            <w:tcW w:w="5295" w:type="dxa"/>
          </w:tcPr>
          <w:p w14:paraId="00334098" w14:textId="77777777" w:rsidR="005A28EA" w:rsidRPr="00460E3D" w:rsidRDefault="005A28EA" w:rsidP="005A28EA">
            <w:pPr>
              <w:jc w:val="left"/>
              <w:rPr>
                <w:rFonts w:ascii="Times New Roman" w:hAnsi="Times New Roman"/>
                <w:b/>
                <w:sz w:val="22"/>
              </w:rPr>
            </w:pPr>
          </w:p>
        </w:tc>
      </w:tr>
      <w:tr w:rsidR="005A28EA" w:rsidRPr="00C0062E" w14:paraId="67EBF428" w14:textId="77777777" w:rsidTr="00112009">
        <w:tc>
          <w:tcPr>
            <w:tcW w:w="2079" w:type="dxa"/>
          </w:tcPr>
          <w:p w14:paraId="799E5098" w14:textId="77777777" w:rsidR="005A28EA" w:rsidRPr="00460E3D" w:rsidRDefault="005A28EA" w:rsidP="005A28EA">
            <w:pPr>
              <w:jc w:val="left"/>
              <w:rPr>
                <w:rFonts w:ascii="Times New Roman" w:hAnsi="Times New Roman"/>
                <w:sz w:val="22"/>
              </w:rPr>
            </w:pPr>
            <w:r w:rsidRPr="00C0062E">
              <w:rPr>
                <w:sz w:val="22"/>
              </w:rPr>
              <w:t>Détournement, rejeu</w:t>
            </w:r>
          </w:p>
        </w:tc>
        <w:tc>
          <w:tcPr>
            <w:tcW w:w="1686" w:type="dxa"/>
          </w:tcPr>
          <w:p w14:paraId="4986C73C" w14:textId="77777777" w:rsidR="005A28EA" w:rsidRPr="00460E3D" w:rsidRDefault="005A28EA" w:rsidP="005A28EA">
            <w:pPr>
              <w:jc w:val="left"/>
              <w:rPr>
                <w:rFonts w:ascii="Times New Roman" w:hAnsi="Times New Roman"/>
                <w:b/>
                <w:sz w:val="22"/>
              </w:rPr>
            </w:pPr>
          </w:p>
        </w:tc>
        <w:tc>
          <w:tcPr>
            <w:tcW w:w="5295" w:type="dxa"/>
          </w:tcPr>
          <w:p w14:paraId="529637EA" w14:textId="77777777" w:rsidR="005A28EA" w:rsidRPr="00460E3D" w:rsidRDefault="005A28EA" w:rsidP="005A28EA">
            <w:pPr>
              <w:jc w:val="left"/>
              <w:rPr>
                <w:rFonts w:ascii="Times New Roman" w:hAnsi="Times New Roman"/>
                <w:b/>
                <w:sz w:val="22"/>
              </w:rPr>
            </w:pPr>
          </w:p>
        </w:tc>
      </w:tr>
    </w:tbl>
    <w:p w14:paraId="62028ECD" w14:textId="77777777" w:rsidR="005A28EA" w:rsidRPr="00460E3D" w:rsidRDefault="005A28EA" w:rsidP="005A28EA">
      <w:pPr>
        <w:ind w:left="720"/>
        <w:jc w:val="left"/>
        <w:rPr>
          <w:rFonts w:eastAsia="Calibri"/>
          <w:b/>
          <w:sz w:val="22"/>
          <w:szCs w:val="22"/>
          <w:lang w:eastAsia="en-US"/>
        </w:rPr>
      </w:pPr>
    </w:p>
    <w:p w14:paraId="3D251791" w14:textId="77777777"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655060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tiré</w:t>
      </w:r>
      <w:r w:rsidR="007531F6">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5A28EA" w:rsidRPr="00C0062E" w14:paraId="58760250" w14:textId="77777777" w:rsidTr="00112009">
        <w:tc>
          <w:tcPr>
            <w:tcW w:w="2342" w:type="dxa"/>
            <w:shd w:val="clear" w:color="auto" w:fill="D6E3BC" w:themeFill="accent3" w:themeFillTint="66"/>
            <w:vAlign w:val="center"/>
          </w:tcPr>
          <w:p w14:paraId="5A6A0385"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3015DD49"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753" w:type="dxa"/>
            <w:shd w:val="clear" w:color="auto" w:fill="D6E3BC" w:themeFill="accent3" w:themeFillTint="66"/>
            <w:vAlign w:val="center"/>
          </w:tcPr>
          <w:p w14:paraId="51D6F66F"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3EB8F404"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310F09C" w14:textId="77777777" w:rsidTr="00112009">
        <w:tc>
          <w:tcPr>
            <w:tcW w:w="2342" w:type="dxa"/>
          </w:tcPr>
          <w:p w14:paraId="42438E21" w14:textId="77777777" w:rsidR="005A28EA" w:rsidRPr="00460E3D" w:rsidRDefault="005A28EA" w:rsidP="005A28EA">
            <w:pPr>
              <w:jc w:val="left"/>
              <w:rPr>
                <w:rFonts w:ascii="Times New Roman" w:hAnsi="Times New Roman"/>
                <w:b/>
                <w:sz w:val="22"/>
              </w:rPr>
            </w:pPr>
          </w:p>
        </w:tc>
        <w:tc>
          <w:tcPr>
            <w:tcW w:w="1965" w:type="dxa"/>
          </w:tcPr>
          <w:p w14:paraId="34B06460" w14:textId="77777777" w:rsidR="005A28EA" w:rsidRPr="00460E3D" w:rsidRDefault="005A28EA" w:rsidP="005A28EA">
            <w:pPr>
              <w:jc w:val="left"/>
              <w:rPr>
                <w:rFonts w:ascii="Times New Roman" w:hAnsi="Times New Roman"/>
                <w:b/>
                <w:sz w:val="22"/>
              </w:rPr>
            </w:pPr>
          </w:p>
        </w:tc>
        <w:tc>
          <w:tcPr>
            <w:tcW w:w="4753" w:type="dxa"/>
          </w:tcPr>
          <w:p w14:paraId="6E078F4A" w14:textId="77777777" w:rsidR="005A28EA" w:rsidRPr="00460E3D" w:rsidRDefault="005A28EA" w:rsidP="005A28EA">
            <w:pPr>
              <w:jc w:val="left"/>
              <w:rPr>
                <w:rFonts w:ascii="Times New Roman" w:hAnsi="Times New Roman"/>
                <w:b/>
                <w:sz w:val="22"/>
              </w:rPr>
            </w:pPr>
          </w:p>
        </w:tc>
      </w:tr>
      <w:tr w:rsidR="005A28EA" w:rsidRPr="00C0062E" w14:paraId="3FBAAB68" w14:textId="77777777" w:rsidTr="00112009">
        <w:tc>
          <w:tcPr>
            <w:tcW w:w="2342" w:type="dxa"/>
          </w:tcPr>
          <w:p w14:paraId="2BEB6BB6" w14:textId="77777777" w:rsidR="005A28EA" w:rsidRPr="00460E3D" w:rsidRDefault="005A28EA" w:rsidP="005A28EA">
            <w:pPr>
              <w:jc w:val="left"/>
              <w:rPr>
                <w:rFonts w:ascii="Times New Roman" w:hAnsi="Times New Roman"/>
                <w:b/>
                <w:sz w:val="22"/>
              </w:rPr>
            </w:pPr>
          </w:p>
        </w:tc>
        <w:tc>
          <w:tcPr>
            <w:tcW w:w="1965" w:type="dxa"/>
          </w:tcPr>
          <w:p w14:paraId="018FF332" w14:textId="77777777" w:rsidR="005A28EA" w:rsidRPr="00460E3D" w:rsidRDefault="005A28EA" w:rsidP="005A28EA">
            <w:pPr>
              <w:jc w:val="left"/>
              <w:rPr>
                <w:rFonts w:ascii="Times New Roman" w:hAnsi="Times New Roman"/>
                <w:b/>
                <w:sz w:val="22"/>
              </w:rPr>
            </w:pPr>
          </w:p>
        </w:tc>
        <w:tc>
          <w:tcPr>
            <w:tcW w:w="4753" w:type="dxa"/>
          </w:tcPr>
          <w:p w14:paraId="0A7182FC" w14:textId="77777777" w:rsidR="005A28EA" w:rsidRPr="00460E3D" w:rsidRDefault="005A28EA" w:rsidP="005A28EA">
            <w:pPr>
              <w:jc w:val="left"/>
              <w:rPr>
                <w:rFonts w:ascii="Times New Roman" w:hAnsi="Times New Roman"/>
                <w:b/>
                <w:sz w:val="22"/>
              </w:rPr>
            </w:pPr>
          </w:p>
        </w:tc>
      </w:tr>
      <w:tr w:rsidR="005A28EA" w:rsidRPr="00C0062E" w14:paraId="283355D7" w14:textId="77777777" w:rsidTr="00112009">
        <w:tc>
          <w:tcPr>
            <w:tcW w:w="2342" w:type="dxa"/>
          </w:tcPr>
          <w:p w14:paraId="30F4C49A" w14:textId="77777777" w:rsidR="005A28EA" w:rsidRPr="00460E3D" w:rsidRDefault="005A28EA" w:rsidP="005A28EA">
            <w:pPr>
              <w:jc w:val="left"/>
              <w:rPr>
                <w:rFonts w:ascii="Times New Roman" w:hAnsi="Times New Roman"/>
                <w:b/>
                <w:sz w:val="22"/>
              </w:rPr>
            </w:pPr>
          </w:p>
        </w:tc>
        <w:tc>
          <w:tcPr>
            <w:tcW w:w="1965" w:type="dxa"/>
          </w:tcPr>
          <w:p w14:paraId="3927108D" w14:textId="77777777" w:rsidR="005A28EA" w:rsidRPr="00460E3D" w:rsidRDefault="005A28EA" w:rsidP="005A28EA">
            <w:pPr>
              <w:jc w:val="left"/>
              <w:rPr>
                <w:rFonts w:ascii="Times New Roman" w:hAnsi="Times New Roman"/>
                <w:b/>
                <w:sz w:val="22"/>
              </w:rPr>
            </w:pPr>
          </w:p>
        </w:tc>
        <w:tc>
          <w:tcPr>
            <w:tcW w:w="4753" w:type="dxa"/>
          </w:tcPr>
          <w:p w14:paraId="2AB2CB70" w14:textId="77777777" w:rsidR="005A28EA" w:rsidRPr="00460E3D" w:rsidRDefault="005A28EA" w:rsidP="005A28EA">
            <w:pPr>
              <w:jc w:val="left"/>
              <w:rPr>
                <w:rFonts w:ascii="Times New Roman" w:hAnsi="Times New Roman"/>
                <w:b/>
                <w:sz w:val="22"/>
              </w:rPr>
            </w:pPr>
          </w:p>
        </w:tc>
      </w:tr>
      <w:tr w:rsidR="005A28EA" w:rsidRPr="00C0062E" w14:paraId="30E1015A" w14:textId="77777777" w:rsidTr="00112009">
        <w:tc>
          <w:tcPr>
            <w:tcW w:w="2342" w:type="dxa"/>
          </w:tcPr>
          <w:p w14:paraId="5470DDE4" w14:textId="77777777" w:rsidR="005A28EA" w:rsidRPr="00460E3D" w:rsidRDefault="005A28EA" w:rsidP="005A28EA">
            <w:pPr>
              <w:jc w:val="left"/>
              <w:rPr>
                <w:rFonts w:ascii="Times New Roman" w:hAnsi="Times New Roman"/>
                <w:b/>
                <w:sz w:val="22"/>
              </w:rPr>
            </w:pPr>
          </w:p>
        </w:tc>
        <w:tc>
          <w:tcPr>
            <w:tcW w:w="1965" w:type="dxa"/>
          </w:tcPr>
          <w:p w14:paraId="08FD43EE" w14:textId="77777777" w:rsidR="005A28EA" w:rsidRPr="00460E3D" w:rsidRDefault="005A28EA" w:rsidP="005A28EA">
            <w:pPr>
              <w:jc w:val="left"/>
              <w:rPr>
                <w:rFonts w:ascii="Times New Roman" w:hAnsi="Times New Roman"/>
                <w:b/>
                <w:sz w:val="22"/>
              </w:rPr>
            </w:pPr>
          </w:p>
        </w:tc>
        <w:tc>
          <w:tcPr>
            <w:tcW w:w="4753" w:type="dxa"/>
          </w:tcPr>
          <w:p w14:paraId="7723BB9A" w14:textId="77777777" w:rsidR="005A28EA" w:rsidRPr="00460E3D" w:rsidRDefault="005A28EA" w:rsidP="005A28EA">
            <w:pPr>
              <w:jc w:val="left"/>
              <w:rPr>
                <w:rFonts w:ascii="Times New Roman" w:hAnsi="Times New Roman"/>
                <w:b/>
                <w:sz w:val="22"/>
              </w:rPr>
            </w:pPr>
          </w:p>
        </w:tc>
      </w:tr>
    </w:tbl>
    <w:p w14:paraId="42FD9DA8" w14:textId="77777777" w:rsidR="005A28EA" w:rsidRPr="00460E3D" w:rsidRDefault="005A28EA" w:rsidP="005A28EA">
      <w:pPr>
        <w:jc w:val="left"/>
        <w:rPr>
          <w:rFonts w:eastAsia="Calibri"/>
          <w:b/>
          <w:sz w:val="22"/>
          <w:szCs w:val="22"/>
          <w:lang w:eastAsia="en-US"/>
        </w:rPr>
      </w:pPr>
    </w:p>
    <w:p w14:paraId="6F9D34A4" w14:textId="77777777" w:rsidR="00320DBE" w:rsidRDefault="00320DBE" w:rsidP="005A28EA">
      <w:pPr>
        <w:jc w:val="left"/>
        <w:rPr>
          <w:rFonts w:eastAsia="Calibri"/>
          <w:sz w:val="22"/>
          <w:szCs w:val="22"/>
          <w:lang w:eastAsia="en-US"/>
        </w:rPr>
      </w:pPr>
    </w:p>
    <w:p w14:paraId="1478E05F" w14:textId="0820DBCE" w:rsidR="0000299A" w:rsidRPr="00460E3D" w:rsidRDefault="005A28EA" w:rsidP="005A28EA">
      <w:pPr>
        <w:jc w:val="left"/>
        <w:rPr>
          <w:rFonts w:eastAsia="Calibri"/>
          <w:sz w:val="22"/>
          <w:szCs w:val="22"/>
          <w:lang w:eastAsia="en-US"/>
        </w:rPr>
      </w:pPr>
      <w:r w:rsidRPr="00460E3D">
        <w:rPr>
          <w:rFonts w:eastAsia="Calibri"/>
          <w:sz w:val="22"/>
          <w:szCs w:val="22"/>
          <w:lang w:eastAsia="en-US"/>
        </w:rPr>
        <w:t>En tant qu’établissement du remettant</w:t>
      </w:r>
      <w:r w:rsidR="007531F6">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5A28EA" w:rsidRPr="00C0062E" w14:paraId="290C5B24" w14:textId="77777777" w:rsidTr="00983B9E">
        <w:tc>
          <w:tcPr>
            <w:tcW w:w="2342" w:type="dxa"/>
            <w:shd w:val="clear" w:color="auto" w:fill="D6E3BC" w:themeFill="accent3" w:themeFillTint="66"/>
            <w:vAlign w:val="center"/>
          </w:tcPr>
          <w:p w14:paraId="7C444A11"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62DA58CC"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753" w:type="dxa"/>
            <w:shd w:val="clear" w:color="auto" w:fill="D6E3BC" w:themeFill="accent3" w:themeFillTint="66"/>
            <w:vAlign w:val="center"/>
          </w:tcPr>
          <w:p w14:paraId="6D8D763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6FD9364"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2E1F0F67" w14:textId="77777777" w:rsidTr="00983B9E">
        <w:tc>
          <w:tcPr>
            <w:tcW w:w="2342" w:type="dxa"/>
          </w:tcPr>
          <w:p w14:paraId="5A113890" w14:textId="77777777" w:rsidR="005A28EA" w:rsidRPr="00460E3D" w:rsidRDefault="005A28EA" w:rsidP="005A28EA">
            <w:pPr>
              <w:jc w:val="left"/>
              <w:rPr>
                <w:rFonts w:ascii="Times New Roman" w:hAnsi="Times New Roman"/>
                <w:b/>
                <w:sz w:val="22"/>
              </w:rPr>
            </w:pPr>
          </w:p>
        </w:tc>
        <w:tc>
          <w:tcPr>
            <w:tcW w:w="1965" w:type="dxa"/>
          </w:tcPr>
          <w:p w14:paraId="61B3C6E6" w14:textId="77777777" w:rsidR="005A28EA" w:rsidRPr="00460E3D" w:rsidRDefault="005A28EA" w:rsidP="005A28EA">
            <w:pPr>
              <w:jc w:val="left"/>
              <w:rPr>
                <w:rFonts w:ascii="Times New Roman" w:hAnsi="Times New Roman"/>
                <w:b/>
                <w:sz w:val="22"/>
              </w:rPr>
            </w:pPr>
          </w:p>
        </w:tc>
        <w:tc>
          <w:tcPr>
            <w:tcW w:w="4753" w:type="dxa"/>
          </w:tcPr>
          <w:p w14:paraId="48E2568C" w14:textId="77777777" w:rsidR="005A28EA" w:rsidRPr="00460E3D" w:rsidRDefault="005A28EA" w:rsidP="005A28EA">
            <w:pPr>
              <w:jc w:val="left"/>
              <w:rPr>
                <w:rFonts w:ascii="Times New Roman" w:hAnsi="Times New Roman"/>
                <w:b/>
                <w:sz w:val="22"/>
              </w:rPr>
            </w:pPr>
          </w:p>
        </w:tc>
      </w:tr>
      <w:tr w:rsidR="005A28EA" w:rsidRPr="00C0062E" w14:paraId="1C76738C" w14:textId="77777777" w:rsidTr="00983B9E">
        <w:tc>
          <w:tcPr>
            <w:tcW w:w="2342" w:type="dxa"/>
          </w:tcPr>
          <w:p w14:paraId="789EB463" w14:textId="77777777" w:rsidR="005A28EA" w:rsidRPr="00460E3D" w:rsidRDefault="005A28EA" w:rsidP="005A28EA">
            <w:pPr>
              <w:jc w:val="left"/>
              <w:rPr>
                <w:rFonts w:ascii="Times New Roman" w:hAnsi="Times New Roman"/>
                <w:b/>
                <w:sz w:val="22"/>
              </w:rPr>
            </w:pPr>
          </w:p>
        </w:tc>
        <w:tc>
          <w:tcPr>
            <w:tcW w:w="1965" w:type="dxa"/>
          </w:tcPr>
          <w:p w14:paraId="7B7B2F39" w14:textId="77777777" w:rsidR="005A28EA" w:rsidRPr="00460E3D" w:rsidRDefault="005A28EA" w:rsidP="005A28EA">
            <w:pPr>
              <w:jc w:val="left"/>
              <w:rPr>
                <w:rFonts w:ascii="Times New Roman" w:hAnsi="Times New Roman"/>
                <w:b/>
                <w:sz w:val="22"/>
              </w:rPr>
            </w:pPr>
          </w:p>
        </w:tc>
        <w:tc>
          <w:tcPr>
            <w:tcW w:w="4753" w:type="dxa"/>
          </w:tcPr>
          <w:p w14:paraId="3FCFA840" w14:textId="77777777" w:rsidR="005A28EA" w:rsidRPr="00460E3D" w:rsidRDefault="005A28EA" w:rsidP="005A28EA">
            <w:pPr>
              <w:jc w:val="left"/>
              <w:rPr>
                <w:rFonts w:ascii="Times New Roman" w:hAnsi="Times New Roman"/>
                <w:b/>
                <w:sz w:val="22"/>
              </w:rPr>
            </w:pPr>
          </w:p>
        </w:tc>
      </w:tr>
      <w:tr w:rsidR="00983B9E" w:rsidRPr="00C0062E" w14:paraId="7D065891" w14:textId="77777777" w:rsidTr="00983B9E">
        <w:tc>
          <w:tcPr>
            <w:tcW w:w="2342" w:type="dxa"/>
          </w:tcPr>
          <w:p w14:paraId="7FA6E2C6" w14:textId="77777777" w:rsidR="00983B9E" w:rsidRPr="00460E3D" w:rsidRDefault="00983B9E" w:rsidP="005A28EA">
            <w:pPr>
              <w:jc w:val="left"/>
              <w:rPr>
                <w:b/>
                <w:sz w:val="22"/>
              </w:rPr>
            </w:pPr>
          </w:p>
        </w:tc>
        <w:tc>
          <w:tcPr>
            <w:tcW w:w="1965" w:type="dxa"/>
          </w:tcPr>
          <w:p w14:paraId="4056D053" w14:textId="77777777" w:rsidR="00983B9E" w:rsidRPr="00460E3D" w:rsidRDefault="00983B9E" w:rsidP="005A28EA">
            <w:pPr>
              <w:jc w:val="left"/>
              <w:rPr>
                <w:b/>
                <w:sz w:val="22"/>
              </w:rPr>
            </w:pPr>
          </w:p>
        </w:tc>
        <w:tc>
          <w:tcPr>
            <w:tcW w:w="4753" w:type="dxa"/>
          </w:tcPr>
          <w:p w14:paraId="5D82C682" w14:textId="77777777" w:rsidR="00983B9E" w:rsidRPr="00460E3D" w:rsidRDefault="00983B9E" w:rsidP="005A28EA">
            <w:pPr>
              <w:jc w:val="left"/>
              <w:rPr>
                <w:b/>
                <w:sz w:val="22"/>
              </w:rPr>
            </w:pPr>
          </w:p>
        </w:tc>
      </w:tr>
      <w:tr w:rsidR="005A28EA" w:rsidRPr="00C0062E" w14:paraId="73A72A2B" w14:textId="77777777" w:rsidTr="00983B9E">
        <w:tc>
          <w:tcPr>
            <w:tcW w:w="2342" w:type="dxa"/>
          </w:tcPr>
          <w:p w14:paraId="073B829A" w14:textId="77777777" w:rsidR="005A28EA" w:rsidRPr="00460E3D" w:rsidRDefault="005A28EA" w:rsidP="005A28EA">
            <w:pPr>
              <w:jc w:val="left"/>
              <w:rPr>
                <w:rFonts w:ascii="Times New Roman" w:hAnsi="Times New Roman"/>
                <w:b/>
                <w:sz w:val="22"/>
              </w:rPr>
            </w:pPr>
          </w:p>
        </w:tc>
        <w:tc>
          <w:tcPr>
            <w:tcW w:w="1965" w:type="dxa"/>
          </w:tcPr>
          <w:p w14:paraId="110DFF07" w14:textId="77777777" w:rsidR="005A28EA" w:rsidRPr="00460E3D" w:rsidRDefault="005A28EA" w:rsidP="005A28EA">
            <w:pPr>
              <w:jc w:val="left"/>
              <w:rPr>
                <w:rFonts w:ascii="Times New Roman" w:hAnsi="Times New Roman"/>
                <w:b/>
                <w:sz w:val="22"/>
              </w:rPr>
            </w:pPr>
          </w:p>
        </w:tc>
        <w:tc>
          <w:tcPr>
            <w:tcW w:w="4753" w:type="dxa"/>
          </w:tcPr>
          <w:p w14:paraId="60FD620B" w14:textId="77777777" w:rsidR="005A28EA" w:rsidRPr="00460E3D" w:rsidRDefault="005A28EA" w:rsidP="005A28EA">
            <w:pPr>
              <w:jc w:val="left"/>
              <w:rPr>
                <w:rFonts w:ascii="Times New Roman" w:hAnsi="Times New Roman"/>
                <w:b/>
                <w:sz w:val="22"/>
              </w:rPr>
            </w:pPr>
          </w:p>
        </w:tc>
      </w:tr>
      <w:tr w:rsidR="005A28EA" w:rsidRPr="00C0062E" w14:paraId="21DFC6B9" w14:textId="77777777" w:rsidTr="00983B9E">
        <w:tc>
          <w:tcPr>
            <w:tcW w:w="2342" w:type="dxa"/>
          </w:tcPr>
          <w:p w14:paraId="6F099C38" w14:textId="77777777" w:rsidR="005A28EA" w:rsidRPr="00460E3D" w:rsidRDefault="005A28EA" w:rsidP="005A28EA">
            <w:pPr>
              <w:jc w:val="left"/>
              <w:rPr>
                <w:rFonts w:ascii="Times New Roman" w:hAnsi="Times New Roman"/>
                <w:b/>
                <w:sz w:val="22"/>
              </w:rPr>
            </w:pPr>
          </w:p>
        </w:tc>
        <w:tc>
          <w:tcPr>
            <w:tcW w:w="1965" w:type="dxa"/>
          </w:tcPr>
          <w:p w14:paraId="5EBB000F" w14:textId="77777777" w:rsidR="005A28EA" w:rsidRPr="00460E3D" w:rsidRDefault="005A28EA" w:rsidP="005A28EA">
            <w:pPr>
              <w:jc w:val="left"/>
              <w:rPr>
                <w:rFonts w:ascii="Times New Roman" w:hAnsi="Times New Roman"/>
                <w:b/>
                <w:sz w:val="22"/>
              </w:rPr>
            </w:pPr>
          </w:p>
        </w:tc>
        <w:tc>
          <w:tcPr>
            <w:tcW w:w="4753" w:type="dxa"/>
          </w:tcPr>
          <w:p w14:paraId="46FE390F" w14:textId="77777777" w:rsidR="005A28EA" w:rsidRPr="00460E3D" w:rsidRDefault="005A28EA" w:rsidP="005A28EA">
            <w:pPr>
              <w:jc w:val="left"/>
              <w:rPr>
                <w:rFonts w:ascii="Times New Roman" w:hAnsi="Times New Roman"/>
                <w:b/>
                <w:sz w:val="22"/>
              </w:rPr>
            </w:pPr>
          </w:p>
        </w:tc>
      </w:tr>
    </w:tbl>
    <w:p w14:paraId="04FFF8F6" w14:textId="4BBE825B" w:rsidR="005A28EA" w:rsidRDefault="005A28EA" w:rsidP="005A28EA">
      <w:pPr>
        <w:jc w:val="left"/>
        <w:rPr>
          <w:rFonts w:eastAsia="Calibri"/>
          <w:b/>
          <w:sz w:val="22"/>
          <w:szCs w:val="22"/>
          <w:lang w:eastAsia="en-US"/>
        </w:rPr>
      </w:pPr>
    </w:p>
    <w:p w14:paraId="6AFE9A31" w14:textId="3B4CAEC6"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émergents</w:t>
      </w:r>
    </w:p>
    <w:tbl>
      <w:tblPr>
        <w:tblStyle w:val="Grilledutableau2"/>
        <w:tblW w:w="0" w:type="auto"/>
        <w:tblLook w:val="04A0" w:firstRow="1" w:lastRow="0" w:firstColumn="1" w:lastColumn="0" w:noHBand="0" w:noVBand="1"/>
      </w:tblPr>
      <w:tblGrid>
        <w:gridCol w:w="9060"/>
      </w:tblGrid>
      <w:tr w:rsidR="005A28EA" w:rsidRPr="00C0062E" w14:paraId="04C74513" w14:textId="77777777" w:rsidTr="005A28EA">
        <w:tc>
          <w:tcPr>
            <w:tcW w:w="9210" w:type="dxa"/>
          </w:tcPr>
          <w:p w14:paraId="446E416D" w14:textId="77777777" w:rsidR="005A28EA" w:rsidRDefault="005A28EA" w:rsidP="005A28EA">
            <w:pPr>
              <w:jc w:val="left"/>
              <w:rPr>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54D0B8F4" w14:textId="77777777" w:rsidR="003B0563" w:rsidRPr="00460E3D" w:rsidRDefault="003B0563" w:rsidP="005A28EA">
            <w:pPr>
              <w:jc w:val="left"/>
              <w:rPr>
                <w:rFonts w:ascii="Times New Roman" w:hAnsi="Times New Roman"/>
                <w:i/>
                <w:sz w:val="22"/>
              </w:rPr>
            </w:pPr>
          </w:p>
          <w:p w14:paraId="665457FB" w14:textId="109E7A4E" w:rsidR="005A28EA" w:rsidRDefault="005A28EA" w:rsidP="005A28EA">
            <w:pPr>
              <w:jc w:val="left"/>
              <w:rPr>
                <w:rFonts w:ascii="Times New Roman" w:hAnsi="Times New Roman"/>
                <w:i/>
                <w:sz w:val="22"/>
              </w:rPr>
            </w:pPr>
          </w:p>
          <w:p w14:paraId="2AC6C459" w14:textId="0E6ACA22" w:rsidR="00983B9E" w:rsidRDefault="00983B9E" w:rsidP="005A28EA">
            <w:pPr>
              <w:jc w:val="left"/>
              <w:rPr>
                <w:rFonts w:ascii="Times New Roman" w:hAnsi="Times New Roman"/>
                <w:i/>
                <w:sz w:val="22"/>
              </w:rPr>
            </w:pPr>
          </w:p>
          <w:p w14:paraId="31D92B6E" w14:textId="1136B853" w:rsidR="00983B9E" w:rsidRDefault="00983B9E" w:rsidP="005A28EA">
            <w:pPr>
              <w:jc w:val="left"/>
              <w:rPr>
                <w:rFonts w:ascii="Times New Roman" w:hAnsi="Times New Roman"/>
                <w:i/>
                <w:sz w:val="22"/>
              </w:rPr>
            </w:pPr>
          </w:p>
          <w:p w14:paraId="7B49F1F6" w14:textId="0DADD97D" w:rsidR="00E067C6" w:rsidRDefault="00E067C6" w:rsidP="005A28EA">
            <w:pPr>
              <w:jc w:val="left"/>
              <w:rPr>
                <w:rFonts w:ascii="Times New Roman" w:hAnsi="Times New Roman"/>
                <w:i/>
                <w:sz w:val="22"/>
              </w:rPr>
            </w:pPr>
          </w:p>
          <w:p w14:paraId="617D5950" w14:textId="6C2EA1B9" w:rsidR="00E067C6" w:rsidRDefault="00E067C6" w:rsidP="005A28EA">
            <w:pPr>
              <w:jc w:val="left"/>
              <w:rPr>
                <w:rFonts w:ascii="Times New Roman" w:hAnsi="Times New Roman"/>
                <w:i/>
                <w:sz w:val="22"/>
              </w:rPr>
            </w:pPr>
          </w:p>
          <w:p w14:paraId="53FF361C" w14:textId="5550FC50" w:rsidR="00E067C6" w:rsidRDefault="00E067C6" w:rsidP="005A28EA">
            <w:pPr>
              <w:jc w:val="left"/>
              <w:rPr>
                <w:rFonts w:ascii="Times New Roman" w:hAnsi="Times New Roman"/>
                <w:i/>
                <w:sz w:val="22"/>
              </w:rPr>
            </w:pPr>
          </w:p>
          <w:p w14:paraId="1EEC623B" w14:textId="77777777" w:rsidR="00E067C6" w:rsidRDefault="00E067C6" w:rsidP="005A28EA">
            <w:pPr>
              <w:jc w:val="left"/>
              <w:rPr>
                <w:rFonts w:ascii="Times New Roman" w:hAnsi="Times New Roman"/>
                <w:i/>
                <w:sz w:val="22"/>
              </w:rPr>
            </w:pPr>
          </w:p>
          <w:p w14:paraId="3ED1819F" w14:textId="77777777" w:rsidR="00983B9E" w:rsidRPr="00460E3D" w:rsidRDefault="00983B9E" w:rsidP="005A28EA">
            <w:pPr>
              <w:jc w:val="left"/>
              <w:rPr>
                <w:rFonts w:ascii="Times New Roman" w:hAnsi="Times New Roman"/>
                <w:i/>
                <w:sz w:val="22"/>
              </w:rPr>
            </w:pPr>
          </w:p>
          <w:p w14:paraId="4CC0353D" w14:textId="77777777" w:rsidR="005A28EA" w:rsidRPr="00460E3D" w:rsidRDefault="005A28EA" w:rsidP="005A28EA">
            <w:pPr>
              <w:jc w:val="left"/>
              <w:rPr>
                <w:rFonts w:ascii="Times New Roman" w:hAnsi="Times New Roman"/>
                <w:i/>
                <w:sz w:val="22"/>
              </w:rPr>
            </w:pPr>
          </w:p>
        </w:tc>
      </w:tr>
    </w:tbl>
    <w:p w14:paraId="6BB18A32" w14:textId="77777777" w:rsidR="005A28EA" w:rsidRPr="00460E3D" w:rsidRDefault="005A28EA" w:rsidP="005A28EA">
      <w:pPr>
        <w:jc w:val="left"/>
        <w:rPr>
          <w:rFonts w:eastAsia="Calibri"/>
          <w:b/>
          <w:sz w:val="22"/>
          <w:szCs w:val="22"/>
          <w:lang w:eastAsia="en-US"/>
        </w:rPr>
      </w:pPr>
    </w:p>
    <w:p w14:paraId="07A6289F" w14:textId="77777777" w:rsidR="00E067C6" w:rsidRDefault="00E067C6" w:rsidP="005A28EA">
      <w:pPr>
        <w:jc w:val="left"/>
        <w:rPr>
          <w:rFonts w:eastAsia="Calibri"/>
          <w:szCs w:val="24"/>
          <w:lang w:eastAsia="en-US"/>
        </w:rPr>
        <w:sectPr w:rsidR="00E067C6" w:rsidSect="00E067C6">
          <w:pgSz w:w="11906" w:h="16838"/>
          <w:pgMar w:top="1418" w:right="1418" w:bottom="1418" w:left="1418" w:header="709" w:footer="709" w:gutter="0"/>
          <w:cols w:space="708"/>
          <w:docGrid w:linePitch="360"/>
        </w:sectPr>
      </w:pPr>
    </w:p>
    <w:p w14:paraId="150F8505" w14:textId="5F241E2A" w:rsidR="005A28EA"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2A41A254" w14:textId="77777777" w:rsidTr="00983B9E">
        <w:tc>
          <w:tcPr>
            <w:tcW w:w="14002" w:type="dxa"/>
            <w:shd w:val="clear" w:color="auto" w:fill="FBD4B4" w:themeFill="accent6" w:themeFillTint="66"/>
          </w:tcPr>
          <w:p w14:paraId="0F6ED72D" w14:textId="77777777" w:rsidR="005A28EA" w:rsidRPr="00460E3D" w:rsidRDefault="005A28EA" w:rsidP="005A28EA">
            <w:pPr>
              <w:numPr>
                <w:ilvl w:val="0"/>
                <w:numId w:val="72"/>
              </w:numPr>
              <w:jc w:val="left"/>
              <w:rPr>
                <w:rFonts w:ascii="Times New Roman" w:hAnsi="Times New Roman"/>
                <w:b/>
                <w:sz w:val="22"/>
              </w:rPr>
            </w:pPr>
            <w:r w:rsidRPr="00460E3D">
              <w:rPr>
                <w:b/>
                <w:sz w:val="22"/>
              </w:rPr>
              <w:t>Chèque</w:t>
            </w:r>
          </w:p>
        </w:tc>
      </w:tr>
    </w:tbl>
    <w:p w14:paraId="32FD4735"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07F0BDEB" w14:textId="77777777" w:rsidTr="005A28EA">
        <w:tc>
          <w:tcPr>
            <w:tcW w:w="14142" w:type="dxa"/>
            <w:shd w:val="clear" w:color="auto" w:fill="8DB3E2" w:themeFill="text2" w:themeFillTint="66"/>
          </w:tcPr>
          <w:p w14:paraId="39A19C2A" w14:textId="77777777" w:rsidR="005A28EA" w:rsidRPr="00460E3D" w:rsidRDefault="005A28EA" w:rsidP="005A28EA">
            <w:pPr>
              <w:ind w:left="360"/>
              <w:jc w:val="left"/>
              <w:rPr>
                <w:rFonts w:ascii="Times New Roman" w:hAnsi="Times New Roman"/>
                <w:b/>
                <w:sz w:val="22"/>
              </w:rPr>
            </w:pPr>
            <w:r w:rsidRPr="00C0062E">
              <w:rPr>
                <w:b/>
                <w:sz w:val="22"/>
              </w:rPr>
              <w:t>5.1. Présentation de l’offre</w:t>
            </w:r>
          </w:p>
        </w:tc>
      </w:tr>
    </w:tbl>
    <w:p w14:paraId="39B29EDD" w14:textId="77777777" w:rsidR="005A28EA" w:rsidRPr="00460E3D" w:rsidRDefault="005A28EA" w:rsidP="005A28EA">
      <w:pPr>
        <w:jc w:val="left"/>
        <w:rPr>
          <w:rFonts w:eastAsia="Calibri"/>
          <w:sz w:val="22"/>
          <w:szCs w:val="22"/>
          <w:lang w:eastAsia="en-US"/>
        </w:rPr>
      </w:pPr>
    </w:p>
    <w:p w14:paraId="14854A7F" w14:textId="77777777"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5887A52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0"/>
        <w:gridCol w:w="2942"/>
        <w:gridCol w:w="4048"/>
      </w:tblGrid>
      <w:tr w:rsidR="005A28EA" w:rsidRPr="00C0062E" w14:paraId="0762C7AC" w14:textId="77777777" w:rsidTr="005A28EA">
        <w:tc>
          <w:tcPr>
            <w:tcW w:w="1501" w:type="dxa"/>
            <w:tcBorders>
              <w:bottom w:val="single" w:sz="4" w:space="0" w:color="auto"/>
            </w:tcBorders>
            <w:shd w:val="clear" w:color="auto" w:fill="D6E3BC" w:themeFill="accent3" w:themeFillTint="66"/>
          </w:tcPr>
          <w:p w14:paraId="66D8B4A5"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296FD1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15789C26"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F0B1F24" w14:textId="3452194F" w:rsidR="005A28EA" w:rsidRPr="00460E3D" w:rsidRDefault="005A28EA" w:rsidP="00E11824">
            <w:pPr>
              <w:jc w:val="center"/>
              <w:rPr>
                <w:rFonts w:ascii="Times New Roman" w:hAnsi="Times New Roman"/>
                <w:b/>
                <w:sz w:val="22"/>
              </w:rPr>
            </w:pPr>
            <w:r w:rsidRPr="00C0062E">
              <w:rPr>
                <w:b/>
                <w:sz w:val="22"/>
              </w:rPr>
              <w:t>Cana</w:t>
            </w:r>
            <w:r w:rsidR="006C2F17">
              <w:rPr>
                <w:b/>
                <w:sz w:val="22"/>
              </w:rPr>
              <w:t>l</w:t>
            </w:r>
            <w:r w:rsidRPr="00C0062E">
              <w:rPr>
                <w:b/>
                <w:sz w:val="22"/>
              </w:rPr>
              <w:t xml:space="preserve"> </w:t>
            </w:r>
            <w:r w:rsidR="00E11824">
              <w:rPr>
                <w:b/>
                <w:sz w:val="22"/>
              </w:rPr>
              <w:t>de délivrance / de remise</w:t>
            </w:r>
          </w:p>
        </w:tc>
        <w:tc>
          <w:tcPr>
            <w:tcW w:w="2977" w:type="dxa"/>
            <w:tcBorders>
              <w:bottom w:val="single" w:sz="4" w:space="0" w:color="auto"/>
            </w:tcBorders>
            <w:shd w:val="clear" w:color="auto" w:fill="D6E3BC" w:themeFill="accent3" w:themeFillTint="66"/>
          </w:tcPr>
          <w:p w14:paraId="78B690E6"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EE1CC2E"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75303CB7" w14:textId="77777777" w:rsidTr="005A28EA">
        <w:tc>
          <w:tcPr>
            <w:tcW w:w="1501" w:type="dxa"/>
          </w:tcPr>
          <w:p w14:paraId="7392C57B" w14:textId="77777777" w:rsidR="005A28EA" w:rsidRPr="00460E3D" w:rsidRDefault="005A28EA" w:rsidP="005A28EA">
            <w:pPr>
              <w:jc w:val="left"/>
              <w:rPr>
                <w:rFonts w:ascii="Times New Roman" w:hAnsi="Times New Roman"/>
                <w:sz w:val="22"/>
              </w:rPr>
            </w:pPr>
          </w:p>
        </w:tc>
        <w:tc>
          <w:tcPr>
            <w:tcW w:w="2293" w:type="dxa"/>
          </w:tcPr>
          <w:p w14:paraId="60AF0222" w14:textId="77777777" w:rsidR="005A28EA" w:rsidRPr="00460E3D" w:rsidRDefault="005A28EA" w:rsidP="005A28EA">
            <w:pPr>
              <w:jc w:val="left"/>
              <w:rPr>
                <w:rFonts w:ascii="Times New Roman" w:hAnsi="Times New Roman"/>
                <w:sz w:val="22"/>
              </w:rPr>
            </w:pPr>
          </w:p>
        </w:tc>
        <w:tc>
          <w:tcPr>
            <w:tcW w:w="1516" w:type="dxa"/>
          </w:tcPr>
          <w:p w14:paraId="34F1B555" w14:textId="77777777" w:rsidR="005A28EA" w:rsidRPr="00460E3D" w:rsidRDefault="005A28EA" w:rsidP="005A28EA">
            <w:pPr>
              <w:jc w:val="left"/>
              <w:rPr>
                <w:rFonts w:ascii="Times New Roman" w:hAnsi="Times New Roman"/>
                <w:sz w:val="22"/>
              </w:rPr>
            </w:pPr>
          </w:p>
        </w:tc>
        <w:tc>
          <w:tcPr>
            <w:tcW w:w="1744" w:type="dxa"/>
          </w:tcPr>
          <w:p w14:paraId="37C655B2" w14:textId="77777777" w:rsidR="005A28EA" w:rsidRPr="00460E3D" w:rsidRDefault="005A28EA" w:rsidP="005A28EA">
            <w:pPr>
              <w:jc w:val="left"/>
              <w:rPr>
                <w:rFonts w:ascii="Times New Roman" w:hAnsi="Times New Roman"/>
                <w:sz w:val="22"/>
              </w:rPr>
            </w:pPr>
          </w:p>
        </w:tc>
        <w:tc>
          <w:tcPr>
            <w:tcW w:w="2977" w:type="dxa"/>
          </w:tcPr>
          <w:p w14:paraId="4ED26302" w14:textId="77777777" w:rsidR="005A28EA" w:rsidRPr="00460E3D" w:rsidRDefault="005A28EA" w:rsidP="005A28EA">
            <w:pPr>
              <w:jc w:val="left"/>
              <w:rPr>
                <w:rFonts w:ascii="Times New Roman" w:hAnsi="Times New Roman"/>
                <w:sz w:val="22"/>
              </w:rPr>
            </w:pPr>
          </w:p>
        </w:tc>
        <w:tc>
          <w:tcPr>
            <w:tcW w:w="4111" w:type="dxa"/>
          </w:tcPr>
          <w:p w14:paraId="782D194B" w14:textId="77777777" w:rsidR="005A28EA" w:rsidRPr="00460E3D" w:rsidRDefault="005A28EA" w:rsidP="005A28EA">
            <w:pPr>
              <w:jc w:val="left"/>
              <w:rPr>
                <w:rFonts w:ascii="Times New Roman" w:hAnsi="Times New Roman"/>
                <w:sz w:val="22"/>
              </w:rPr>
            </w:pPr>
          </w:p>
        </w:tc>
      </w:tr>
      <w:tr w:rsidR="005A28EA" w:rsidRPr="00C0062E" w14:paraId="2EDAD6F7" w14:textId="77777777" w:rsidTr="005A28EA">
        <w:tc>
          <w:tcPr>
            <w:tcW w:w="1501" w:type="dxa"/>
          </w:tcPr>
          <w:p w14:paraId="56963D07" w14:textId="77777777" w:rsidR="005A28EA" w:rsidRPr="00460E3D" w:rsidRDefault="005A28EA" w:rsidP="005A28EA">
            <w:pPr>
              <w:jc w:val="left"/>
              <w:rPr>
                <w:rFonts w:ascii="Times New Roman" w:hAnsi="Times New Roman"/>
                <w:sz w:val="22"/>
              </w:rPr>
            </w:pPr>
          </w:p>
        </w:tc>
        <w:tc>
          <w:tcPr>
            <w:tcW w:w="2293" w:type="dxa"/>
          </w:tcPr>
          <w:p w14:paraId="5CB01BD2" w14:textId="77777777" w:rsidR="005A28EA" w:rsidRPr="00460E3D" w:rsidRDefault="005A28EA" w:rsidP="005A28EA">
            <w:pPr>
              <w:jc w:val="left"/>
              <w:rPr>
                <w:rFonts w:ascii="Times New Roman" w:hAnsi="Times New Roman"/>
                <w:sz w:val="22"/>
              </w:rPr>
            </w:pPr>
          </w:p>
        </w:tc>
        <w:tc>
          <w:tcPr>
            <w:tcW w:w="1516" w:type="dxa"/>
          </w:tcPr>
          <w:p w14:paraId="6B281ECE" w14:textId="77777777" w:rsidR="005A28EA" w:rsidRPr="00460E3D" w:rsidRDefault="005A28EA" w:rsidP="005A28EA">
            <w:pPr>
              <w:jc w:val="left"/>
              <w:rPr>
                <w:rFonts w:ascii="Times New Roman" w:hAnsi="Times New Roman"/>
                <w:sz w:val="22"/>
              </w:rPr>
            </w:pPr>
          </w:p>
        </w:tc>
        <w:tc>
          <w:tcPr>
            <w:tcW w:w="1744" w:type="dxa"/>
          </w:tcPr>
          <w:p w14:paraId="7D32A4AA" w14:textId="77777777" w:rsidR="005A28EA" w:rsidRPr="00460E3D" w:rsidRDefault="005A28EA" w:rsidP="005A28EA">
            <w:pPr>
              <w:jc w:val="left"/>
              <w:rPr>
                <w:rFonts w:ascii="Times New Roman" w:hAnsi="Times New Roman"/>
                <w:sz w:val="22"/>
              </w:rPr>
            </w:pPr>
          </w:p>
        </w:tc>
        <w:tc>
          <w:tcPr>
            <w:tcW w:w="2977" w:type="dxa"/>
          </w:tcPr>
          <w:p w14:paraId="1AE41A40" w14:textId="77777777" w:rsidR="005A28EA" w:rsidRPr="00460E3D" w:rsidRDefault="005A28EA" w:rsidP="005A28EA">
            <w:pPr>
              <w:jc w:val="left"/>
              <w:rPr>
                <w:rFonts w:ascii="Times New Roman" w:hAnsi="Times New Roman"/>
                <w:sz w:val="22"/>
              </w:rPr>
            </w:pPr>
          </w:p>
        </w:tc>
        <w:tc>
          <w:tcPr>
            <w:tcW w:w="4111" w:type="dxa"/>
          </w:tcPr>
          <w:p w14:paraId="3BCFD2E8" w14:textId="77777777" w:rsidR="005A28EA" w:rsidRPr="00460E3D" w:rsidRDefault="005A28EA" w:rsidP="005A28EA">
            <w:pPr>
              <w:jc w:val="left"/>
              <w:rPr>
                <w:rFonts w:ascii="Times New Roman" w:hAnsi="Times New Roman"/>
                <w:sz w:val="22"/>
              </w:rPr>
            </w:pPr>
          </w:p>
        </w:tc>
      </w:tr>
      <w:tr w:rsidR="005A28EA" w:rsidRPr="00C0062E" w14:paraId="21013090" w14:textId="77777777" w:rsidTr="005A28EA">
        <w:tc>
          <w:tcPr>
            <w:tcW w:w="1501" w:type="dxa"/>
            <w:tcBorders>
              <w:bottom w:val="single" w:sz="4" w:space="0" w:color="auto"/>
            </w:tcBorders>
          </w:tcPr>
          <w:p w14:paraId="1C757C8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237F740"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8153DC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1EFA183"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113C42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E57FFE7" w14:textId="77777777" w:rsidR="005A28EA" w:rsidRPr="00460E3D" w:rsidRDefault="005A28EA" w:rsidP="005A28EA">
            <w:pPr>
              <w:jc w:val="left"/>
              <w:rPr>
                <w:rFonts w:ascii="Times New Roman" w:hAnsi="Times New Roman"/>
                <w:sz w:val="22"/>
              </w:rPr>
            </w:pPr>
          </w:p>
        </w:tc>
      </w:tr>
      <w:tr w:rsidR="005A28EA" w:rsidRPr="00C0062E" w14:paraId="2C1DADE4" w14:textId="77777777" w:rsidTr="005A28EA">
        <w:tc>
          <w:tcPr>
            <w:tcW w:w="1501" w:type="dxa"/>
            <w:tcBorders>
              <w:bottom w:val="single" w:sz="4" w:space="0" w:color="auto"/>
            </w:tcBorders>
          </w:tcPr>
          <w:p w14:paraId="45B0D084"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2B3C276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3DBF7C6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6140575"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922406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320CB237" w14:textId="77777777" w:rsidR="005A28EA" w:rsidRPr="00460E3D" w:rsidRDefault="005A28EA" w:rsidP="005A28EA">
            <w:pPr>
              <w:jc w:val="left"/>
              <w:rPr>
                <w:rFonts w:ascii="Times New Roman" w:hAnsi="Times New Roman"/>
                <w:sz w:val="22"/>
              </w:rPr>
            </w:pPr>
          </w:p>
        </w:tc>
      </w:tr>
      <w:tr w:rsidR="005A28EA" w:rsidRPr="00C0062E" w14:paraId="33E73417" w14:textId="77777777" w:rsidTr="005A28EA">
        <w:tc>
          <w:tcPr>
            <w:tcW w:w="1501" w:type="dxa"/>
            <w:tcBorders>
              <w:bottom w:val="single" w:sz="4" w:space="0" w:color="auto"/>
            </w:tcBorders>
          </w:tcPr>
          <w:p w14:paraId="09A4C95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1CDBDD8"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CF8BEC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DBB40FE"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3B9174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EBFECAB" w14:textId="77777777" w:rsidR="005A28EA" w:rsidRPr="00460E3D" w:rsidRDefault="005A28EA" w:rsidP="005A28EA">
            <w:pPr>
              <w:jc w:val="left"/>
              <w:rPr>
                <w:rFonts w:ascii="Times New Roman" w:hAnsi="Times New Roman"/>
                <w:sz w:val="22"/>
              </w:rPr>
            </w:pPr>
          </w:p>
        </w:tc>
      </w:tr>
      <w:tr w:rsidR="005A28EA" w:rsidRPr="00C0062E" w14:paraId="0206A183" w14:textId="77777777" w:rsidTr="005A28EA">
        <w:tc>
          <w:tcPr>
            <w:tcW w:w="1501" w:type="dxa"/>
            <w:tcBorders>
              <w:bottom w:val="single" w:sz="4" w:space="0" w:color="auto"/>
            </w:tcBorders>
          </w:tcPr>
          <w:p w14:paraId="47C61346"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4DE31C2"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B27A45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AD84E4F"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47410916"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5066969" w14:textId="77777777" w:rsidR="005A28EA" w:rsidRPr="00460E3D" w:rsidRDefault="005A28EA" w:rsidP="005A28EA">
            <w:pPr>
              <w:jc w:val="left"/>
              <w:rPr>
                <w:rFonts w:ascii="Times New Roman" w:hAnsi="Times New Roman"/>
                <w:sz w:val="22"/>
              </w:rPr>
            </w:pPr>
          </w:p>
        </w:tc>
      </w:tr>
      <w:tr w:rsidR="005A28EA" w:rsidRPr="00C0062E" w14:paraId="3441E481" w14:textId="77777777" w:rsidTr="005A28EA">
        <w:tc>
          <w:tcPr>
            <w:tcW w:w="1501" w:type="dxa"/>
            <w:tcBorders>
              <w:bottom w:val="single" w:sz="4" w:space="0" w:color="auto"/>
            </w:tcBorders>
          </w:tcPr>
          <w:p w14:paraId="536ED330"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5DA8C5E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EBD549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062C94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8D0408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8490497" w14:textId="77777777" w:rsidR="005A28EA" w:rsidRPr="00460E3D" w:rsidRDefault="005A28EA" w:rsidP="005A28EA">
            <w:pPr>
              <w:jc w:val="left"/>
              <w:rPr>
                <w:rFonts w:ascii="Times New Roman" w:hAnsi="Times New Roman"/>
                <w:sz w:val="22"/>
              </w:rPr>
            </w:pPr>
          </w:p>
        </w:tc>
      </w:tr>
      <w:tr w:rsidR="005A28EA" w:rsidRPr="00C0062E" w14:paraId="76ADD276" w14:textId="77777777" w:rsidTr="005A28EA">
        <w:tc>
          <w:tcPr>
            <w:tcW w:w="1501" w:type="dxa"/>
          </w:tcPr>
          <w:p w14:paraId="5EE805EC" w14:textId="77777777" w:rsidR="005A28EA" w:rsidRPr="00460E3D" w:rsidRDefault="005A28EA" w:rsidP="005A28EA">
            <w:pPr>
              <w:jc w:val="left"/>
              <w:rPr>
                <w:rFonts w:ascii="Times New Roman" w:hAnsi="Times New Roman"/>
                <w:sz w:val="22"/>
              </w:rPr>
            </w:pPr>
          </w:p>
        </w:tc>
        <w:tc>
          <w:tcPr>
            <w:tcW w:w="2293" w:type="dxa"/>
          </w:tcPr>
          <w:p w14:paraId="06381F81" w14:textId="77777777" w:rsidR="005A28EA" w:rsidRPr="00460E3D" w:rsidRDefault="005A28EA" w:rsidP="005A28EA">
            <w:pPr>
              <w:jc w:val="left"/>
              <w:rPr>
                <w:rFonts w:ascii="Times New Roman" w:hAnsi="Times New Roman"/>
                <w:sz w:val="22"/>
              </w:rPr>
            </w:pPr>
          </w:p>
        </w:tc>
        <w:tc>
          <w:tcPr>
            <w:tcW w:w="1516" w:type="dxa"/>
          </w:tcPr>
          <w:p w14:paraId="321D5980" w14:textId="77777777" w:rsidR="005A28EA" w:rsidRPr="00460E3D" w:rsidRDefault="005A28EA" w:rsidP="005A28EA">
            <w:pPr>
              <w:jc w:val="left"/>
              <w:rPr>
                <w:rFonts w:ascii="Times New Roman" w:hAnsi="Times New Roman"/>
                <w:sz w:val="22"/>
              </w:rPr>
            </w:pPr>
          </w:p>
        </w:tc>
        <w:tc>
          <w:tcPr>
            <w:tcW w:w="1744" w:type="dxa"/>
          </w:tcPr>
          <w:p w14:paraId="2AFF61D6" w14:textId="77777777" w:rsidR="005A28EA" w:rsidRPr="00460E3D" w:rsidRDefault="005A28EA" w:rsidP="005A28EA">
            <w:pPr>
              <w:jc w:val="left"/>
              <w:rPr>
                <w:rFonts w:ascii="Times New Roman" w:hAnsi="Times New Roman"/>
                <w:sz w:val="22"/>
              </w:rPr>
            </w:pPr>
          </w:p>
        </w:tc>
        <w:tc>
          <w:tcPr>
            <w:tcW w:w="2977" w:type="dxa"/>
          </w:tcPr>
          <w:p w14:paraId="22591C85" w14:textId="77777777" w:rsidR="005A28EA" w:rsidRPr="00460E3D" w:rsidRDefault="005A28EA" w:rsidP="005A28EA">
            <w:pPr>
              <w:jc w:val="left"/>
              <w:rPr>
                <w:rFonts w:ascii="Times New Roman" w:hAnsi="Times New Roman"/>
                <w:sz w:val="22"/>
              </w:rPr>
            </w:pPr>
          </w:p>
        </w:tc>
        <w:tc>
          <w:tcPr>
            <w:tcW w:w="4111" w:type="dxa"/>
          </w:tcPr>
          <w:p w14:paraId="4FA7E29F" w14:textId="77777777" w:rsidR="005A28EA" w:rsidRPr="00460E3D" w:rsidRDefault="005A28EA" w:rsidP="005A28EA">
            <w:pPr>
              <w:jc w:val="left"/>
              <w:rPr>
                <w:rFonts w:ascii="Times New Roman" w:hAnsi="Times New Roman"/>
                <w:sz w:val="22"/>
              </w:rPr>
            </w:pPr>
          </w:p>
        </w:tc>
      </w:tr>
      <w:tr w:rsidR="005A28EA" w:rsidRPr="00C0062E" w14:paraId="7A1147CB" w14:textId="77777777" w:rsidTr="005A28EA">
        <w:tc>
          <w:tcPr>
            <w:tcW w:w="1501" w:type="dxa"/>
          </w:tcPr>
          <w:p w14:paraId="056FFDDE" w14:textId="77777777" w:rsidR="005A28EA" w:rsidRPr="00460E3D" w:rsidRDefault="005A28EA" w:rsidP="005A28EA">
            <w:pPr>
              <w:jc w:val="left"/>
              <w:rPr>
                <w:rFonts w:ascii="Times New Roman" w:hAnsi="Times New Roman"/>
                <w:sz w:val="22"/>
              </w:rPr>
            </w:pPr>
          </w:p>
        </w:tc>
        <w:tc>
          <w:tcPr>
            <w:tcW w:w="2293" w:type="dxa"/>
          </w:tcPr>
          <w:p w14:paraId="346AF103" w14:textId="77777777" w:rsidR="005A28EA" w:rsidRPr="00460E3D" w:rsidRDefault="005A28EA" w:rsidP="005A28EA">
            <w:pPr>
              <w:jc w:val="left"/>
              <w:rPr>
                <w:rFonts w:ascii="Times New Roman" w:hAnsi="Times New Roman"/>
                <w:sz w:val="22"/>
              </w:rPr>
            </w:pPr>
          </w:p>
        </w:tc>
        <w:tc>
          <w:tcPr>
            <w:tcW w:w="1516" w:type="dxa"/>
          </w:tcPr>
          <w:p w14:paraId="05ACBEE2" w14:textId="77777777" w:rsidR="005A28EA" w:rsidRPr="00460E3D" w:rsidRDefault="005A28EA" w:rsidP="005A28EA">
            <w:pPr>
              <w:jc w:val="left"/>
              <w:rPr>
                <w:rFonts w:ascii="Times New Roman" w:hAnsi="Times New Roman"/>
                <w:sz w:val="22"/>
              </w:rPr>
            </w:pPr>
          </w:p>
        </w:tc>
        <w:tc>
          <w:tcPr>
            <w:tcW w:w="1744" w:type="dxa"/>
          </w:tcPr>
          <w:p w14:paraId="4F239FD2" w14:textId="77777777" w:rsidR="005A28EA" w:rsidRPr="00460E3D" w:rsidRDefault="005A28EA" w:rsidP="005A28EA">
            <w:pPr>
              <w:jc w:val="left"/>
              <w:rPr>
                <w:rFonts w:ascii="Times New Roman" w:hAnsi="Times New Roman"/>
                <w:sz w:val="22"/>
              </w:rPr>
            </w:pPr>
          </w:p>
        </w:tc>
        <w:tc>
          <w:tcPr>
            <w:tcW w:w="2977" w:type="dxa"/>
          </w:tcPr>
          <w:p w14:paraId="24B70C37" w14:textId="77777777" w:rsidR="005A28EA" w:rsidRPr="00460E3D" w:rsidRDefault="005A28EA" w:rsidP="005A28EA">
            <w:pPr>
              <w:jc w:val="left"/>
              <w:rPr>
                <w:rFonts w:ascii="Times New Roman" w:hAnsi="Times New Roman"/>
                <w:sz w:val="22"/>
              </w:rPr>
            </w:pPr>
          </w:p>
        </w:tc>
        <w:tc>
          <w:tcPr>
            <w:tcW w:w="4111" w:type="dxa"/>
          </w:tcPr>
          <w:p w14:paraId="1D5C540D" w14:textId="77777777" w:rsidR="005A28EA" w:rsidRPr="00460E3D" w:rsidRDefault="005A28EA" w:rsidP="005A28EA">
            <w:pPr>
              <w:jc w:val="left"/>
              <w:rPr>
                <w:rFonts w:ascii="Times New Roman" w:hAnsi="Times New Roman"/>
                <w:sz w:val="22"/>
              </w:rPr>
            </w:pPr>
          </w:p>
        </w:tc>
      </w:tr>
      <w:tr w:rsidR="005A28EA" w:rsidRPr="00C0062E" w14:paraId="07747F97" w14:textId="77777777" w:rsidTr="005A28EA">
        <w:tc>
          <w:tcPr>
            <w:tcW w:w="1501" w:type="dxa"/>
          </w:tcPr>
          <w:p w14:paraId="03FC251F" w14:textId="77777777" w:rsidR="005A28EA" w:rsidRPr="00460E3D" w:rsidRDefault="005A28EA" w:rsidP="005A28EA">
            <w:pPr>
              <w:jc w:val="left"/>
              <w:rPr>
                <w:rFonts w:ascii="Times New Roman" w:hAnsi="Times New Roman"/>
                <w:sz w:val="22"/>
              </w:rPr>
            </w:pPr>
          </w:p>
        </w:tc>
        <w:tc>
          <w:tcPr>
            <w:tcW w:w="2293" w:type="dxa"/>
          </w:tcPr>
          <w:p w14:paraId="7B28B8CD" w14:textId="77777777" w:rsidR="005A28EA" w:rsidRPr="00460E3D" w:rsidRDefault="005A28EA" w:rsidP="005A28EA">
            <w:pPr>
              <w:jc w:val="left"/>
              <w:rPr>
                <w:rFonts w:ascii="Times New Roman" w:hAnsi="Times New Roman"/>
                <w:sz w:val="22"/>
              </w:rPr>
            </w:pPr>
          </w:p>
        </w:tc>
        <w:tc>
          <w:tcPr>
            <w:tcW w:w="1516" w:type="dxa"/>
          </w:tcPr>
          <w:p w14:paraId="6446868F" w14:textId="77777777" w:rsidR="005A28EA" w:rsidRPr="00460E3D" w:rsidRDefault="005A28EA" w:rsidP="005A28EA">
            <w:pPr>
              <w:jc w:val="left"/>
              <w:rPr>
                <w:rFonts w:ascii="Times New Roman" w:hAnsi="Times New Roman"/>
                <w:sz w:val="22"/>
              </w:rPr>
            </w:pPr>
          </w:p>
        </w:tc>
        <w:tc>
          <w:tcPr>
            <w:tcW w:w="1744" w:type="dxa"/>
          </w:tcPr>
          <w:p w14:paraId="00A4FFFC" w14:textId="77777777" w:rsidR="005A28EA" w:rsidRPr="00460E3D" w:rsidRDefault="005A28EA" w:rsidP="005A28EA">
            <w:pPr>
              <w:jc w:val="left"/>
              <w:rPr>
                <w:rFonts w:ascii="Times New Roman" w:hAnsi="Times New Roman"/>
                <w:sz w:val="22"/>
              </w:rPr>
            </w:pPr>
          </w:p>
        </w:tc>
        <w:tc>
          <w:tcPr>
            <w:tcW w:w="2977" w:type="dxa"/>
          </w:tcPr>
          <w:p w14:paraId="54FD0677" w14:textId="77777777" w:rsidR="005A28EA" w:rsidRPr="00460E3D" w:rsidRDefault="005A28EA" w:rsidP="005A28EA">
            <w:pPr>
              <w:jc w:val="left"/>
              <w:rPr>
                <w:rFonts w:ascii="Times New Roman" w:hAnsi="Times New Roman"/>
                <w:sz w:val="22"/>
              </w:rPr>
            </w:pPr>
          </w:p>
        </w:tc>
        <w:tc>
          <w:tcPr>
            <w:tcW w:w="4111" w:type="dxa"/>
          </w:tcPr>
          <w:p w14:paraId="09EDEB9C" w14:textId="77777777" w:rsidR="005A28EA" w:rsidRPr="00460E3D" w:rsidRDefault="005A28EA" w:rsidP="005A28EA">
            <w:pPr>
              <w:jc w:val="left"/>
              <w:rPr>
                <w:rFonts w:ascii="Times New Roman" w:hAnsi="Times New Roman"/>
                <w:sz w:val="22"/>
              </w:rPr>
            </w:pPr>
          </w:p>
        </w:tc>
      </w:tr>
      <w:tr w:rsidR="005A28EA" w:rsidRPr="00C0062E" w14:paraId="3B307AC2" w14:textId="77777777" w:rsidTr="005A28EA">
        <w:tc>
          <w:tcPr>
            <w:tcW w:w="1501" w:type="dxa"/>
          </w:tcPr>
          <w:p w14:paraId="1B4F7503" w14:textId="77777777" w:rsidR="005A28EA" w:rsidRPr="00460E3D" w:rsidRDefault="005A28EA" w:rsidP="005A28EA">
            <w:pPr>
              <w:jc w:val="left"/>
              <w:rPr>
                <w:rFonts w:ascii="Times New Roman" w:hAnsi="Times New Roman"/>
                <w:sz w:val="22"/>
              </w:rPr>
            </w:pPr>
          </w:p>
        </w:tc>
        <w:tc>
          <w:tcPr>
            <w:tcW w:w="2293" w:type="dxa"/>
          </w:tcPr>
          <w:p w14:paraId="5248AD8F" w14:textId="77777777" w:rsidR="005A28EA" w:rsidRPr="00460E3D" w:rsidRDefault="005A28EA" w:rsidP="005A28EA">
            <w:pPr>
              <w:jc w:val="left"/>
              <w:rPr>
                <w:rFonts w:ascii="Times New Roman" w:hAnsi="Times New Roman"/>
                <w:sz w:val="22"/>
              </w:rPr>
            </w:pPr>
          </w:p>
        </w:tc>
        <w:tc>
          <w:tcPr>
            <w:tcW w:w="1516" w:type="dxa"/>
          </w:tcPr>
          <w:p w14:paraId="49372D00" w14:textId="77777777" w:rsidR="005A28EA" w:rsidRPr="00460E3D" w:rsidRDefault="005A28EA" w:rsidP="005A28EA">
            <w:pPr>
              <w:jc w:val="left"/>
              <w:rPr>
                <w:rFonts w:ascii="Times New Roman" w:hAnsi="Times New Roman"/>
                <w:sz w:val="22"/>
              </w:rPr>
            </w:pPr>
          </w:p>
        </w:tc>
        <w:tc>
          <w:tcPr>
            <w:tcW w:w="1744" w:type="dxa"/>
          </w:tcPr>
          <w:p w14:paraId="64C641F9" w14:textId="77777777" w:rsidR="005A28EA" w:rsidRPr="00460E3D" w:rsidRDefault="005A28EA" w:rsidP="005A28EA">
            <w:pPr>
              <w:jc w:val="left"/>
              <w:rPr>
                <w:rFonts w:ascii="Times New Roman" w:hAnsi="Times New Roman"/>
                <w:sz w:val="22"/>
              </w:rPr>
            </w:pPr>
          </w:p>
        </w:tc>
        <w:tc>
          <w:tcPr>
            <w:tcW w:w="2977" w:type="dxa"/>
          </w:tcPr>
          <w:p w14:paraId="24DDD9A8" w14:textId="77777777" w:rsidR="005A28EA" w:rsidRPr="00460E3D" w:rsidRDefault="005A28EA" w:rsidP="005A28EA">
            <w:pPr>
              <w:jc w:val="left"/>
              <w:rPr>
                <w:rFonts w:ascii="Times New Roman" w:hAnsi="Times New Roman"/>
                <w:sz w:val="22"/>
              </w:rPr>
            </w:pPr>
          </w:p>
        </w:tc>
        <w:tc>
          <w:tcPr>
            <w:tcW w:w="4111" w:type="dxa"/>
          </w:tcPr>
          <w:p w14:paraId="6DF3C098" w14:textId="77777777" w:rsidR="005A28EA" w:rsidRPr="00460E3D" w:rsidRDefault="005A28EA" w:rsidP="005A28EA">
            <w:pPr>
              <w:jc w:val="left"/>
              <w:rPr>
                <w:rFonts w:ascii="Times New Roman" w:hAnsi="Times New Roman"/>
                <w:sz w:val="22"/>
              </w:rPr>
            </w:pPr>
          </w:p>
        </w:tc>
      </w:tr>
    </w:tbl>
    <w:p w14:paraId="4DE241E9"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7C0774E3" w14:textId="77777777" w:rsidR="005A28EA" w:rsidRPr="00460E3D" w:rsidRDefault="005A28EA" w:rsidP="005A28EA">
      <w:pPr>
        <w:ind w:left="720"/>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451C2239" w14:textId="77777777"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produits et des services </w:t>
      </w:r>
    </w:p>
    <w:p w14:paraId="6359C4FD"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0E2A692" w14:textId="77777777" w:rsidTr="005A28EA">
        <w:tc>
          <w:tcPr>
            <w:tcW w:w="9212" w:type="dxa"/>
          </w:tcPr>
          <w:p w14:paraId="05E7076A"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0B141765" w14:textId="77777777" w:rsidR="005A28EA" w:rsidRPr="00460E3D" w:rsidRDefault="005A28EA" w:rsidP="005A28EA">
            <w:pPr>
              <w:jc w:val="left"/>
              <w:rPr>
                <w:rFonts w:ascii="Times New Roman" w:hAnsi="Times New Roman"/>
                <w:sz w:val="22"/>
              </w:rPr>
            </w:pPr>
          </w:p>
          <w:p w14:paraId="1CD245C6" w14:textId="77777777" w:rsidR="005A28EA" w:rsidRPr="00460E3D" w:rsidRDefault="005A28EA" w:rsidP="005A28EA">
            <w:pPr>
              <w:jc w:val="left"/>
              <w:rPr>
                <w:rFonts w:ascii="Times New Roman" w:hAnsi="Times New Roman"/>
                <w:sz w:val="22"/>
              </w:rPr>
            </w:pPr>
          </w:p>
          <w:p w14:paraId="49CB8CBA" w14:textId="77777777" w:rsidR="005A28EA" w:rsidRPr="00460E3D" w:rsidRDefault="005A28EA" w:rsidP="005A28EA">
            <w:pPr>
              <w:jc w:val="left"/>
              <w:rPr>
                <w:rFonts w:ascii="Times New Roman" w:hAnsi="Times New Roman"/>
                <w:sz w:val="22"/>
              </w:rPr>
            </w:pPr>
          </w:p>
        </w:tc>
      </w:tr>
    </w:tbl>
    <w:p w14:paraId="321CF134"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422ED17" w14:textId="77777777" w:rsidTr="005A28EA">
        <w:tc>
          <w:tcPr>
            <w:tcW w:w="9212" w:type="dxa"/>
            <w:shd w:val="clear" w:color="auto" w:fill="8DB3E2" w:themeFill="text2" w:themeFillTint="66"/>
          </w:tcPr>
          <w:p w14:paraId="1B5E1A48" w14:textId="77777777" w:rsidR="005A28EA" w:rsidRPr="00460E3D" w:rsidRDefault="005A28EA" w:rsidP="005A28EA">
            <w:pPr>
              <w:ind w:left="360"/>
              <w:jc w:val="left"/>
              <w:rPr>
                <w:rFonts w:ascii="Times New Roman" w:hAnsi="Times New Roman"/>
                <w:b/>
                <w:sz w:val="22"/>
              </w:rPr>
            </w:pPr>
            <w:r w:rsidRPr="00C0062E">
              <w:rPr>
                <w:b/>
                <w:sz w:val="22"/>
              </w:rPr>
              <w:t>5.2. Organisation opérationnelle de l’activité chèque</w:t>
            </w:r>
          </w:p>
        </w:tc>
      </w:tr>
    </w:tbl>
    <w:p w14:paraId="4AEE2FEC" w14:textId="77777777" w:rsidR="005A28EA" w:rsidRPr="00460E3D" w:rsidRDefault="005A28EA" w:rsidP="005A28EA">
      <w:pPr>
        <w:jc w:val="left"/>
        <w:rPr>
          <w:rFonts w:eastAsia="Calibri"/>
          <w:szCs w:val="24"/>
          <w:lang w:eastAsia="en-US"/>
        </w:rPr>
      </w:pPr>
    </w:p>
    <w:p w14:paraId="2EB13CCA"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14:paraId="6075D2DE"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345889D1" w14:textId="77777777" w:rsidTr="005A28EA">
        <w:tc>
          <w:tcPr>
            <w:tcW w:w="3369" w:type="dxa"/>
            <w:tcBorders>
              <w:bottom w:val="single" w:sz="4" w:space="0" w:color="auto"/>
            </w:tcBorders>
            <w:shd w:val="clear" w:color="auto" w:fill="D6E3BC" w:themeFill="accent3" w:themeFillTint="66"/>
          </w:tcPr>
          <w:p w14:paraId="23278569"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3E35E32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32FA42F" w14:textId="77777777" w:rsidTr="005A28EA">
        <w:tc>
          <w:tcPr>
            <w:tcW w:w="9180" w:type="dxa"/>
            <w:gridSpan w:val="2"/>
            <w:shd w:val="pct10" w:color="auto" w:fill="auto"/>
          </w:tcPr>
          <w:p w14:paraId="43ABDC4F" w14:textId="77777777" w:rsidR="005A28EA" w:rsidRPr="00460E3D" w:rsidRDefault="005A28EA" w:rsidP="005A28EA">
            <w:pPr>
              <w:jc w:val="center"/>
              <w:rPr>
                <w:rFonts w:ascii="Times New Roman" w:hAnsi="Times New Roman"/>
                <w:b/>
                <w:sz w:val="22"/>
              </w:rPr>
            </w:pPr>
            <w:r w:rsidRPr="00C0062E">
              <w:rPr>
                <w:b/>
                <w:sz w:val="22"/>
              </w:rPr>
              <w:t>Activité d’émission</w:t>
            </w:r>
          </w:p>
        </w:tc>
      </w:tr>
      <w:tr w:rsidR="005A28EA" w:rsidRPr="00C0062E" w14:paraId="568D0EFA" w14:textId="77777777" w:rsidTr="005A28EA">
        <w:tc>
          <w:tcPr>
            <w:tcW w:w="3369" w:type="dxa"/>
          </w:tcPr>
          <w:p w14:paraId="45BA5E9D" w14:textId="77777777" w:rsidR="005A28EA" w:rsidRPr="00460E3D" w:rsidRDefault="005A28EA" w:rsidP="005A28EA">
            <w:pPr>
              <w:jc w:val="left"/>
              <w:rPr>
                <w:rFonts w:ascii="Times New Roman" w:hAnsi="Times New Roman"/>
                <w:sz w:val="22"/>
              </w:rPr>
            </w:pPr>
          </w:p>
        </w:tc>
        <w:tc>
          <w:tcPr>
            <w:tcW w:w="5811" w:type="dxa"/>
          </w:tcPr>
          <w:p w14:paraId="19CC8813" w14:textId="77777777" w:rsidR="005A28EA" w:rsidRPr="00460E3D" w:rsidRDefault="005A28EA" w:rsidP="005A28EA">
            <w:pPr>
              <w:jc w:val="left"/>
              <w:rPr>
                <w:rFonts w:ascii="Times New Roman" w:hAnsi="Times New Roman"/>
                <w:sz w:val="22"/>
              </w:rPr>
            </w:pPr>
          </w:p>
        </w:tc>
      </w:tr>
      <w:tr w:rsidR="005A28EA" w:rsidRPr="00C0062E" w14:paraId="30A0017A" w14:textId="77777777" w:rsidTr="005A28EA">
        <w:tc>
          <w:tcPr>
            <w:tcW w:w="3369" w:type="dxa"/>
          </w:tcPr>
          <w:p w14:paraId="7C8470FF" w14:textId="77777777" w:rsidR="005A28EA" w:rsidRPr="00460E3D" w:rsidRDefault="005A28EA" w:rsidP="005A28EA">
            <w:pPr>
              <w:jc w:val="left"/>
              <w:rPr>
                <w:rFonts w:ascii="Times New Roman" w:hAnsi="Times New Roman"/>
                <w:sz w:val="22"/>
              </w:rPr>
            </w:pPr>
          </w:p>
        </w:tc>
        <w:tc>
          <w:tcPr>
            <w:tcW w:w="5811" w:type="dxa"/>
          </w:tcPr>
          <w:p w14:paraId="7FEFE137" w14:textId="77777777" w:rsidR="005A28EA" w:rsidRPr="00460E3D" w:rsidRDefault="005A28EA" w:rsidP="005A28EA">
            <w:pPr>
              <w:jc w:val="left"/>
              <w:rPr>
                <w:rFonts w:ascii="Times New Roman" w:hAnsi="Times New Roman"/>
                <w:sz w:val="22"/>
              </w:rPr>
            </w:pPr>
          </w:p>
        </w:tc>
      </w:tr>
      <w:tr w:rsidR="005A28EA" w:rsidRPr="00C0062E" w14:paraId="04979672" w14:textId="77777777" w:rsidTr="005A28EA">
        <w:tc>
          <w:tcPr>
            <w:tcW w:w="3369" w:type="dxa"/>
            <w:tcBorders>
              <w:bottom w:val="single" w:sz="4" w:space="0" w:color="auto"/>
            </w:tcBorders>
          </w:tcPr>
          <w:p w14:paraId="056580F6"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22111677" w14:textId="77777777" w:rsidR="005A28EA" w:rsidRPr="00460E3D" w:rsidRDefault="005A28EA" w:rsidP="005A28EA">
            <w:pPr>
              <w:jc w:val="left"/>
              <w:rPr>
                <w:rFonts w:ascii="Times New Roman" w:hAnsi="Times New Roman"/>
                <w:sz w:val="22"/>
              </w:rPr>
            </w:pPr>
          </w:p>
        </w:tc>
      </w:tr>
      <w:tr w:rsidR="005A28EA" w:rsidRPr="00C0062E" w14:paraId="4F0ECF07" w14:textId="77777777" w:rsidTr="005A28EA">
        <w:tc>
          <w:tcPr>
            <w:tcW w:w="9180" w:type="dxa"/>
            <w:gridSpan w:val="2"/>
            <w:shd w:val="pct10" w:color="auto" w:fill="auto"/>
          </w:tcPr>
          <w:p w14:paraId="46734444" w14:textId="77777777"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14:paraId="4C7978EC" w14:textId="77777777" w:rsidTr="005A28EA">
        <w:tc>
          <w:tcPr>
            <w:tcW w:w="3369" w:type="dxa"/>
          </w:tcPr>
          <w:p w14:paraId="06290FB8" w14:textId="77777777" w:rsidR="005A28EA" w:rsidRPr="00460E3D" w:rsidRDefault="005A28EA" w:rsidP="005A28EA">
            <w:pPr>
              <w:jc w:val="left"/>
              <w:rPr>
                <w:rFonts w:ascii="Times New Roman" w:hAnsi="Times New Roman"/>
                <w:sz w:val="22"/>
              </w:rPr>
            </w:pPr>
          </w:p>
        </w:tc>
        <w:tc>
          <w:tcPr>
            <w:tcW w:w="5811" w:type="dxa"/>
          </w:tcPr>
          <w:p w14:paraId="704CC6F4" w14:textId="77777777" w:rsidR="005A28EA" w:rsidRPr="00460E3D" w:rsidRDefault="005A28EA" w:rsidP="005A28EA">
            <w:pPr>
              <w:jc w:val="left"/>
              <w:rPr>
                <w:rFonts w:ascii="Times New Roman" w:hAnsi="Times New Roman"/>
                <w:sz w:val="22"/>
              </w:rPr>
            </w:pPr>
          </w:p>
        </w:tc>
      </w:tr>
      <w:tr w:rsidR="005A28EA" w:rsidRPr="00C0062E" w14:paraId="6720B5F3" w14:textId="77777777" w:rsidTr="005A28EA">
        <w:tc>
          <w:tcPr>
            <w:tcW w:w="3369" w:type="dxa"/>
          </w:tcPr>
          <w:p w14:paraId="6B20E05B" w14:textId="77777777" w:rsidR="005A28EA" w:rsidRPr="00460E3D" w:rsidRDefault="005A28EA" w:rsidP="005A28EA">
            <w:pPr>
              <w:jc w:val="left"/>
              <w:rPr>
                <w:rFonts w:ascii="Times New Roman" w:hAnsi="Times New Roman"/>
                <w:sz w:val="22"/>
              </w:rPr>
            </w:pPr>
          </w:p>
        </w:tc>
        <w:tc>
          <w:tcPr>
            <w:tcW w:w="5811" w:type="dxa"/>
          </w:tcPr>
          <w:p w14:paraId="674BEF1A" w14:textId="77777777" w:rsidR="005A28EA" w:rsidRPr="00460E3D" w:rsidRDefault="005A28EA" w:rsidP="005A28EA">
            <w:pPr>
              <w:jc w:val="left"/>
              <w:rPr>
                <w:rFonts w:ascii="Times New Roman" w:hAnsi="Times New Roman"/>
                <w:sz w:val="22"/>
              </w:rPr>
            </w:pPr>
          </w:p>
        </w:tc>
      </w:tr>
      <w:tr w:rsidR="005A28EA" w:rsidRPr="00C0062E" w14:paraId="6C293F9E" w14:textId="77777777" w:rsidTr="005A28EA">
        <w:tc>
          <w:tcPr>
            <w:tcW w:w="3369" w:type="dxa"/>
          </w:tcPr>
          <w:p w14:paraId="6CF10EA1" w14:textId="77777777" w:rsidR="005A28EA" w:rsidRPr="00460E3D" w:rsidRDefault="005A28EA" w:rsidP="005A28EA">
            <w:pPr>
              <w:jc w:val="left"/>
              <w:rPr>
                <w:rFonts w:ascii="Times New Roman" w:hAnsi="Times New Roman"/>
                <w:sz w:val="22"/>
              </w:rPr>
            </w:pPr>
          </w:p>
        </w:tc>
        <w:tc>
          <w:tcPr>
            <w:tcW w:w="5811" w:type="dxa"/>
          </w:tcPr>
          <w:p w14:paraId="76CB3125" w14:textId="77777777" w:rsidR="005A28EA" w:rsidRPr="00460E3D" w:rsidRDefault="005A28EA" w:rsidP="005A28EA">
            <w:pPr>
              <w:jc w:val="left"/>
              <w:rPr>
                <w:rFonts w:ascii="Times New Roman" w:hAnsi="Times New Roman"/>
                <w:sz w:val="22"/>
              </w:rPr>
            </w:pPr>
          </w:p>
        </w:tc>
      </w:tr>
    </w:tbl>
    <w:p w14:paraId="057A6EE3"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1790270C" w14:textId="77777777" w:rsidTr="005A28EA">
        <w:tc>
          <w:tcPr>
            <w:tcW w:w="9212" w:type="dxa"/>
          </w:tcPr>
          <w:p w14:paraId="44FCAFE4"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2CF484DD" w14:textId="77777777" w:rsidR="005A28EA" w:rsidRPr="00460E3D" w:rsidRDefault="005A28EA" w:rsidP="005A28EA">
            <w:pPr>
              <w:rPr>
                <w:rFonts w:ascii="Times New Roman" w:hAnsi="Times New Roman"/>
                <w:i/>
                <w:sz w:val="22"/>
              </w:rPr>
            </w:pPr>
          </w:p>
          <w:p w14:paraId="3B99CD41" w14:textId="77777777" w:rsidR="005A28EA" w:rsidRPr="00460E3D" w:rsidRDefault="005A28EA" w:rsidP="005A28EA">
            <w:pPr>
              <w:rPr>
                <w:rFonts w:ascii="Times New Roman" w:hAnsi="Times New Roman"/>
                <w:sz w:val="22"/>
              </w:rPr>
            </w:pPr>
          </w:p>
          <w:p w14:paraId="16640E95" w14:textId="77777777" w:rsidR="005A28EA" w:rsidRPr="00460E3D" w:rsidRDefault="005A28EA" w:rsidP="005A28EA">
            <w:pPr>
              <w:rPr>
                <w:rFonts w:ascii="Times New Roman" w:hAnsi="Times New Roman"/>
                <w:sz w:val="22"/>
              </w:rPr>
            </w:pPr>
          </w:p>
        </w:tc>
      </w:tr>
    </w:tbl>
    <w:p w14:paraId="1036C4B0" w14:textId="60FF0714" w:rsidR="005A28EA" w:rsidRDefault="005A28EA" w:rsidP="005A28EA">
      <w:pPr>
        <w:jc w:val="left"/>
        <w:rPr>
          <w:rFonts w:eastAsia="Calibri"/>
          <w:sz w:val="22"/>
          <w:szCs w:val="22"/>
          <w:lang w:eastAsia="en-US"/>
        </w:rPr>
      </w:pPr>
    </w:p>
    <w:p w14:paraId="6EC506D2" w14:textId="77777777" w:rsidR="007D55EF" w:rsidRDefault="007D55EF" w:rsidP="007D55EF">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7D55EF" w:rsidRPr="00C0062E" w14:paraId="7B70AA84" w14:textId="77777777" w:rsidTr="00D605A5">
        <w:tc>
          <w:tcPr>
            <w:tcW w:w="9212" w:type="dxa"/>
            <w:shd w:val="clear" w:color="auto" w:fill="8DB3E2" w:themeFill="text2" w:themeFillTint="66"/>
          </w:tcPr>
          <w:p w14:paraId="17A3A153" w14:textId="77777777" w:rsidR="007D55EF" w:rsidRPr="00460E3D" w:rsidRDefault="007D55EF" w:rsidP="00D605A5">
            <w:pPr>
              <w:ind w:left="360"/>
              <w:jc w:val="left"/>
              <w:rPr>
                <w:rFonts w:ascii="Times New Roman" w:hAnsi="Times New Roman"/>
                <w:b/>
                <w:sz w:val="22"/>
              </w:rPr>
            </w:pPr>
            <w:r>
              <w:rPr>
                <w:b/>
                <w:sz w:val="22"/>
              </w:rPr>
              <w:t>5.3.</w:t>
            </w:r>
            <w:r w:rsidRPr="00C0062E">
              <w:rPr>
                <w:b/>
                <w:sz w:val="22"/>
              </w:rPr>
              <w:t xml:space="preserve"> Grille d’analyse des risques et principaux incidents de fraude</w:t>
            </w:r>
          </w:p>
        </w:tc>
      </w:tr>
    </w:tbl>
    <w:p w14:paraId="2C4A8117" w14:textId="77777777" w:rsidR="007D55EF" w:rsidRDefault="007D55EF" w:rsidP="007D55EF">
      <w:pPr>
        <w:spacing w:after="200" w:line="276" w:lineRule="auto"/>
        <w:ind w:left="720"/>
        <w:jc w:val="left"/>
        <w:rPr>
          <w:rFonts w:eastAsia="Calibri"/>
          <w:b/>
          <w:sz w:val="22"/>
          <w:szCs w:val="22"/>
          <w:lang w:eastAsia="en-US"/>
        </w:rPr>
      </w:pPr>
    </w:p>
    <w:p w14:paraId="41472200" w14:textId="77777777" w:rsidR="007D55EF" w:rsidRPr="00E857C6" w:rsidRDefault="007D55EF" w:rsidP="007D55EF">
      <w:pPr>
        <w:pStyle w:val="Paragraphedeliste"/>
        <w:numPr>
          <w:ilvl w:val="1"/>
          <w:numId w:val="79"/>
        </w:numPr>
        <w:spacing w:after="200" w:line="276" w:lineRule="auto"/>
        <w:jc w:val="left"/>
        <w:rPr>
          <w:rFonts w:eastAsia="Calibri"/>
          <w:b/>
          <w:szCs w:val="22"/>
          <w:lang w:eastAsia="en-US"/>
        </w:rPr>
      </w:pPr>
      <w:r w:rsidRPr="00E857C6">
        <w:rPr>
          <w:rFonts w:eastAsia="Calibri"/>
          <w:b/>
          <w:szCs w:val="22"/>
          <w:lang w:eastAsia="en-US"/>
        </w:rPr>
        <w:t>Rappel de la typologie de fraude applicable</w:t>
      </w:r>
    </w:p>
    <w:tbl>
      <w:tblPr>
        <w:tblStyle w:val="Grilledutableau2"/>
        <w:tblW w:w="0" w:type="auto"/>
        <w:tblLook w:val="04A0" w:firstRow="1" w:lastRow="0" w:firstColumn="1" w:lastColumn="0" w:noHBand="0" w:noVBand="1"/>
      </w:tblPr>
      <w:tblGrid>
        <w:gridCol w:w="2632"/>
        <w:gridCol w:w="6428"/>
      </w:tblGrid>
      <w:tr w:rsidR="007D55EF" w:rsidRPr="00C0062E" w14:paraId="7FEF4B17" w14:textId="77777777" w:rsidTr="00D605A5">
        <w:tc>
          <w:tcPr>
            <w:tcW w:w="2660" w:type="dxa"/>
            <w:shd w:val="clear" w:color="auto" w:fill="B6DDE8" w:themeFill="accent5" w:themeFillTint="66"/>
          </w:tcPr>
          <w:p w14:paraId="7C0419A0" w14:textId="77777777" w:rsidR="007D55EF" w:rsidRPr="00460E3D" w:rsidRDefault="007D55EF" w:rsidP="00D605A5">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4458061C" w14:textId="77777777" w:rsidR="007D55EF" w:rsidRPr="00460E3D" w:rsidRDefault="007D55EF" w:rsidP="00D605A5">
            <w:pPr>
              <w:jc w:val="center"/>
              <w:rPr>
                <w:rFonts w:ascii="Times New Roman" w:hAnsi="Times New Roman"/>
                <w:b/>
                <w:sz w:val="22"/>
              </w:rPr>
            </w:pPr>
            <w:r w:rsidRPr="00C0062E">
              <w:rPr>
                <w:b/>
                <w:sz w:val="22"/>
              </w:rPr>
              <w:t>Description</w:t>
            </w:r>
          </w:p>
        </w:tc>
      </w:tr>
      <w:tr w:rsidR="007D55EF" w:rsidRPr="00C0062E" w14:paraId="1FA1E3A2" w14:textId="77777777" w:rsidTr="00D605A5">
        <w:tc>
          <w:tcPr>
            <w:tcW w:w="2660" w:type="dxa"/>
          </w:tcPr>
          <w:p w14:paraId="1A20B947" w14:textId="4D0C6290" w:rsidR="007D55EF" w:rsidRPr="00460E3D" w:rsidRDefault="007D55EF" w:rsidP="00B04881">
            <w:pPr>
              <w:jc w:val="left"/>
              <w:rPr>
                <w:rFonts w:ascii="Times New Roman" w:hAnsi="Times New Roman"/>
                <w:sz w:val="22"/>
              </w:rPr>
            </w:pPr>
            <w:r w:rsidRPr="00C0062E">
              <w:rPr>
                <w:sz w:val="22"/>
              </w:rPr>
              <w:t xml:space="preserve">Vol, perte </w:t>
            </w:r>
          </w:p>
        </w:tc>
        <w:tc>
          <w:tcPr>
            <w:tcW w:w="6552" w:type="dxa"/>
          </w:tcPr>
          <w:p w14:paraId="0A6ECA29" w14:textId="77777777" w:rsidR="00B04881" w:rsidRPr="00241A7C" w:rsidRDefault="00B04881" w:rsidP="00B04881">
            <w:pPr>
              <w:suppressAutoHyphens/>
              <w:autoSpaceDE w:val="0"/>
              <w:autoSpaceDN w:val="0"/>
              <w:adjustRightInd w:val="0"/>
              <w:ind w:right="57"/>
              <w:textAlignment w:val="center"/>
              <w:rPr>
                <w:rFonts w:cstheme="minorHAnsi"/>
                <w:sz w:val="22"/>
              </w:rPr>
            </w:pPr>
            <w:r>
              <w:rPr>
                <w:rFonts w:cstheme="minorHAnsi"/>
                <w:sz w:val="22"/>
              </w:rPr>
              <w:t xml:space="preserve">- </w:t>
            </w:r>
            <w:r w:rsidRPr="009616A9">
              <w:rPr>
                <w:rFonts w:cstheme="minorHAnsi"/>
                <w:sz w:val="22"/>
              </w:rPr>
              <w:t>Utilisation par le fraudeur d’un chèque perdu ou volé à son titulaire légitime revêtu d’une fausse signature qui n’est ni celle du titulaire du compte, ni celle de son mandataire.</w:t>
            </w:r>
          </w:p>
          <w:p w14:paraId="74709F73" w14:textId="2EEDF9D7" w:rsidR="007D55EF" w:rsidRPr="00460E3D" w:rsidRDefault="00B04881" w:rsidP="00890013">
            <w:pPr>
              <w:rPr>
                <w:rFonts w:ascii="Times New Roman" w:hAnsi="Times New Roman"/>
                <w:sz w:val="22"/>
              </w:rPr>
            </w:pPr>
            <w:r w:rsidRPr="009616A9">
              <w:rPr>
                <w:rFonts w:cstheme="minorHAnsi"/>
                <w:sz w:val="22"/>
              </w:rPr>
              <w:t>- Émission illégitime d’un chèque par un fraudeur utilisant une formule vierge.</w:t>
            </w:r>
          </w:p>
        </w:tc>
      </w:tr>
      <w:tr w:rsidR="007D55EF" w:rsidRPr="00C0062E" w14:paraId="192AC847" w14:textId="77777777" w:rsidTr="00D605A5">
        <w:tc>
          <w:tcPr>
            <w:tcW w:w="2660" w:type="dxa"/>
          </w:tcPr>
          <w:p w14:paraId="20A68436" w14:textId="77777777" w:rsidR="007D55EF" w:rsidRPr="00460E3D" w:rsidRDefault="007D55EF" w:rsidP="00D605A5">
            <w:pPr>
              <w:jc w:val="left"/>
              <w:rPr>
                <w:rFonts w:ascii="Times New Roman" w:hAnsi="Times New Roman"/>
                <w:sz w:val="22"/>
              </w:rPr>
            </w:pPr>
            <w:r w:rsidRPr="00C0062E">
              <w:rPr>
                <w:sz w:val="22"/>
              </w:rPr>
              <w:t>Contrefaçon</w:t>
            </w:r>
          </w:p>
        </w:tc>
        <w:tc>
          <w:tcPr>
            <w:tcW w:w="6552" w:type="dxa"/>
          </w:tcPr>
          <w:p w14:paraId="2F2AD499" w14:textId="54BE5E5F" w:rsidR="007D55EF" w:rsidRPr="00460E3D" w:rsidRDefault="00B04881" w:rsidP="00890013">
            <w:pPr>
              <w:rPr>
                <w:rFonts w:ascii="Times New Roman" w:hAnsi="Times New Roman"/>
                <w:sz w:val="22"/>
              </w:rPr>
            </w:pPr>
            <w:r w:rsidRPr="009616A9">
              <w:rPr>
                <w:rFonts w:cstheme="minorHAnsi"/>
                <w:sz w:val="22"/>
              </w:rPr>
              <w:t>Faux chèque créé de toutes pièces par le fraudeur, émis sur une banque existante ou une fausse banque.</w:t>
            </w:r>
          </w:p>
        </w:tc>
      </w:tr>
      <w:tr w:rsidR="007D55EF" w:rsidRPr="00C0062E" w14:paraId="726E6C31" w14:textId="77777777" w:rsidTr="00D605A5">
        <w:tc>
          <w:tcPr>
            <w:tcW w:w="2660" w:type="dxa"/>
          </w:tcPr>
          <w:p w14:paraId="19520557" w14:textId="77777777" w:rsidR="007D55EF" w:rsidRPr="00460E3D" w:rsidRDefault="007D55EF" w:rsidP="00D605A5">
            <w:pPr>
              <w:jc w:val="left"/>
              <w:rPr>
                <w:rFonts w:ascii="Times New Roman" w:hAnsi="Times New Roman"/>
                <w:sz w:val="22"/>
              </w:rPr>
            </w:pPr>
            <w:r w:rsidRPr="00C0062E">
              <w:rPr>
                <w:sz w:val="22"/>
              </w:rPr>
              <w:t>Falsification</w:t>
            </w:r>
          </w:p>
        </w:tc>
        <w:tc>
          <w:tcPr>
            <w:tcW w:w="6552" w:type="dxa"/>
          </w:tcPr>
          <w:p w14:paraId="7AA3A142" w14:textId="25F86D8E" w:rsidR="007D55EF" w:rsidRPr="00460E3D" w:rsidRDefault="00B04881" w:rsidP="00890013">
            <w:pPr>
              <w:rPr>
                <w:rFonts w:ascii="Times New Roman" w:hAnsi="Times New Roman"/>
                <w:sz w:val="22"/>
              </w:rPr>
            </w:pPr>
            <w:r w:rsidRPr="009616A9">
              <w:rPr>
                <w:rFonts w:cstheme="minorHAnsi"/>
                <w:sz w:val="22"/>
              </w:rPr>
              <w:t>Chèque régulier intercepté par un fraudeur qui le modifie volontairement par des procédés mécaniques et/ou chimiques (par ex. grattage, gommage ou effacement) dans son montant ou dans son ordre.</w:t>
            </w:r>
          </w:p>
        </w:tc>
      </w:tr>
      <w:tr w:rsidR="007D55EF" w:rsidRPr="00C0062E" w14:paraId="70CD999F" w14:textId="77777777" w:rsidTr="00D605A5">
        <w:tc>
          <w:tcPr>
            <w:tcW w:w="2660" w:type="dxa"/>
          </w:tcPr>
          <w:p w14:paraId="11398086" w14:textId="77777777" w:rsidR="007D55EF" w:rsidRPr="00460E3D" w:rsidRDefault="007D55EF" w:rsidP="00D605A5">
            <w:pPr>
              <w:jc w:val="left"/>
              <w:rPr>
                <w:rFonts w:ascii="Times New Roman" w:hAnsi="Times New Roman"/>
                <w:sz w:val="22"/>
              </w:rPr>
            </w:pPr>
            <w:r w:rsidRPr="00C0062E">
              <w:rPr>
                <w:sz w:val="22"/>
              </w:rPr>
              <w:t>Détournement, rejeu</w:t>
            </w:r>
          </w:p>
        </w:tc>
        <w:tc>
          <w:tcPr>
            <w:tcW w:w="6552" w:type="dxa"/>
          </w:tcPr>
          <w:p w14:paraId="2C1A90D2" w14:textId="77777777" w:rsidR="00F979C4" w:rsidRPr="00241A7C" w:rsidRDefault="00F979C4" w:rsidP="00F979C4">
            <w:pPr>
              <w:suppressAutoHyphens/>
              <w:autoSpaceDE w:val="0"/>
              <w:autoSpaceDN w:val="0"/>
              <w:adjustRightInd w:val="0"/>
              <w:ind w:right="57"/>
              <w:textAlignment w:val="center"/>
              <w:rPr>
                <w:rFonts w:cstheme="minorHAnsi"/>
                <w:sz w:val="22"/>
              </w:rPr>
            </w:pPr>
            <w:r>
              <w:rPr>
                <w:rFonts w:cstheme="minorHAnsi"/>
                <w:sz w:val="22"/>
              </w:rPr>
              <w:t xml:space="preserve">- </w:t>
            </w:r>
            <w:r w:rsidRPr="009616A9">
              <w:rPr>
                <w:rFonts w:cstheme="minorHAnsi"/>
                <w:sz w:val="22"/>
              </w:rPr>
              <w:t xml:space="preserve">Chèque régulièrement émis, perdu ou volé, intercepté dans le circuit d’acheminement vers le bénéficiaire et encaissé sur un compte différent de celui du bénéficiaire légitime. La formule est correcte, le nom du bénéficiaire est inchangé et la ligne magnétique située en bas du chèque est valide, tout comme la signature du client. </w:t>
            </w:r>
          </w:p>
          <w:p w14:paraId="12329C70" w14:textId="77777777" w:rsidR="00F979C4" w:rsidRPr="009616A9" w:rsidRDefault="00F979C4" w:rsidP="00F979C4">
            <w:pPr>
              <w:suppressAutoHyphens/>
              <w:autoSpaceDE w:val="0"/>
              <w:autoSpaceDN w:val="0"/>
              <w:adjustRightInd w:val="0"/>
              <w:ind w:right="57"/>
              <w:textAlignment w:val="center"/>
              <w:rPr>
                <w:rFonts w:cstheme="minorHAnsi"/>
                <w:sz w:val="22"/>
              </w:rPr>
            </w:pPr>
            <w:r>
              <w:rPr>
                <w:rFonts w:cstheme="minorHAnsi"/>
                <w:sz w:val="22"/>
              </w:rPr>
              <w:t xml:space="preserve">- </w:t>
            </w:r>
            <w:r w:rsidRPr="009616A9">
              <w:rPr>
                <w:rFonts w:cstheme="minorHAnsi"/>
                <w:sz w:val="22"/>
              </w:rPr>
              <w:t>Chèque perdu ou volé après compensation dans les systèmes de paiement et présenté à nouveau à l’encaissement.</w:t>
            </w:r>
          </w:p>
          <w:p w14:paraId="3B741EC7" w14:textId="3AA8277D" w:rsidR="007D55EF" w:rsidRPr="00460E3D" w:rsidRDefault="00F979C4" w:rsidP="00890013">
            <w:pPr>
              <w:rPr>
                <w:rFonts w:ascii="Times New Roman" w:hAnsi="Times New Roman"/>
                <w:sz w:val="22"/>
              </w:rPr>
            </w:pPr>
            <w:r>
              <w:rPr>
                <w:rFonts w:cstheme="minorHAnsi"/>
                <w:sz w:val="22"/>
              </w:rPr>
              <w:t xml:space="preserve">- </w:t>
            </w:r>
            <w:r w:rsidRPr="009616A9">
              <w:rPr>
                <w:rFonts w:cstheme="minorHAnsi"/>
                <w:sz w:val="22"/>
              </w:rPr>
              <w:t>Chèque émis par le titulaire légitime sous la contrainte ou la manipulation.</w:t>
            </w:r>
          </w:p>
        </w:tc>
      </w:tr>
    </w:tbl>
    <w:p w14:paraId="51ED75DC" w14:textId="77777777" w:rsidR="00E23663" w:rsidRDefault="00E23663" w:rsidP="007D55EF">
      <w:pPr>
        <w:jc w:val="left"/>
        <w:rPr>
          <w:rFonts w:eastAsia="Calibri"/>
          <w:b/>
          <w:sz w:val="22"/>
          <w:szCs w:val="22"/>
          <w:lang w:eastAsia="en-US"/>
        </w:rPr>
      </w:pPr>
    </w:p>
    <w:p w14:paraId="70FEC0C8" w14:textId="77777777" w:rsidR="007D55EF" w:rsidRDefault="007D55EF" w:rsidP="007D55EF">
      <w:pPr>
        <w:jc w:val="left"/>
        <w:rPr>
          <w:rFonts w:eastAsia="Calibri"/>
          <w:b/>
          <w:sz w:val="22"/>
          <w:szCs w:val="22"/>
          <w:lang w:eastAsia="en-US"/>
        </w:rPr>
      </w:pPr>
    </w:p>
    <w:p w14:paraId="7836BA47" w14:textId="77777777" w:rsidR="007D55EF" w:rsidRPr="00E857C6" w:rsidRDefault="007D55EF" w:rsidP="007D55EF">
      <w:pPr>
        <w:pStyle w:val="Paragraphedeliste"/>
        <w:numPr>
          <w:ilvl w:val="1"/>
          <w:numId w:val="79"/>
        </w:numPr>
        <w:spacing w:after="200" w:line="276" w:lineRule="auto"/>
        <w:jc w:val="left"/>
        <w:rPr>
          <w:rFonts w:eastAsia="Calibri"/>
          <w:b/>
          <w:szCs w:val="22"/>
          <w:lang w:eastAsia="en-US"/>
        </w:rPr>
      </w:pPr>
      <w:r w:rsidRPr="00E857C6">
        <w:rPr>
          <w:rFonts w:eastAsia="Calibri"/>
          <w:b/>
          <w:szCs w:val="22"/>
          <w:lang w:eastAsia="en-US"/>
        </w:rPr>
        <w:t>Cotation globale du risque de fraude sur le</w:t>
      </w:r>
      <w:r w:rsidRPr="007904B3">
        <w:rPr>
          <w:rFonts w:eastAsia="Calibri"/>
          <w:b/>
          <w:szCs w:val="22"/>
          <w:lang w:eastAsia="en-US"/>
        </w:rPr>
        <w:t>s chèques</w:t>
      </w:r>
    </w:p>
    <w:p w14:paraId="66953F49" w14:textId="77777777" w:rsidR="007D55EF" w:rsidRPr="003B0563" w:rsidRDefault="007D55EF" w:rsidP="007D55EF">
      <w:pPr>
        <w:spacing w:after="200" w:line="276" w:lineRule="auto"/>
        <w:jc w:val="left"/>
        <w:rPr>
          <w:rFonts w:eastAsia="Calibri"/>
          <w:b/>
          <w:sz w:val="22"/>
          <w:szCs w:val="22"/>
          <w:lang w:eastAsia="en-US"/>
        </w:rPr>
      </w:pPr>
      <w:r>
        <w:rPr>
          <w:rFonts w:eastAsia="Calibri"/>
          <w:i/>
          <w:sz w:val="22"/>
          <w:szCs w:val="22"/>
          <w:lang w:eastAsia="en-US"/>
        </w:rPr>
        <w:t>En référence à l</w:t>
      </w:r>
      <w:r w:rsidRPr="003B0563">
        <w:rPr>
          <w:rFonts w:eastAsia="Calibri"/>
          <w:i/>
          <w:sz w:val="22"/>
          <w:szCs w:val="22"/>
          <w:lang w:eastAsia="en-US"/>
        </w:rPr>
        <w:t xml:space="preserve">a matrice de cotation utilisée par l’établissement pour évaluer le risque de fraude </w:t>
      </w:r>
      <w:r>
        <w:rPr>
          <w:rFonts w:eastAsia="Calibri"/>
          <w:i/>
          <w:sz w:val="22"/>
          <w:szCs w:val="22"/>
          <w:lang w:eastAsia="en-US"/>
        </w:rPr>
        <w:t xml:space="preserve">qui </w:t>
      </w:r>
      <w:r w:rsidRPr="003B0563">
        <w:rPr>
          <w:rFonts w:eastAsia="Calibri"/>
          <w:i/>
          <w:sz w:val="22"/>
          <w:szCs w:val="22"/>
          <w:lang w:eastAsia="en-US"/>
        </w:rPr>
        <w:t>est à communiquer dans la partie V de la présente annexe.</w:t>
      </w:r>
    </w:p>
    <w:tbl>
      <w:tblPr>
        <w:tblStyle w:val="Grilledutableau11"/>
        <w:tblW w:w="0" w:type="auto"/>
        <w:tblInd w:w="-34" w:type="dxa"/>
        <w:tblLook w:val="04A0" w:firstRow="1" w:lastRow="0" w:firstColumn="1" w:lastColumn="0" w:noHBand="0" w:noVBand="1"/>
      </w:tblPr>
      <w:tblGrid>
        <w:gridCol w:w="2951"/>
        <w:gridCol w:w="6143"/>
      </w:tblGrid>
      <w:tr w:rsidR="007D55EF" w:rsidRPr="00C0062E" w14:paraId="49739ED7" w14:textId="77777777" w:rsidTr="00D605A5">
        <w:tc>
          <w:tcPr>
            <w:tcW w:w="2977" w:type="dxa"/>
            <w:shd w:val="clear" w:color="auto" w:fill="F2DBDB" w:themeFill="accent2" w:themeFillTint="33"/>
          </w:tcPr>
          <w:p w14:paraId="06A9B95A" w14:textId="77777777" w:rsidR="007D55EF" w:rsidRPr="00460E3D" w:rsidRDefault="007D55EF" w:rsidP="00D605A5">
            <w:pPr>
              <w:jc w:val="left"/>
              <w:rPr>
                <w:rFonts w:ascii="Times New Roman" w:hAnsi="Times New Roman"/>
                <w:szCs w:val="24"/>
                <w:u w:val="single"/>
              </w:rPr>
            </w:pPr>
            <w:r w:rsidRPr="00460E3D">
              <w:rPr>
                <w:szCs w:val="24"/>
                <w:u w:val="single"/>
              </w:rPr>
              <w:t>Risque brut</w:t>
            </w:r>
          </w:p>
          <w:p w14:paraId="38385F67" w14:textId="77777777" w:rsidR="007D55EF" w:rsidRPr="00460E3D" w:rsidRDefault="007D55EF" w:rsidP="00D605A5">
            <w:pPr>
              <w:jc w:val="left"/>
              <w:rPr>
                <w:rFonts w:ascii="Times New Roman" w:hAnsi="Times New Roman"/>
                <w:i/>
                <w:szCs w:val="24"/>
              </w:rPr>
            </w:pPr>
            <w:r w:rsidRPr="00C0062E">
              <w:rPr>
                <w:i/>
                <w:szCs w:val="24"/>
              </w:rPr>
              <w:t>(Risque inhérent avant les mesures de couverture)</w:t>
            </w:r>
          </w:p>
        </w:tc>
        <w:tc>
          <w:tcPr>
            <w:tcW w:w="6237" w:type="dxa"/>
          </w:tcPr>
          <w:p w14:paraId="65B0C49D" w14:textId="77777777" w:rsidR="007D55EF" w:rsidRPr="00460E3D" w:rsidRDefault="007D55EF" w:rsidP="00D605A5">
            <w:pPr>
              <w:jc w:val="left"/>
              <w:rPr>
                <w:rFonts w:ascii="Times New Roman" w:hAnsi="Times New Roman"/>
                <w:szCs w:val="24"/>
              </w:rPr>
            </w:pPr>
          </w:p>
        </w:tc>
      </w:tr>
      <w:tr w:rsidR="007D55EF" w:rsidRPr="00C0062E" w14:paraId="162C9D65" w14:textId="77777777" w:rsidTr="00D605A5">
        <w:tc>
          <w:tcPr>
            <w:tcW w:w="2977" w:type="dxa"/>
            <w:shd w:val="clear" w:color="auto" w:fill="F2DBDB" w:themeFill="accent2" w:themeFillTint="33"/>
          </w:tcPr>
          <w:p w14:paraId="73A175D8" w14:textId="77777777" w:rsidR="007D55EF" w:rsidRPr="00460E3D" w:rsidRDefault="007D55EF" w:rsidP="00D605A5">
            <w:pPr>
              <w:jc w:val="left"/>
              <w:rPr>
                <w:rFonts w:ascii="Times New Roman" w:hAnsi="Times New Roman"/>
                <w:szCs w:val="24"/>
                <w:u w:val="single"/>
              </w:rPr>
            </w:pPr>
            <w:r w:rsidRPr="00C0062E">
              <w:rPr>
                <w:szCs w:val="24"/>
                <w:u w:val="single"/>
              </w:rPr>
              <w:t>Risque résiduel</w:t>
            </w:r>
          </w:p>
          <w:p w14:paraId="1432D436" w14:textId="77777777" w:rsidR="007D55EF" w:rsidRPr="00460E3D" w:rsidRDefault="007D55EF" w:rsidP="00D605A5">
            <w:pPr>
              <w:jc w:val="left"/>
              <w:rPr>
                <w:rFonts w:ascii="Times New Roman" w:hAnsi="Times New Roman"/>
                <w:i/>
                <w:szCs w:val="24"/>
              </w:rPr>
            </w:pPr>
            <w:r w:rsidRPr="00C0062E">
              <w:rPr>
                <w:i/>
                <w:szCs w:val="24"/>
              </w:rPr>
              <w:t>(Risque subsistant après les mesures de couverture)</w:t>
            </w:r>
          </w:p>
        </w:tc>
        <w:tc>
          <w:tcPr>
            <w:tcW w:w="6237" w:type="dxa"/>
          </w:tcPr>
          <w:p w14:paraId="7D03CF17" w14:textId="77777777" w:rsidR="007D55EF" w:rsidRPr="00460E3D" w:rsidRDefault="007D55EF" w:rsidP="00D605A5">
            <w:pPr>
              <w:jc w:val="left"/>
              <w:rPr>
                <w:rFonts w:ascii="Times New Roman" w:hAnsi="Times New Roman"/>
                <w:szCs w:val="24"/>
              </w:rPr>
            </w:pPr>
          </w:p>
        </w:tc>
      </w:tr>
    </w:tbl>
    <w:p w14:paraId="489EDEDE" w14:textId="2004F359" w:rsidR="007D55EF" w:rsidRDefault="007D55EF" w:rsidP="007D55EF">
      <w:pPr>
        <w:ind w:left="360"/>
        <w:jc w:val="left"/>
        <w:rPr>
          <w:rFonts w:eastAsia="Calibri"/>
          <w:szCs w:val="24"/>
          <w:lang w:eastAsia="en-US"/>
        </w:rPr>
      </w:pPr>
    </w:p>
    <w:p w14:paraId="78F86FAD" w14:textId="77777777" w:rsidR="00E23663" w:rsidRPr="00460E3D" w:rsidRDefault="00E23663" w:rsidP="007D55EF">
      <w:pPr>
        <w:ind w:left="360"/>
        <w:jc w:val="left"/>
        <w:rPr>
          <w:rFonts w:eastAsia="Calibri"/>
          <w:szCs w:val="24"/>
          <w:lang w:eastAsia="en-US"/>
        </w:rPr>
      </w:pPr>
    </w:p>
    <w:p w14:paraId="11D8C6D0" w14:textId="77777777" w:rsidR="007D55EF" w:rsidRPr="00E857C6" w:rsidRDefault="007D55EF" w:rsidP="007D55EF">
      <w:pPr>
        <w:pStyle w:val="Paragraphedeliste"/>
        <w:numPr>
          <w:ilvl w:val="1"/>
          <w:numId w:val="79"/>
        </w:numPr>
        <w:spacing w:after="200" w:line="276" w:lineRule="auto"/>
        <w:jc w:val="left"/>
        <w:rPr>
          <w:rFonts w:eastAsia="Calibri"/>
          <w:b/>
          <w:szCs w:val="22"/>
          <w:lang w:eastAsia="en-US"/>
        </w:rPr>
      </w:pPr>
      <w:r w:rsidRPr="00E857C6">
        <w:rPr>
          <w:rFonts w:eastAsia="Calibri"/>
          <w:b/>
          <w:szCs w:val="22"/>
          <w:lang w:eastAsia="en-US"/>
        </w:rPr>
        <w:t>Mesures de couverture du risque de fraude</w:t>
      </w:r>
    </w:p>
    <w:p w14:paraId="444FDD13" w14:textId="77777777" w:rsidR="007D55EF" w:rsidRDefault="007D55EF" w:rsidP="007D55EF">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6E0EEA1" w14:textId="77777777" w:rsidR="007D55EF" w:rsidRPr="00460E3D" w:rsidRDefault="007D55EF" w:rsidP="007D55EF">
      <w:pPr>
        <w:rPr>
          <w:rFonts w:eastAsia="Calibri"/>
          <w:i/>
          <w:sz w:val="22"/>
          <w:szCs w:val="22"/>
          <w:lang w:eastAsia="en-US"/>
        </w:rPr>
      </w:pPr>
    </w:p>
    <w:p w14:paraId="3E2F7054" w14:textId="77777777" w:rsidR="007D55EF" w:rsidRPr="00E857C6" w:rsidRDefault="007D55EF" w:rsidP="007D55EF">
      <w:pPr>
        <w:rPr>
          <w:rFonts w:eastAsia="Calibri"/>
          <w:sz w:val="22"/>
          <w:szCs w:val="22"/>
          <w:lang w:eastAsia="en-US"/>
        </w:rPr>
      </w:pPr>
      <w:r w:rsidRPr="00E857C6">
        <w:rPr>
          <w:rFonts w:eastAsia="Calibri"/>
          <w:sz w:val="22"/>
          <w:szCs w:val="22"/>
          <w:lang w:eastAsia="en-US"/>
        </w:rPr>
        <w:t>En tant qu’établissement du tiré</w:t>
      </w:r>
      <w:r>
        <w:rPr>
          <w:rFonts w:eastAsia="Calibri"/>
          <w:sz w:val="22"/>
          <w:szCs w:val="22"/>
          <w:lang w:eastAsia="en-US"/>
        </w:rPr>
        <w:t> :</w:t>
      </w:r>
    </w:p>
    <w:tbl>
      <w:tblPr>
        <w:tblStyle w:val="Grilledutableau2"/>
        <w:tblW w:w="0" w:type="auto"/>
        <w:tblLook w:val="04A0" w:firstRow="1" w:lastRow="0" w:firstColumn="1" w:lastColumn="0" w:noHBand="0" w:noVBand="1"/>
      </w:tblPr>
      <w:tblGrid>
        <w:gridCol w:w="2079"/>
        <w:gridCol w:w="1686"/>
        <w:gridCol w:w="5295"/>
      </w:tblGrid>
      <w:tr w:rsidR="007D55EF" w:rsidRPr="00C0062E" w14:paraId="0FC0CF47" w14:textId="77777777" w:rsidTr="00D605A5">
        <w:tc>
          <w:tcPr>
            <w:tcW w:w="2079" w:type="dxa"/>
            <w:shd w:val="clear" w:color="auto" w:fill="D6E3BC" w:themeFill="accent3" w:themeFillTint="66"/>
            <w:vAlign w:val="center"/>
          </w:tcPr>
          <w:p w14:paraId="3CF51830" w14:textId="77777777" w:rsidR="007D55EF" w:rsidRPr="00460E3D" w:rsidRDefault="007D55EF" w:rsidP="00D605A5">
            <w:pPr>
              <w:jc w:val="center"/>
              <w:rPr>
                <w:rFonts w:ascii="Times New Roman" w:hAnsi="Times New Roman"/>
                <w:b/>
                <w:sz w:val="22"/>
              </w:rPr>
            </w:pPr>
            <w:r w:rsidRPr="00C0062E">
              <w:rPr>
                <w:b/>
                <w:sz w:val="22"/>
              </w:rPr>
              <w:t>Typologie de fraude</w:t>
            </w:r>
          </w:p>
        </w:tc>
        <w:tc>
          <w:tcPr>
            <w:tcW w:w="1686" w:type="dxa"/>
            <w:shd w:val="clear" w:color="auto" w:fill="D6E3BC" w:themeFill="accent3" w:themeFillTint="66"/>
            <w:vAlign w:val="center"/>
          </w:tcPr>
          <w:p w14:paraId="21ADC2D4" w14:textId="0CF67411" w:rsidR="007D55EF" w:rsidRPr="00460E3D" w:rsidRDefault="007D55EF" w:rsidP="00E11824">
            <w:pPr>
              <w:jc w:val="center"/>
              <w:rPr>
                <w:rFonts w:ascii="Times New Roman" w:hAnsi="Times New Roman"/>
                <w:b/>
                <w:sz w:val="22"/>
              </w:rPr>
            </w:pPr>
            <w:r w:rsidRPr="00C0062E">
              <w:rPr>
                <w:b/>
                <w:sz w:val="22"/>
              </w:rPr>
              <w:t>Cana</w:t>
            </w:r>
            <w:r>
              <w:rPr>
                <w:b/>
                <w:sz w:val="22"/>
              </w:rPr>
              <w:t>l</w:t>
            </w:r>
            <w:r w:rsidRPr="00C0062E">
              <w:rPr>
                <w:b/>
                <w:sz w:val="22"/>
              </w:rPr>
              <w:t xml:space="preserve"> </w:t>
            </w:r>
            <w:r w:rsidR="00E11824">
              <w:rPr>
                <w:b/>
                <w:sz w:val="22"/>
              </w:rPr>
              <w:t>de délivrance des formules</w:t>
            </w:r>
          </w:p>
        </w:tc>
        <w:tc>
          <w:tcPr>
            <w:tcW w:w="5295" w:type="dxa"/>
            <w:shd w:val="clear" w:color="auto" w:fill="D6E3BC" w:themeFill="accent3" w:themeFillTint="66"/>
            <w:vAlign w:val="center"/>
          </w:tcPr>
          <w:p w14:paraId="22180D3E" w14:textId="77777777" w:rsidR="007D55EF" w:rsidRPr="00460E3D" w:rsidRDefault="007D55EF" w:rsidP="00D605A5">
            <w:pPr>
              <w:jc w:val="center"/>
              <w:rPr>
                <w:rFonts w:ascii="Times New Roman" w:hAnsi="Times New Roman"/>
                <w:b/>
                <w:sz w:val="22"/>
              </w:rPr>
            </w:pPr>
            <w:r w:rsidRPr="00C0062E">
              <w:rPr>
                <w:b/>
                <w:sz w:val="22"/>
              </w:rPr>
              <w:t>Mesures de couverture</w:t>
            </w:r>
          </w:p>
        </w:tc>
      </w:tr>
      <w:tr w:rsidR="007D55EF" w:rsidRPr="00C0062E" w14:paraId="49DE291F" w14:textId="77777777" w:rsidTr="00D605A5">
        <w:tc>
          <w:tcPr>
            <w:tcW w:w="2079" w:type="dxa"/>
          </w:tcPr>
          <w:p w14:paraId="72DCA2C4" w14:textId="685E83B7" w:rsidR="007D55EF" w:rsidRPr="00460E3D" w:rsidRDefault="007D55EF" w:rsidP="00623C7E">
            <w:pPr>
              <w:jc w:val="left"/>
              <w:rPr>
                <w:rFonts w:ascii="Times New Roman" w:hAnsi="Times New Roman"/>
                <w:sz w:val="22"/>
              </w:rPr>
            </w:pPr>
            <w:r w:rsidRPr="00C0062E">
              <w:rPr>
                <w:sz w:val="22"/>
              </w:rPr>
              <w:t xml:space="preserve">Vol, perte </w:t>
            </w:r>
          </w:p>
        </w:tc>
        <w:tc>
          <w:tcPr>
            <w:tcW w:w="1686" w:type="dxa"/>
          </w:tcPr>
          <w:p w14:paraId="155D4074" w14:textId="77777777" w:rsidR="007D55EF" w:rsidRPr="00460E3D" w:rsidRDefault="007D55EF" w:rsidP="00D605A5">
            <w:pPr>
              <w:jc w:val="left"/>
              <w:rPr>
                <w:rFonts w:ascii="Times New Roman" w:hAnsi="Times New Roman"/>
                <w:b/>
                <w:sz w:val="22"/>
              </w:rPr>
            </w:pPr>
          </w:p>
        </w:tc>
        <w:tc>
          <w:tcPr>
            <w:tcW w:w="5295" w:type="dxa"/>
          </w:tcPr>
          <w:p w14:paraId="357E505F" w14:textId="77777777" w:rsidR="007D55EF" w:rsidRPr="00460E3D" w:rsidRDefault="007D55EF" w:rsidP="00D605A5">
            <w:pPr>
              <w:jc w:val="left"/>
              <w:rPr>
                <w:rFonts w:ascii="Times New Roman" w:hAnsi="Times New Roman"/>
                <w:b/>
                <w:sz w:val="22"/>
              </w:rPr>
            </w:pPr>
          </w:p>
        </w:tc>
      </w:tr>
      <w:tr w:rsidR="007D55EF" w:rsidRPr="00C0062E" w14:paraId="2DA4B492" w14:textId="77777777" w:rsidTr="00D605A5">
        <w:tc>
          <w:tcPr>
            <w:tcW w:w="2079" w:type="dxa"/>
          </w:tcPr>
          <w:p w14:paraId="6ADC7794" w14:textId="77777777" w:rsidR="007D55EF" w:rsidRPr="00460E3D" w:rsidRDefault="007D55EF" w:rsidP="00D605A5">
            <w:pPr>
              <w:jc w:val="left"/>
              <w:rPr>
                <w:rFonts w:ascii="Times New Roman" w:hAnsi="Times New Roman"/>
                <w:sz w:val="22"/>
              </w:rPr>
            </w:pPr>
            <w:r w:rsidRPr="00C0062E">
              <w:rPr>
                <w:sz w:val="22"/>
              </w:rPr>
              <w:t>Contrefaçon</w:t>
            </w:r>
          </w:p>
        </w:tc>
        <w:tc>
          <w:tcPr>
            <w:tcW w:w="1686" w:type="dxa"/>
          </w:tcPr>
          <w:p w14:paraId="26E4697F" w14:textId="77777777" w:rsidR="007D55EF" w:rsidRPr="00460E3D" w:rsidRDefault="007D55EF" w:rsidP="00D605A5">
            <w:pPr>
              <w:jc w:val="left"/>
              <w:rPr>
                <w:rFonts w:ascii="Times New Roman" w:hAnsi="Times New Roman"/>
                <w:b/>
                <w:sz w:val="22"/>
              </w:rPr>
            </w:pPr>
          </w:p>
        </w:tc>
        <w:tc>
          <w:tcPr>
            <w:tcW w:w="5295" w:type="dxa"/>
          </w:tcPr>
          <w:p w14:paraId="23AFE303" w14:textId="77777777" w:rsidR="007D55EF" w:rsidRPr="00460E3D" w:rsidRDefault="007D55EF" w:rsidP="00D605A5">
            <w:pPr>
              <w:jc w:val="left"/>
              <w:rPr>
                <w:rFonts w:ascii="Times New Roman" w:hAnsi="Times New Roman"/>
                <w:b/>
                <w:sz w:val="22"/>
              </w:rPr>
            </w:pPr>
          </w:p>
        </w:tc>
      </w:tr>
      <w:tr w:rsidR="007D55EF" w:rsidRPr="00C0062E" w14:paraId="24A08F5C" w14:textId="77777777" w:rsidTr="00D605A5">
        <w:tc>
          <w:tcPr>
            <w:tcW w:w="2079" w:type="dxa"/>
          </w:tcPr>
          <w:p w14:paraId="22B00DA6" w14:textId="77777777" w:rsidR="007D55EF" w:rsidRPr="00460E3D" w:rsidRDefault="007D55EF" w:rsidP="00D605A5">
            <w:pPr>
              <w:jc w:val="left"/>
              <w:rPr>
                <w:rFonts w:ascii="Times New Roman" w:hAnsi="Times New Roman"/>
                <w:sz w:val="22"/>
              </w:rPr>
            </w:pPr>
            <w:r w:rsidRPr="00C0062E">
              <w:rPr>
                <w:sz w:val="22"/>
              </w:rPr>
              <w:t>Falsification</w:t>
            </w:r>
          </w:p>
        </w:tc>
        <w:tc>
          <w:tcPr>
            <w:tcW w:w="1686" w:type="dxa"/>
          </w:tcPr>
          <w:p w14:paraId="57084D27" w14:textId="77777777" w:rsidR="007D55EF" w:rsidRPr="00460E3D" w:rsidRDefault="007D55EF" w:rsidP="00D605A5">
            <w:pPr>
              <w:jc w:val="left"/>
              <w:rPr>
                <w:rFonts w:ascii="Times New Roman" w:hAnsi="Times New Roman"/>
                <w:b/>
                <w:sz w:val="22"/>
              </w:rPr>
            </w:pPr>
          </w:p>
        </w:tc>
        <w:tc>
          <w:tcPr>
            <w:tcW w:w="5295" w:type="dxa"/>
          </w:tcPr>
          <w:p w14:paraId="7484C5AE" w14:textId="77777777" w:rsidR="007D55EF" w:rsidRPr="00460E3D" w:rsidRDefault="007D55EF" w:rsidP="00D605A5">
            <w:pPr>
              <w:jc w:val="left"/>
              <w:rPr>
                <w:rFonts w:ascii="Times New Roman" w:hAnsi="Times New Roman"/>
                <w:b/>
                <w:sz w:val="22"/>
              </w:rPr>
            </w:pPr>
          </w:p>
        </w:tc>
      </w:tr>
      <w:tr w:rsidR="007D55EF" w:rsidRPr="00C0062E" w14:paraId="1BED68F5" w14:textId="77777777" w:rsidTr="00D605A5">
        <w:tc>
          <w:tcPr>
            <w:tcW w:w="2079" w:type="dxa"/>
          </w:tcPr>
          <w:p w14:paraId="3EA88CAC" w14:textId="77777777" w:rsidR="007D55EF" w:rsidRPr="00460E3D" w:rsidRDefault="007D55EF" w:rsidP="00D605A5">
            <w:pPr>
              <w:jc w:val="left"/>
              <w:rPr>
                <w:rFonts w:ascii="Times New Roman" w:hAnsi="Times New Roman"/>
                <w:sz w:val="22"/>
              </w:rPr>
            </w:pPr>
            <w:r w:rsidRPr="00C0062E">
              <w:rPr>
                <w:sz w:val="22"/>
              </w:rPr>
              <w:t>Détournement, rejeu</w:t>
            </w:r>
          </w:p>
        </w:tc>
        <w:tc>
          <w:tcPr>
            <w:tcW w:w="1686" w:type="dxa"/>
          </w:tcPr>
          <w:p w14:paraId="63296A90" w14:textId="77777777" w:rsidR="007D55EF" w:rsidRPr="00460E3D" w:rsidRDefault="007D55EF" w:rsidP="00D605A5">
            <w:pPr>
              <w:jc w:val="left"/>
              <w:rPr>
                <w:rFonts w:ascii="Times New Roman" w:hAnsi="Times New Roman"/>
                <w:b/>
                <w:sz w:val="22"/>
              </w:rPr>
            </w:pPr>
          </w:p>
        </w:tc>
        <w:tc>
          <w:tcPr>
            <w:tcW w:w="5295" w:type="dxa"/>
          </w:tcPr>
          <w:p w14:paraId="46EA0C79" w14:textId="77777777" w:rsidR="007D55EF" w:rsidRPr="00460E3D" w:rsidRDefault="007D55EF" w:rsidP="00D605A5">
            <w:pPr>
              <w:jc w:val="left"/>
              <w:rPr>
                <w:rFonts w:ascii="Times New Roman" w:hAnsi="Times New Roman"/>
                <w:b/>
                <w:sz w:val="22"/>
              </w:rPr>
            </w:pPr>
          </w:p>
        </w:tc>
      </w:tr>
    </w:tbl>
    <w:p w14:paraId="7DE0412A" w14:textId="77777777" w:rsidR="007D55EF" w:rsidRDefault="007D55EF" w:rsidP="007D55EF">
      <w:pPr>
        <w:ind w:left="720"/>
        <w:jc w:val="left"/>
        <w:rPr>
          <w:rFonts w:eastAsia="Calibri"/>
          <w:b/>
          <w:sz w:val="22"/>
          <w:szCs w:val="22"/>
          <w:lang w:eastAsia="en-US"/>
        </w:rPr>
      </w:pPr>
    </w:p>
    <w:p w14:paraId="1F30D103" w14:textId="77777777" w:rsidR="007D55EF" w:rsidRDefault="007D55EF" w:rsidP="007D55EF">
      <w:pPr>
        <w:ind w:left="720"/>
        <w:jc w:val="left"/>
        <w:rPr>
          <w:rFonts w:eastAsia="Calibri"/>
          <w:b/>
          <w:sz w:val="22"/>
          <w:szCs w:val="22"/>
          <w:lang w:eastAsia="en-US"/>
        </w:rPr>
      </w:pPr>
    </w:p>
    <w:p w14:paraId="2ECF112B" w14:textId="77777777" w:rsidR="007D55EF" w:rsidRPr="00234BC7" w:rsidRDefault="007D55EF" w:rsidP="007D55EF">
      <w:pPr>
        <w:jc w:val="left"/>
        <w:rPr>
          <w:rFonts w:eastAsia="Calibri"/>
          <w:sz w:val="22"/>
          <w:szCs w:val="22"/>
          <w:lang w:eastAsia="en-US"/>
        </w:rPr>
      </w:pPr>
      <w:r w:rsidRPr="00234BC7">
        <w:rPr>
          <w:rFonts w:eastAsia="Calibri"/>
          <w:sz w:val="22"/>
          <w:szCs w:val="22"/>
          <w:lang w:eastAsia="en-US"/>
        </w:rPr>
        <w:t>En tant qu’établissement du remettant</w:t>
      </w:r>
      <w:r>
        <w:rPr>
          <w:rFonts w:eastAsia="Calibri"/>
          <w:sz w:val="22"/>
          <w:szCs w:val="22"/>
          <w:lang w:eastAsia="en-US"/>
        </w:rPr>
        <w:t xml:space="preserve"> (y compris la lutte contre les remises frauduleuses réalisées par l’intermédiaire du client remettant) :</w:t>
      </w:r>
    </w:p>
    <w:tbl>
      <w:tblPr>
        <w:tblStyle w:val="Grilledutableau2"/>
        <w:tblW w:w="0" w:type="auto"/>
        <w:tblLook w:val="04A0" w:firstRow="1" w:lastRow="0" w:firstColumn="1" w:lastColumn="0" w:noHBand="0" w:noVBand="1"/>
      </w:tblPr>
      <w:tblGrid>
        <w:gridCol w:w="2079"/>
        <w:gridCol w:w="1686"/>
        <w:gridCol w:w="5295"/>
      </w:tblGrid>
      <w:tr w:rsidR="007D55EF" w:rsidRPr="00C0062E" w14:paraId="26C7B345" w14:textId="77777777" w:rsidTr="00D605A5">
        <w:tc>
          <w:tcPr>
            <w:tcW w:w="2079" w:type="dxa"/>
            <w:shd w:val="clear" w:color="auto" w:fill="D6E3BC" w:themeFill="accent3" w:themeFillTint="66"/>
            <w:vAlign w:val="center"/>
          </w:tcPr>
          <w:p w14:paraId="58D2777C" w14:textId="77777777" w:rsidR="007D55EF" w:rsidRPr="00460E3D" w:rsidRDefault="007D55EF" w:rsidP="00D605A5">
            <w:pPr>
              <w:jc w:val="center"/>
              <w:rPr>
                <w:rFonts w:ascii="Times New Roman" w:hAnsi="Times New Roman"/>
                <w:b/>
                <w:sz w:val="22"/>
              </w:rPr>
            </w:pPr>
            <w:r w:rsidRPr="00C0062E">
              <w:rPr>
                <w:b/>
                <w:sz w:val="22"/>
              </w:rPr>
              <w:t>Typologie de fraude</w:t>
            </w:r>
          </w:p>
        </w:tc>
        <w:tc>
          <w:tcPr>
            <w:tcW w:w="1686" w:type="dxa"/>
            <w:shd w:val="clear" w:color="auto" w:fill="D6E3BC" w:themeFill="accent3" w:themeFillTint="66"/>
            <w:vAlign w:val="center"/>
          </w:tcPr>
          <w:p w14:paraId="1D3EBA39" w14:textId="1052D586" w:rsidR="007D55EF" w:rsidRPr="00460E3D" w:rsidRDefault="007D55EF" w:rsidP="00E11824">
            <w:pPr>
              <w:jc w:val="center"/>
              <w:rPr>
                <w:rFonts w:ascii="Times New Roman" w:hAnsi="Times New Roman"/>
                <w:b/>
                <w:sz w:val="22"/>
              </w:rPr>
            </w:pPr>
            <w:r w:rsidRPr="00C0062E">
              <w:rPr>
                <w:b/>
                <w:sz w:val="22"/>
              </w:rPr>
              <w:t>Cana</w:t>
            </w:r>
            <w:r>
              <w:rPr>
                <w:b/>
                <w:sz w:val="22"/>
              </w:rPr>
              <w:t>l</w:t>
            </w:r>
            <w:r w:rsidRPr="00C0062E">
              <w:rPr>
                <w:b/>
                <w:sz w:val="22"/>
              </w:rPr>
              <w:t xml:space="preserve"> d</w:t>
            </w:r>
            <w:r w:rsidR="00E11824">
              <w:rPr>
                <w:b/>
                <w:sz w:val="22"/>
              </w:rPr>
              <w:t>e remise</w:t>
            </w:r>
          </w:p>
        </w:tc>
        <w:tc>
          <w:tcPr>
            <w:tcW w:w="5295" w:type="dxa"/>
            <w:shd w:val="clear" w:color="auto" w:fill="D6E3BC" w:themeFill="accent3" w:themeFillTint="66"/>
            <w:vAlign w:val="center"/>
          </w:tcPr>
          <w:p w14:paraId="0A7ADEF2" w14:textId="77777777" w:rsidR="007D55EF" w:rsidRPr="00460E3D" w:rsidRDefault="007D55EF" w:rsidP="00D605A5">
            <w:pPr>
              <w:jc w:val="center"/>
              <w:rPr>
                <w:rFonts w:ascii="Times New Roman" w:hAnsi="Times New Roman"/>
                <w:b/>
                <w:sz w:val="22"/>
              </w:rPr>
            </w:pPr>
            <w:r w:rsidRPr="00C0062E">
              <w:rPr>
                <w:b/>
                <w:sz w:val="22"/>
              </w:rPr>
              <w:t>Mesures de couverture</w:t>
            </w:r>
          </w:p>
        </w:tc>
      </w:tr>
      <w:tr w:rsidR="007D55EF" w:rsidRPr="00C0062E" w14:paraId="6794B115" w14:textId="77777777" w:rsidTr="00D605A5">
        <w:tc>
          <w:tcPr>
            <w:tcW w:w="2079" w:type="dxa"/>
          </w:tcPr>
          <w:p w14:paraId="5635313C" w14:textId="00C0E597" w:rsidR="007D55EF" w:rsidRPr="00460E3D" w:rsidRDefault="007D55EF" w:rsidP="00623C7E">
            <w:pPr>
              <w:jc w:val="left"/>
              <w:rPr>
                <w:rFonts w:ascii="Times New Roman" w:hAnsi="Times New Roman"/>
                <w:sz w:val="22"/>
              </w:rPr>
            </w:pPr>
            <w:r w:rsidRPr="00C0062E">
              <w:rPr>
                <w:sz w:val="22"/>
              </w:rPr>
              <w:t xml:space="preserve">Vol, perte </w:t>
            </w:r>
          </w:p>
        </w:tc>
        <w:tc>
          <w:tcPr>
            <w:tcW w:w="1686" w:type="dxa"/>
          </w:tcPr>
          <w:p w14:paraId="51AEBC76" w14:textId="77777777" w:rsidR="007D55EF" w:rsidRPr="00460E3D" w:rsidRDefault="007D55EF" w:rsidP="00D605A5">
            <w:pPr>
              <w:jc w:val="left"/>
              <w:rPr>
                <w:rFonts w:ascii="Times New Roman" w:hAnsi="Times New Roman"/>
                <w:b/>
                <w:sz w:val="22"/>
              </w:rPr>
            </w:pPr>
          </w:p>
        </w:tc>
        <w:tc>
          <w:tcPr>
            <w:tcW w:w="5295" w:type="dxa"/>
          </w:tcPr>
          <w:p w14:paraId="3780E9C3" w14:textId="77777777" w:rsidR="007D55EF" w:rsidRPr="00460E3D" w:rsidRDefault="007D55EF" w:rsidP="00D605A5">
            <w:pPr>
              <w:jc w:val="left"/>
              <w:rPr>
                <w:rFonts w:ascii="Times New Roman" w:hAnsi="Times New Roman"/>
                <w:b/>
                <w:sz w:val="22"/>
              </w:rPr>
            </w:pPr>
          </w:p>
        </w:tc>
      </w:tr>
      <w:tr w:rsidR="007D55EF" w:rsidRPr="00C0062E" w14:paraId="5C1B3D48" w14:textId="77777777" w:rsidTr="00D605A5">
        <w:tc>
          <w:tcPr>
            <w:tcW w:w="2079" w:type="dxa"/>
          </w:tcPr>
          <w:p w14:paraId="4E5A6B43" w14:textId="77777777" w:rsidR="007D55EF" w:rsidRPr="00460E3D" w:rsidRDefault="007D55EF" w:rsidP="00D605A5">
            <w:pPr>
              <w:jc w:val="left"/>
              <w:rPr>
                <w:rFonts w:ascii="Times New Roman" w:hAnsi="Times New Roman"/>
                <w:sz w:val="22"/>
              </w:rPr>
            </w:pPr>
            <w:r w:rsidRPr="00C0062E">
              <w:rPr>
                <w:sz w:val="22"/>
              </w:rPr>
              <w:t>Contrefaçon</w:t>
            </w:r>
          </w:p>
        </w:tc>
        <w:tc>
          <w:tcPr>
            <w:tcW w:w="1686" w:type="dxa"/>
          </w:tcPr>
          <w:p w14:paraId="7DD1D41C" w14:textId="77777777" w:rsidR="007D55EF" w:rsidRPr="00460E3D" w:rsidRDefault="007D55EF" w:rsidP="00D605A5">
            <w:pPr>
              <w:jc w:val="left"/>
              <w:rPr>
                <w:rFonts w:ascii="Times New Roman" w:hAnsi="Times New Roman"/>
                <w:b/>
                <w:sz w:val="22"/>
              </w:rPr>
            </w:pPr>
          </w:p>
        </w:tc>
        <w:tc>
          <w:tcPr>
            <w:tcW w:w="5295" w:type="dxa"/>
          </w:tcPr>
          <w:p w14:paraId="75C33027" w14:textId="77777777" w:rsidR="007D55EF" w:rsidRPr="00460E3D" w:rsidRDefault="007D55EF" w:rsidP="00D605A5">
            <w:pPr>
              <w:jc w:val="left"/>
              <w:rPr>
                <w:rFonts w:ascii="Times New Roman" w:hAnsi="Times New Roman"/>
                <w:b/>
                <w:sz w:val="22"/>
              </w:rPr>
            </w:pPr>
          </w:p>
        </w:tc>
      </w:tr>
      <w:tr w:rsidR="007D55EF" w:rsidRPr="00C0062E" w14:paraId="1E686ADA" w14:textId="77777777" w:rsidTr="00D605A5">
        <w:tc>
          <w:tcPr>
            <w:tcW w:w="2079" w:type="dxa"/>
          </w:tcPr>
          <w:p w14:paraId="1C0AC967" w14:textId="77777777" w:rsidR="007D55EF" w:rsidRPr="00460E3D" w:rsidRDefault="007D55EF" w:rsidP="00D605A5">
            <w:pPr>
              <w:jc w:val="left"/>
              <w:rPr>
                <w:rFonts w:ascii="Times New Roman" w:hAnsi="Times New Roman"/>
                <w:sz w:val="22"/>
              </w:rPr>
            </w:pPr>
            <w:r w:rsidRPr="00C0062E">
              <w:rPr>
                <w:sz w:val="22"/>
              </w:rPr>
              <w:t>Falsification</w:t>
            </w:r>
          </w:p>
        </w:tc>
        <w:tc>
          <w:tcPr>
            <w:tcW w:w="1686" w:type="dxa"/>
          </w:tcPr>
          <w:p w14:paraId="64DD2A84" w14:textId="77777777" w:rsidR="007D55EF" w:rsidRPr="00460E3D" w:rsidRDefault="007D55EF" w:rsidP="00D605A5">
            <w:pPr>
              <w:jc w:val="left"/>
              <w:rPr>
                <w:rFonts w:ascii="Times New Roman" w:hAnsi="Times New Roman"/>
                <w:b/>
                <w:sz w:val="22"/>
              </w:rPr>
            </w:pPr>
          </w:p>
        </w:tc>
        <w:tc>
          <w:tcPr>
            <w:tcW w:w="5295" w:type="dxa"/>
          </w:tcPr>
          <w:p w14:paraId="13B4E957" w14:textId="77777777" w:rsidR="007D55EF" w:rsidRPr="00460E3D" w:rsidRDefault="007D55EF" w:rsidP="00D605A5">
            <w:pPr>
              <w:jc w:val="left"/>
              <w:rPr>
                <w:rFonts w:ascii="Times New Roman" w:hAnsi="Times New Roman"/>
                <w:b/>
                <w:sz w:val="22"/>
              </w:rPr>
            </w:pPr>
          </w:p>
        </w:tc>
      </w:tr>
      <w:tr w:rsidR="007D55EF" w:rsidRPr="00C0062E" w14:paraId="3FA54304" w14:textId="77777777" w:rsidTr="00D605A5">
        <w:tc>
          <w:tcPr>
            <w:tcW w:w="2079" w:type="dxa"/>
          </w:tcPr>
          <w:p w14:paraId="26D7E22C" w14:textId="77777777" w:rsidR="007D55EF" w:rsidRPr="00460E3D" w:rsidRDefault="007D55EF" w:rsidP="00D605A5">
            <w:pPr>
              <w:jc w:val="left"/>
              <w:rPr>
                <w:rFonts w:ascii="Times New Roman" w:hAnsi="Times New Roman"/>
                <w:sz w:val="22"/>
              </w:rPr>
            </w:pPr>
            <w:r w:rsidRPr="00C0062E">
              <w:rPr>
                <w:sz w:val="22"/>
              </w:rPr>
              <w:t>Détournement, rejeu</w:t>
            </w:r>
          </w:p>
        </w:tc>
        <w:tc>
          <w:tcPr>
            <w:tcW w:w="1686" w:type="dxa"/>
          </w:tcPr>
          <w:p w14:paraId="430C7592" w14:textId="77777777" w:rsidR="007D55EF" w:rsidRPr="00460E3D" w:rsidRDefault="007D55EF" w:rsidP="00D605A5">
            <w:pPr>
              <w:jc w:val="left"/>
              <w:rPr>
                <w:rFonts w:ascii="Times New Roman" w:hAnsi="Times New Roman"/>
                <w:b/>
                <w:sz w:val="22"/>
              </w:rPr>
            </w:pPr>
          </w:p>
        </w:tc>
        <w:tc>
          <w:tcPr>
            <w:tcW w:w="5295" w:type="dxa"/>
          </w:tcPr>
          <w:p w14:paraId="500735BC" w14:textId="77777777" w:rsidR="007D55EF" w:rsidRPr="00460E3D" w:rsidRDefault="007D55EF" w:rsidP="00D605A5">
            <w:pPr>
              <w:jc w:val="left"/>
              <w:rPr>
                <w:rFonts w:ascii="Times New Roman" w:hAnsi="Times New Roman"/>
                <w:b/>
                <w:sz w:val="22"/>
              </w:rPr>
            </w:pPr>
          </w:p>
        </w:tc>
      </w:tr>
    </w:tbl>
    <w:p w14:paraId="4208C280" w14:textId="16525C7E" w:rsidR="007D55EF" w:rsidRDefault="007D55EF" w:rsidP="007D55EF">
      <w:pPr>
        <w:jc w:val="left"/>
        <w:rPr>
          <w:rFonts w:eastAsia="Calibri"/>
          <w:b/>
          <w:sz w:val="22"/>
          <w:szCs w:val="22"/>
          <w:lang w:eastAsia="en-US"/>
        </w:rPr>
      </w:pPr>
    </w:p>
    <w:p w14:paraId="70B31255" w14:textId="41EB26E8" w:rsidR="00E23663" w:rsidRDefault="00E23663" w:rsidP="007D55EF">
      <w:pPr>
        <w:jc w:val="left"/>
        <w:rPr>
          <w:rFonts w:eastAsia="Calibri"/>
          <w:b/>
          <w:sz w:val="22"/>
          <w:szCs w:val="22"/>
          <w:lang w:eastAsia="en-US"/>
        </w:rPr>
      </w:pPr>
    </w:p>
    <w:p w14:paraId="754072DC" w14:textId="0111E0AA" w:rsidR="00E23663" w:rsidRDefault="00E23663" w:rsidP="007D55EF">
      <w:pPr>
        <w:jc w:val="left"/>
        <w:rPr>
          <w:rFonts w:eastAsia="Calibri"/>
          <w:b/>
          <w:sz w:val="22"/>
          <w:szCs w:val="22"/>
          <w:lang w:eastAsia="en-US"/>
        </w:rPr>
      </w:pPr>
    </w:p>
    <w:p w14:paraId="25E48C7C" w14:textId="162859F7" w:rsidR="00E23663" w:rsidRDefault="00E23663" w:rsidP="007D55EF">
      <w:pPr>
        <w:jc w:val="left"/>
        <w:rPr>
          <w:rFonts w:eastAsia="Calibri"/>
          <w:b/>
          <w:sz w:val="22"/>
          <w:szCs w:val="22"/>
          <w:lang w:eastAsia="en-US"/>
        </w:rPr>
      </w:pPr>
    </w:p>
    <w:p w14:paraId="25100C82" w14:textId="3F40DE7B" w:rsidR="00E23663" w:rsidRDefault="00E23663" w:rsidP="007D55EF">
      <w:pPr>
        <w:jc w:val="left"/>
        <w:rPr>
          <w:rFonts w:eastAsia="Calibri"/>
          <w:b/>
          <w:sz w:val="22"/>
          <w:szCs w:val="22"/>
          <w:lang w:eastAsia="en-US"/>
        </w:rPr>
      </w:pPr>
    </w:p>
    <w:p w14:paraId="36A3EE99" w14:textId="77777777" w:rsidR="00E23663" w:rsidRDefault="00E23663" w:rsidP="007D55EF">
      <w:pPr>
        <w:jc w:val="left"/>
        <w:rPr>
          <w:rFonts w:eastAsia="Calibri"/>
          <w:b/>
          <w:sz w:val="22"/>
          <w:szCs w:val="22"/>
          <w:lang w:eastAsia="en-US"/>
        </w:rPr>
      </w:pPr>
    </w:p>
    <w:p w14:paraId="651A7E5E" w14:textId="77777777" w:rsidR="007D55EF" w:rsidRPr="000C38F7" w:rsidRDefault="007D55EF" w:rsidP="007D55EF">
      <w:pPr>
        <w:pStyle w:val="Paragraphedeliste"/>
        <w:numPr>
          <w:ilvl w:val="1"/>
          <w:numId w:val="79"/>
        </w:numPr>
        <w:spacing w:after="200" w:line="276" w:lineRule="auto"/>
        <w:jc w:val="left"/>
        <w:rPr>
          <w:rFonts w:eastAsia="Calibri"/>
          <w:b/>
          <w:szCs w:val="22"/>
          <w:lang w:eastAsia="en-US"/>
        </w:rPr>
      </w:pPr>
      <w:r w:rsidRPr="000C38F7">
        <w:rPr>
          <w:rFonts w:eastAsia="Calibri"/>
          <w:b/>
          <w:szCs w:val="22"/>
          <w:lang w:eastAsia="en-US"/>
        </w:rPr>
        <w:t>Évolution de la fraude brute au cours de la période sous revue</w:t>
      </w:r>
    </w:p>
    <w:p w14:paraId="446EBC22" w14:textId="77777777" w:rsidR="007D55EF" w:rsidRDefault="007D55EF" w:rsidP="007D55EF">
      <w:pPr>
        <w:jc w:val="left"/>
        <w:rPr>
          <w:rFonts w:eastAsia="Calibri"/>
          <w:sz w:val="22"/>
          <w:szCs w:val="22"/>
          <w:lang w:eastAsia="en-US"/>
        </w:rPr>
      </w:pPr>
      <w:r w:rsidRPr="00460E3D">
        <w:rPr>
          <w:rFonts w:eastAsia="Calibri"/>
          <w:sz w:val="22"/>
          <w:szCs w:val="22"/>
          <w:lang w:eastAsia="en-US"/>
        </w:rPr>
        <w:t>En tant qu’établissement du tiré</w:t>
      </w:r>
      <w:r>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7D55EF" w:rsidRPr="00C0062E" w14:paraId="2537AA8F" w14:textId="77777777" w:rsidTr="00D605A5">
        <w:tc>
          <w:tcPr>
            <w:tcW w:w="2342" w:type="dxa"/>
            <w:shd w:val="clear" w:color="auto" w:fill="D6E3BC" w:themeFill="accent3" w:themeFillTint="66"/>
            <w:vAlign w:val="center"/>
          </w:tcPr>
          <w:p w14:paraId="673431FA" w14:textId="77777777" w:rsidR="007D55EF" w:rsidRPr="00460E3D" w:rsidRDefault="007D55EF" w:rsidP="00D605A5">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586E248D" w14:textId="6934BE32" w:rsidR="007D55EF" w:rsidRPr="00460E3D" w:rsidRDefault="007D55EF" w:rsidP="00E11824">
            <w:pPr>
              <w:jc w:val="center"/>
              <w:rPr>
                <w:rFonts w:ascii="Times New Roman" w:hAnsi="Times New Roman"/>
                <w:b/>
                <w:sz w:val="22"/>
              </w:rPr>
            </w:pPr>
            <w:r w:rsidRPr="00C0062E">
              <w:rPr>
                <w:b/>
                <w:sz w:val="22"/>
              </w:rPr>
              <w:t xml:space="preserve">Canal </w:t>
            </w:r>
            <w:r w:rsidR="00E11824">
              <w:rPr>
                <w:b/>
                <w:sz w:val="22"/>
              </w:rPr>
              <w:t>de délivrance des formules</w:t>
            </w:r>
          </w:p>
        </w:tc>
        <w:tc>
          <w:tcPr>
            <w:tcW w:w="4753" w:type="dxa"/>
            <w:shd w:val="clear" w:color="auto" w:fill="D6E3BC" w:themeFill="accent3" w:themeFillTint="66"/>
            <w:vAlign w:val="center"/>
          </w:tcPr>
          <w:p w14:paraId="147D222C" w14:textId="77777777" w:rsidR="007D55EF" w:rsidRPr="00460E3D" w:rsidRDefault="007D55EF" w:rsidP="00D605A5">
            <w:pPr>
              <w:jc w:val="center"/>
              <w:rPr>
                <w:rFonts w:ascii="Times New Roman" w:hAnsi="Times New Roman"/>
                <w:b/>
                <w:sz w:val="21"/>
                <w:szCs w:val="21"/>
              </w:rPr>
            </w:pPr>
            <w:r w:rsidRPr="00C0062E">
              <w:rPr>
                <w:b/>
                <w:sz w:val="21"/>
                <w:szCs w:val="21"/>
              </w:rPr>
              <w:t xml:space="preserve">Description des principaux cas de fraude rencontrés </w:t>
            </w:r>
          </w:p>
          <w:p w14:paraId="1F94A982" w14:textId="77777777" w:rsidR="007D55EF" w:rsidRPr="00460E3D" w:rsidRDefault="007D55EF" w:rsidP="00D605A5">
            <w:pPr>
              <w:jc w:val="center"/>
              <w:rPr>
                <w:rFonts w:ascii="Times New Roman" w:hAnsi="Times New Roman"/>
                <w:b/>
                <w:sz w:val="21"/>
                <w:szCs w:val="21"/>
              </w:rPr>
            </w:pPr>
            <w:r w:rsidRPr="00C0062E">
              <w:rPr>
                <w:b/>
                <w:sz w:val="21"/>
                <w:szCs w:val="21"/>
              </w:rPr>
              <w:t>(eu égard à leur montant et/ou fréquence)</w:t>
            </w:r>
          </w:p>
        </w:tc>
      </w:tr>
      <w:tr w:rsidR="007D55EF" w:rsidRPr="00C0062E" w14:paraId="7541E831" w14:textId="77777777" w:rsidTr="00D605A5">
        <w:tc>
          <w:tcPr>
            <w:tcW w:w="2342" w:type="dxa"/>
          </w:tcPr>
          <w:p w14:paraId="6396EA9E" w14:textId="77777777" w:rsidR="007D55EF" w:rsidRPr="00460E3D" w:rsidRDefault="007D55EF" w:rsidP="00D605A5">
            <w:pPr>
              <w:jc w:val="left"/>
              <w:rPr>
                <w:rFonts w:ascii="Times New Roman" w:hAnsi="Times New Roman"/>
                <w:b/>
                <w:sz w:val="22"/>
              </w:rPr>
            </w:pPr>
          </w:p>
        </w:tc>
        <w:tc>
          <w:tcPr>
            <w:tcW w:w="1965" w:type="dxa"/>
          </w:tcPr>
          <w:p w14:paraId="2FB391DB" w14:textId="77777777" w:rsidR="007D55EF" w:rsidRPr="00460E3D" w:rsidRDefault="007D55EF" w:rsidP="00D605A5">
            <w:pPr>
              <w:jc w:val="left"/>
              <w:rPr>
                <w:rFonts w:ascii="Times New Roman" w:hAnsi="Times New Roman"/>
                <w:b/>
                <w:sz w:val="22"/>
              </w:rPr>
            </w:pPr>
          </w:p>
        </w:tc>
        <w:tc>
          <w:tcPr>
            <w:tcW w:w="4753" w:type="dxa"/>
          </w:tcPr>
          <w:p w14:paraId="16EF4BF6" w14:textId="77777777" w:rsidR="007D55EF" w:rsidRPr="00460E3D" w:rsidRDefault="007D55EF" w:rsidP="00D605A5">
            <w:pPr>
              <w:jc w:val="left"/>
              <w:rPr>
                <w:rFonts w:ascii="Times New Roman" w:hAnsi="Times New Roman"/>
                <w:b/>
                <w:sz w:val="22"/>
              </w:rPr>
            </w:pPr>
          </w:p>
        </w:tc>
      </w:tr>
      <w:tr w:rsidR="007D55EF" w:rsidRPr="00C0062E" w14:paraId="55299ABA" w14:textId="77777777" w:rsidTr="00D605A5">
        <w:tc>
          <w:tcPr>
            <w:tcW w:w="2342" w:type="dxa"/>
          </w:tcPr>
          <w:p w14:paraId="7C75991B" w14:textId="77777777" w:rsidR="007D55EF" w:rsidRPr="00460E3D" w:rsidRDefault="007D55EF" w:rsidP="00D605A5">
            <w:pPr>
              <w:jc w:val="left"/>
              <w:rPr>
                <w:rFonts w:ascii="Times New Roman" w:hAnsi="Times New Roman"/>
                <w:b/>
                <w:sz w:val="22"/>
              </w:rPr>
            </w:pPr>
          </w:p>
        </w:tc>
        <w:tc>
          <w:tcPr>
            <w:tcW w:w="1965" w:type="dxa"/>
          </w:tcPr>
          <w:p w14:paraId="467FA402" w14:textId="77777777" w:rsidR="007D55EF" w:rsidRPr="00460E3D" w:rsidRDefault="007D55EF" w:rsidP="00D605A5">
            <w:pPr>
              <w:jc w:val="left"/>
              <w:rPr>
                <w:rFonts w:ascii="Times New Roman" w:hAnsi="Times New Roman"/>
                <w:b/>
                <w:sz w:val="22"/>
              </w:rPr>
            </w:pPr>
          </w:p>
        </w:tc>
        <w:tc>
          <w:tcPr>
            <w:tcW w:w="4753" w:type="dxa"/>
          </w:tcPr>
          <w:p w14:paraId="29C3BCAA" w14:textId="77777777" w:rsidR="007D55EF" w:rsidRPr="00460E3D" w:rsidRDefault="007D55EF" w:rsidP="00D605A5">
            <w:pPr>
              <w:jc w:val="left"/>
              <w:rPr>
                <w:rFonts w:ascii="Times New Roman" w:hAnsi="Times New Roman"/>
                <w:b/>
                <w:sz w:val="22"/>
              </w:rPr>
            </w:pPr>
          </w:p>
        </w:tc>
      </w:tr>
      <w:tr w:rsidR="007D55EF" w:rsidRPr="00C0062E" w14:paraId="4F4F7AB3" w14:textId="77777777" w:rsidTr="00D605A5">
        <w:tc>
          <w:tcPr>
            <w:tcW w:w="2342" w:type="dxa"/>
          </w:tcPr>
          <w:p w14:paraId="3821AAA9" w14:textId="77777777" w:rsidR="007D55EF" w:rsidRPr="00460E3D" w:rsidRDefault="007D55EF" w:rsidP="00D605A5">
            <w:pPr>
              <w:jc w:val="left"/>
              <w:rPr>
                <w:rFonts w:ascii="Times New Roman" w:hAnsi="Times New Roman"/>
                <w:b/>
                <w:sz w:val="22"/>
              </w:rPr>
            </w:pPr>
          </w:p>
        </w:tc>
        <w:tc>
          <w:tcPr>
            <w:tcW w:w="1965" w:type="dxa"/>
          </w:tcPr>
          <w:p w14:paraId="7E9CEE1B" w14:textId="77777777" w:rsidR="007D55EF" w:rsidRPr="00460E3D" w:rsidRDefault="007D55EF" w:rsidP="00D605A5">
            <w:pPr>
              <w:jc w:val="left"/>
              <w:rPr>
                <w:rFonts w:ascii="Times New Roman" w:hAnsi="Times New Roman"/>
                <w:b/>
                <w:sz w:val="22"/>
              </w:rPr>
            </w:pPr>
          </w:p>
        </w:tc>
        <w:tc>
          <w:tcPr>
            <w:tcW w:w="4753" w:type="dxa"/>
          </w:tcPr>
          <w:p w14:paraId="65678468" w14:textId="77777777" w:rsidR="007D55EF" w:rsidRPr="00460E3D" w:rsidRDefault="007D55EF" w:rsidP="00D605A5">
            <w:pPr>
              <w:jc w:val="left"/>
              <w:rPr>
                <w:rFonts w:ascii="Times New Roman" w:hAnsi="Times New Roman"/>
                <w:b/>
                <w:sz w:val="22"/>
              </w:rPr>
            </w:pPr>
          </w:p>
        </w:tc>
      </w:tr>
      <w:tr w:rsidR="007D55EF" w:rsidRPr="00C0062E" w14:paraId="761CBA27" w14:textId="77777777" w:rsidTr="00D605A5">
        <w:tc>
          <w:tcPr>
            <w:tcW w:w="2342" w:type="dxa"/>
          </w:tcPr>
          <w:p w14:paraId="3722F49A" w14:textId="77777777" w:rsidR="007D55EF" w:rsidRPr="00460E3D" w:rsidRDefault="007D55EF" w:rsidP="00D605A5">
            <w:pPr>
              <w:jc w:val="left"/>
              <w:rPr>
                <w:rFonts w:ascii="Times New Roman" w:hAnsi="Times New Roman"/>
                <w:b/>
                <w:sz w:val="22"/>
              </w:rPr>
            </w:pPr>
          </w:p>
        </w:tc>
        <w:tc>
          <w:tcPr>
            <w:tcW w:w="1965" w:type="dxa"/>
          </w:tcPr>
          <w:p w14:paraId="530E8E09" w14:textId="77777777" w:rsidR="007D55EF" w:rsidRPr="00460E3D" w:rsidRDefault="007D55EF" w:rsidP="00D605A5">
            <w:pPr>
              <w:jc w:val="left"/>
              <w:rPr>
                <w:rFonts w:ascii="Times New Roman" w:hAnsi="Times New Roman"/>
                <w:b/>
                <w:sz w:val="22"/>
              </w:rPr>
            </w:pPr>
          </w:p>
        </w:tc>
        <w:tc>
          <w:tcPr>
            <w:tcW w:w="4753" w:type="dxa"/>
          </w:tcPr>
          <w:p w14:paraId="706BE428" w14:textId="77777777" w:rsidR="007D55EF" w:rsidRPr="00460E3D" w:rsidRDefault="007D55EF" w:rsidP="00D605A5">
            <w:pPr>
              <w:jc w:val="left"/>
              <w:rPr>
                <w:rFonts w:ascii="Times New Roman" w:hAnsi="Times New Roman"/>
                <w:b/>
                <w:sz w:val="22"/>
              </w:rPr>
            </w:pPr>
          </w:p>
        </w:tc>
      </w:tr>
    </w:tbl>
    <w:p w14:paraId="761A024A" w14:textId="77777777" w:rsidR="007D55EF" w:rsidRDefault="007D55EF" w:rsidP="007D55EF">
      <w:pPr>
        <w:jc w:val="left"/>
        <w:rPr>
          <w:rFonts w:eastAsia="Calibri"/>
          <w:sz w:val="22"/>
          <w:szCs w:val="22"/>
          <w:lang w:eastAsia="en-US"/>
        </w:rPr>
      </w:pPr>
    </w:p>
    <w:p w14:paraId="5ED6C086" w14:textId="77777777" w:rsidR="007D55EF" w:rsidRDefault="007D55EF" w:rsidP="007D55EF">
      <w:pPr>
        <w:jc w:val="left"/>
        <w:rPr>
          <w:rFonts w:eastAsia="Calibri"/>
          <w:sz w:val="22"/>
          <w:szCs w:val="22"/>
          <w:lang w:eastAsia="en-US"/>
        </w:rPr>
      </w:pPr>
    </w:p>
    <w:p w14:paraId="6FA4C764" w14:textId="77777777" w:rsidR="007D55EF" w:rsidRPr="00460E3D" w:rsidRDefault="007D55EF" w:rsidP="007D55EF">
      <w:pPr>
        <w:jc w:val="left"/>
        <w:rPr>
          <w:rFonts w:eastAsia="Calibri"/>
          <w:sz w:val="22"/>
          <w:szCs w:val="22"/>
          <w:lang w:eastAsia="en-US"/>
        </w:rPr>
      </w:pPr>
      <w:r w:rsidRPr="00460E3D">
        <w:rPr>
          <w:rFonts w:eastAsia="Calibri"/>
          <w:sz w:val="22"/>
          <w:szCs w:val="22"/>
          <w:lang w:eastAsia="en-US"/>
        </w:rPr>
        <w:t>En tant qu’établissement du remettant</w:t>
      </w:r>
      <w:r>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7D55EF" w:rsidRPr="00C0062E" w14:paraId="77989779" w14:textId="77777777" w:rsidTr="00D605A5">
        <w:tc>
          <w:tcPr>
            <w:tcW w:w="2342" w:type="dxa"/>
            <w:shd w:val="clear" w:color="auto" w:fill="D6E3BC" w:themeFill="accent3" w:themeFillTint="66"/>
            <w:vAlign w:val="center"/>
          </w:tcPr>
          <w:p w14:paraId="1F824B0E" w14:textId="77777777" w:rsidR="007D55EF" w:rsidRPr="00460E3D" w:rsidRDefault="007D55EF" w:rsidP="00D605A5">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64861826" w14:textId="77777777" w:rsidR="007D55EF" w:rsidRPr="00460E3D" w:rsidRDefault="007D55EF" w:rsidP="00D605A5">
            <w:pPr>
              <w:jc w:val="center"/>
              <w:rPr>
                <w:rFonts w:ascii="Times New Roman" w:hAnsi="Times New Roman"/>
                <w:b/>
                <w:sz w:val="22"/>
              </w:rPr>
            </w:pPr>
            <w:r w:rsidRPr="00C0062E">
              <w:rPr>
                <w:b/>
                <w:sz w:val="22"/>
              </w:rPr>
              <w:t>Canal d</w:t>
            </w:r>
            <w:r>
              <w:rPr>
                <w:b/>
                <w:sz w:val="22"/>
              </w:rPr>
              <w:t>e remise</w:t>
            </w:r>
          </w:p>
        </w:tc>
        <w:tc>
          <w:tcPr>
            <w:tcW w:w="4753" w:type="dxa"/>
            <w:shd w:val="clear" w:color="auto" w:fill="D6E3BC" w:themeFill="accent3" w:themeFillTint="66"/>
            <w:vAlign w:val="center"/>
          </w:tcPr>
          <w:p w14:paraId="07594F43" w14:textId="77777777" w:rsidR="007D55EF" w:rsidRPr="00460E3D" w:rsidRDefault="007D55EF" w:rsidP="00D605A5">
            <w:pPr>
              <w:jc w:val="center"/>
              <w:rPr>
                <w:rFonts w:ascii="Times New Roman" w:hAnsi="Times New Roman"/>
                <w:b/>
                <w:sz w:val="21"/>
                <w:szCs w:val="21"/>
              </w:rPr>
            </w:pPr>
            <w:r w:rsidRPr="00C0062E">
              <w:rPr>
                <w:b/>
                <w:sz w:val="21"/>
                <w:szCs w:val="21"/>
              </w:rPr>
              <w:t xml:space="preserve">Description des principaux cas de fraude rencontrés </w:t>
            </w:r>
          </w:p>
          <w:p w14:paraId="08426E92" w14:textId="77777777" w:rsidR="007D55EF" w:rsidRPr="00460E3D" w:rsidRDefault="007D55EF" w:rsidP="00D605A5">
            <w:pPr>
              <w:jc w:val="center"/>
              <w:rPr>
                <w:rFonts w:ascii="Times New Roman" w:hAnsi="Times New Roman"/>
                <w:b/>
                <w:sz w:val="21"/>
                <w:szCs w:val="21"/>
              </w:rPr>
            </w:pPr>
            <w:r w:rsidRPr="00C0062E">
              <w:rPr>
                <w:b/>
                <w:sz w:val="21"/>
                <w:szCs w:val="21"/>
              </w:rPr>
              <w:t>(eu égard à leur montant et/ou fréquence)</w:t>
            </w:r>
          </w:p>
        </w:tc>
      </w:tr>
      <w:tr w:rsidR="007D55EF" w:rsidRPr="00C0062E" w14:paraId="7F107530" w14:textId="77777777" w:rsidTr="00D605A5">
        <w:tc>
          <w:tcPr>
            <w:tcW w:w="2342" w:type="dxa"/>
          </w:tcPr>
          <w:p w14:paraId="33F80541" w14:textId="77777777" w:rsidR="007D55EF" w:rsidRPr="00460E3D" w:rsidRDefault="007D55EF" w:rsidP="00D605A5">
            <w:pPr>
              <w:jc w:val="left"/>
              <w:rPr>
                <w:rFonts w:ascii="Times New Roman" w:hAnsi="Times New Roman"/>
                <w:b/>
                <w:sz w:val="22"/>
              </w:rPr>
            </w:pPr>
          </w:p>
        </w:tc>
        <w:tc>
          <w:tcPr>
            <w:tcW w:w="1965" w:type="dxa"/>
          </w:tcPr>
          <w:p w14:paraId="4CEE51AC" w14:textId="77777777" w:rsidR="007D55EF" w:rsidRPr="00460E3D" w:rsidRDefault="007D55EF" w:rsidP="00D605A5">
            <w:pPr>
              <w:jc w:val="left"/>
              <w:rPr>
                <w:rFonts w:ascii="Times New Roman" w:hAnsi="Times New Roman"/>
                <w:b/>
                <w:sz w:val="22"/>
              </w:rPr>
            </w:pPr>
          </w:p>
        </w:tc>
        <w:tc>
          <w:tcPr>
            <w:tcW w:w="4753" w:type="dxa"/>
          </w:tcPr>
          <w:p w14:paraId="6DC02320" w14:textId="77777777" w:rsidR="007D55EF" w:rsidRPr="00460E3D" w:rsidRDefault="007D55EF" w:rsidP="00D605A5">
            <w:pPr>
              <w:jc w:val="left"/>
              <w:rPr>
                <w:rFonts w:ascii="Times New Roman" w:hAnsi="Times New Roman"/>
                <w:b/>
                <w:sz w:val="22"/>
              </w:rPr>
            </w:pPr>
          </w:p>
        </w:tc>
      </w:tr>
      <w:tr w:rsidR="007D55EF" w:rsidRPr="00C0062E" w14:paraId="612C06B6" w14:textId="77777777" w:rsidTr="00D605A5">
        <w:tc>
          <w:tcPr>
            <w:tcW w:w="2342" w:type="dxa"/>
          </w:tcPr>
          <w:p w14:paraId="356CA84D" w14:textId="77777777" w:rsidR="007D55EF" w:rsidRPr="00460E3D" w:rsidRDefault="007D55EF" w:rsidP="00D605A5">
            <w:pPr>
              <w:jc w:val="left"/>
              <w:rPr>
                <w:rFonts w:ascii="Times New Roman" w:hAnsi="Times New Roman"/>
                <w:b/>
                <w:sz w:val="22"/>
              </w:rPr>
            </w:pPr>
          </w:p>
        </w:tc>
        <w:tc>
          <w:tcPr>
            <w:tcW w:w="1965" w:type="dxa"/>
          </w:tcPr>
          <w:p w14:paraId="2481612D" w14:textId="77777777" w:rsidR="007D55EF" w:rsidRPr="00460E3D" w:rsidRDefault="007D55EF" w:rsidP="00D605A5">
            <w:pPr>
              <w:jc w:val="left"/>
              <w:rPr>
                <w:rFonts w:ascii="Times New Roman" w:hAnsi="Times New Roman"/>
                <w:b/>
                <w:sz w:val="22"/>
              </w:rPr>
            </w:pPr>
          </w:p>
        </w:tc>
        <w:tc>
          <w:tcPr>
            <w:tcW w:w="4753" w:type="dxa"/>
          </w:tcPr>
          <w:p w14:paraId="1279AE9A" w14:textId="77777777" w:rsidR="007D55EF" w:rsidRPr="00460E3D" w:rsidRDefault="007D55EF" w:rsidP="00D605A5">
            <w:pPr>
              <w:jc w:val="left"/>
              <w:rPr>
                <w:rFonts w:ascii="Times New Roman" w:hAnsi="Times New Roman"/>
                <w:b/>
                <w:sz w:val="22"/>
              </w:rPr>
            </w:pPr>
          </w:p>
        </w:tc>
      </w:tr>
      <w:tr w:rsidR="007D55EF" w:rsidRPr="00C0062E" w14:paraId="619FD97E" w14:textId="77777777" w:rsidTr="00D605A5">
        <w:tc>
          <w:tcPr>
            <w:tcW w:w="2342" w:type="dxa"/>
          </w:tcPr>
          <w:p w14:paraId="710A59DE" w14:textId="77777777" w:rsidR="007D55EF" w:rsidRPr="00460E3D" w:rsidRDefault="007D55EF" w:rsidP="00D605A5">
            <w:pPr>
              <w:jc w:val="left"/>
              <w:rPr>
                <w:b/>
                <w:sz w:val="22"/>
              </w:rPr>
            </w:pPr>
          </w:p>
        </w:tc>
        <w:tc>
          <w:tcPr>
            <w:tcW w:w="1965" w:type="dxa"/>
          </w:tcPr>
          <w:p w14:paraId="35268D1D" w14:textId="77777777" w:rsidR="007D55EF" w:rsidRPr="00460E3D" w:rsidRDefault="007D55EF" w:rsidP="00D605A5">
            <w:pPr>
              <w:jc w:val="left"/>
              <w:rPr>
                <w:b/>
                <w:sz w:val="22"/>
              </w:rPr>
            </w:pPr>
          </w:p>
        </w:tc>
        <w:tc>
          <w:tcPr>
            <w:tcW w:w="4753" w:type="dxa"/>
          </w:tcPr>
          <w:p w14:paraId="230067EE" w14:textId="77777777" w:rsidR="007D55EF" w:rsidRPr="00460E3D" w:rsidRDefault="007D55EF" w:rsidP="00D605A5">
            <w:pPr>
              <w:jc w:val="left"/>
              <w:rPr>
                <w:b/>
                <w:sz w:val="22"/>
              </w:rPr>
            </w:pPr>
          </w:p>
        </w:tc>
      </w:tr>
      <w:tr w:rsidR="007D55EF" w:rsidRPr="00C0062E" w14:paraId="6C79D72E" w14:textId="77777777" w:rsidTr="00D605A5">
        <w:tc>
          <w:tcPr>
            <w:tcW w:w="2342" w:type="dxa"/>
          </w:tcPr>
          <w:p w14:paraId="4C67B447" w14:textId="77777777" w:rsidR="007D55EF" w:rsidRPr="00460E3D" w:rsidRDefault="007D55EF" w:rsidP="00D605A5">
            <w:pPr>
              <w:jc w:val="left"/>
              <w:rPr>
                <w:rFonts w:ascii="Times New Roman" w:hAnsi="Times New Roman"/>
                <w:b/>
                <w:sz w:val="22"/>
              </w:rPr>
            </w:pPr>
          </w:p>
        </w:tc>
        <w:tc>
          <w:tcPr>
            <w:tcW w:w="1965" w:type="dxa"/>
          </w:tcPr>
          <w:p w14:paraId="417BEB26" w14:textId="77777777" w:rsidR="007D55EF" w:rsidRPr="00460E3D" w:rsidRDefault="007D55EF" w:rsidP="00D605A5">
            <w:pPr>
              <w:jc w:val="left"/>
              <w:rPr>
                <w:rFonts w:ascii="Times New Roman" w:hAnsi="Times New Roman"/>
                <w:b/>
                <w:sz w:val="22"/>
              </w:rPr>
            </w:pPr>
          </w:p>
        </w:tc>
        <w:tc>
          <w:tcPr>
            <w:tcW w:w="4753" w:type="dxa"/>
          </w:tcPr>
          <w:p w14:paraId="49F8E519" w14:textId="77777777" w:rsidR="007D55EF" w:rsidRPr="00460E3D" w:rsidRDefault="007D55EF" w:rsidP="00D605A5">
            <w:pPr>
              <w:jc w:val="left"/>
              <w:rPr>
                <w:rFonts w:ascii="Times New Roman" w:hAnsi="Times New Roman"/>
                <w:b/>
                <w:sz w:val="22"/>
              </w:rPr>
            </w:pPr>
          </w:p>
        </w:tc>
      </w:tr>
      <w:tr w:rsidR="007D55EF" w:rsidRPr="00C0062E" w14:paraId="06FB6EBA" w14:textId="77777777" w:rsidTr="00D605A5">
        <w:tc>
          <w:tcPr>
            <w:tcW w:w="2342" w:type="dxa"/>
          </w:tcPr>
          <w:p w14:paraId="1940FD85" w14:textId="77777777" w:rsidR="007D55EF" w:rsidRPr="00460E3D" w:rsidRDefault="007D55EF" w:rsidP="00D605A5">
            <w:pPr>
              <w:jc w:val="left"/>
              <w:rPr>
                <w:rFonts w:ascii="Times New Roman" w:hAnsi="Times New Roman"/>
                <w:b/>
                <w:sz w:val="22"/>
              </w:rPr>
            </w:pPr>
          </w:p>
        </w:tc>
        <w:tc>
          <w:tcPr>
            <w:tcW w:w="1965" w:type="dxa"/>
          </w:tcPr>
          <w:p w14:paraId="6D4A89E4" w14:textId="77777777" w:rsidR="007D55EF" w:rsidRPr="00460E3D" w:rsidRDefault="007D55EF" w:rsidP="00D605A5">
            <w:pPr>
              <w:jc w:val="left"/>
              <w:rPr>
                <w:rFonts w:ascii="Times New Roman" w:hAnsi="Times New Roman"/>
                <w:b/>
                <w:sz w:val="22"/>
              </w:rPr>
            </w:pPr>
          </w:p>
        </w:tc>
        <w:tc>
          <w:tcPr>
            <w:tcW w:w="4753" w:type="dxa"/>
          </w:tcPr>
          <w:p w14:paraId="5F98E0F8" w14:textId="77777777" w:rsidR="007D55EF" w:rsidRPr="00460E3D" w:rsidRDefault="007D55EF" w:rsidP="00D605A5">
            <w:pPr>
              <w:jc w:val="left"/>
              <w:rPr>
                <w:rFonts w:ascii="Times New Roman" w:hAnsi="Times New Roman"/>
                <w:b/>
                <w:sz w:val="22"/>
              </w:rPr>
            </w:pPr>
          </w:p>
        </w:tc>
      </w:tr>
    </w:tbl>
    <w:p w14:paraId="76D386DF" w14:textId="77777777" w:rsidR="007D55EF" w:rsidRDefault="007D55EF" w:rsidP="007D55EF">
      <w:pPr>
        <w:jc w:val="left"/>
        <w:rPr>
          <w:rFonts w:eastAsia="Calibri"/>
          <w:b/>
          <w:sz w:val="22"/>
          <w:szCs w:val="22"/>
          <w:lang w:eastAsia="en-US"/>
        </w:rPr>
      </w:pPr>
    </w:p>
    <w:p w14:paraId="2BEA06C9" w14:textId="77777777" w:rsidR="007D55EF" w:rsidRPr="00D04F47" w:rsidRDefault="007D55EF" w:rsidP="007D55EF">
      <w:pPr>
        <w:pStyle w:val="Paragraphedeliste"/>
        <w:numPr>
          <w:ilvl w:val="1"/>
          <w:numId w:val="79"/>
        </w:numPr>
        <w:spacing w:after="200" w:line="276" w:lineRule="auto"/>
        <w:jc w:val="left"/>
        <w:rPr>
          <w:rFonts w:eastAsia="Calibri"/>
          <w:b/>
          <w:szCs w:val="22"/>
          <w:lang w:eastAsia="en-US"/>
        </w:rPr>
      </w:pPr>
      <w:r w:rsidRPr="00D04F47">
        <w:rPr>
          <w:rFonts w:eastAsia="Calibri"/>
          <w:b/>
          <w:szCs w:val="22"/>
          <w:lang w:eastAsia="en-US"/>
        </w:rPr>
        <w:t>Présentation des risques émergents</w:t>
      </w:r>
    </w:p>
    <w:tbl>
      <w:tblPr>
        <w:tblStyle w:val="Grilledutableau2"/>
        <w:tblW w:w="0" w:type="auto"/>
        <w:tblLook w:val="04A0" w:firstRow="1" w:lastRow="0" w:firstColumn="1" w:lastColumn="0" w:noHBand="0" w:noVBand="1"/>
      </w:tblPr>
      <w:tblGrid>
        <w:gridCol w:w="9060"/>
      </w:tblGrid>
      <w:tr w:rsidR="007D55EF" w:rsidRPr="00C0062E" w14:paraId="46E469FC" w14:textId="77777777" w:rsidTr="00D605A5">
        <w:tc>
          <w:tcPr>
            <w:tcW w:w="9210" w:type="dxa"/>
          </w:tcPr>
          <w:p w14:paraId="4C13048A" w14:textId="77777777" w:rsidR="007D55EF" w:rsidRDefault="007D55EF" w:rsidP="00D605A5">
            <w:pPr>
              <w:jc w:val="left"/>
              <w:rPr>
                <w:i/>
                <w:sz w:val="22"/>
              </w:rPr>
            </w:pPr>
            <w:r w:rsidRPr="00C0062E">
              <w:rPr>
                <w:i/>
                <w:sz w:val="22"/>
              </w:rPr>
              <w:t>Décrire les nouveaux scénarios de fraude rencontrés</w:t>
            </w:r>
            <w:r>
              <w:rPr>
                <w:i/>
                <w:sz w:val="22"/>
              </w:rPr>
              <w:t xml:space="preserve"> au cours de l’exercice sous revue</w:t>
            </w:r>
            <w:r w:rsidRPr="00C0062E">
              <w:rPr>
                <w:i/>
                <w:sz w:val="22"/>
              </w:rPr>
              <w:t>.</w:t>
            </w:r>
          </w:p>
          <w:p w14:paraId="10A212D4" w14:textId="77777777" w:rsidR="007D55EF" w:rsidRPr="00460E3D" w:rsidRDefault="007D55EF" w:rsidP="00D605A5">
            <w:pPr>
              <w:jc w:val="left"/>
              <w:rPr>
                <w:rFonts w:ascii="Times New Roman" w:hAnsi="Times New Roman"/>
                <w:i/>
                <w:sz w:val="22"/>
              </w:rPr>
            </w:pPr>
          </w:p>
          <w:p w14:paraId="34B909AF" w14:textId="77777777" w:rsidR="007D55EF" w:rsidRDefault="007D55EF" w:rsidP="00D605A5">
            <w:pPr>
              <w:jc w:val="left"/>
              <w:rPr>
                <w:rFonts w:ascii="Times New Roman" w:hAnsi="Times New Roman"/>
                <w:i/>
                <w:sz w:val="22"/>
              </w:rPr>
            </w:pPr>
          </w:p>
          <w:p w14:paraId="39B56108" w14:textId="77777777" w:rsidR="007D55EF" w:rsidRDefault="007D55EF" w:rsidP="00D605A5">
            <w:pPr>
              <w:jc w:val="left"/>
              <w:rPr>
                <w:rFonts w:ascii="Times New Roman" w:hAnsi="Times New Roman"/>
                <w:i/>
                <w:sz w:val="22"/>
              </w:rPr>
            </w:pPr>
          </w:p>
          <w:p w14:paraId="7E583D4E" w14:textId="77777777" w:rsidR="007D55EF" w:rsidRDefault="007D55EF" w:rsidP="00D605A5">
            <w:pPr>
              <w:jc w:val="left"/>
              <w:rPr>
                <w:rFonts w:ascii="Times New Roman" w:hAnsi="Times New Roman"/>
                <w:i/>
                <w:sz w:val="22"/>
              </w:rPr>
            </w:pPr>
          </w:p>
          <w:p w14:paraId="1A34CB87" w14:textId="77777777" w:rsidR="007D55EF" w:rsidRDefault="007D55EF" w:rsidP="00D605A5">
            <w:pPr>
              <w:jc w:val="left"/>
              <w:rPr>
                <w:rFonts w:ascii="Times New Roman" w:hAnsi="Times New Roman"/>
                <w:i/>
                <w:sz w:val="22"/>
              </w:rPr>
            </w:pPr>
          </w:p>
          <w:p w14:paraId="7670CCFC" w14:textId="77777777" w:rsidR="007D55EF" w:rsidRDefault="007D55EF" w:rsidP="00D605A5">
            <w:pPr>
              <w:jc w:val="left"/>
              <w:rPr>
                <w:rFonts w:ascii="Times New Roman" w:hAnsi="Times New Roman"/>
                <w:i/>
                <w:sz w:val="22"/>
              </w:rPr>
            </w:pPr>
          </w:p>
          <w:p w14:paraId="6074E2AB" w14:textId="77777777" w:rsidR="007D55EF" w:rsidRDefault="007D55EF" w:rsidP="00D605A5">
            <w:pPr>
              <w:jc w:val="left"/>
              <w:rPr>
                <w:rFonts w:ascii="Times New Roman" w:hAnsi="Times New Roman"/>
                <w:i/>
                <w:sz w:val="22"/>
              </w:rPr>
            </w:pPr>
          </w:p>
          <w:p w14:paraId="7F28B586" w14:textId="77777777" w:rsidR="007D55EF" w:rsidRDefault="007D55EF" w:rsidP="00D605A5">
            <w:pPr>
              <w:jc w:val="left"/>
              <w:rPr>
                <w:rFonts w:ascii="Times New Roman" w:hAnsi="Times New Roman"/>
                <w:i/>
                <w:sz w:val="22"/>
              </w:rPr>
            </w:pPr>
          </w:p>
          <w:p w14:paraId="57C8DC1A" w14:textId="77777777" w:rsidR="007D55EF" w:rsidRPr="00460E3D" w:rsidRDefault="007D55EF" w:rsidP="00D605A5">
            <w:pPr>
              <w:jc w:val="left"/>
              <w:rPr>
                <w:rFonts w:ascii="Times New Roman" w:hAnsi="Times New Roman"/>
                <w:i/>
                <w:sz w:val="22"/>
              </w:rPr>
            </w:pPr>
          </w:p>
          <w:p w14:paraId="4FB0A630" w14:textId="77777777" w:rsidR="007D55EF" w:rsidRPr="00460E3D" w:rsidRDefault="007D55EF" w:rsidP="00D605A5">
            <w:pPr>
              <w:jc w:val="left"/>
              <w:rPr>
                <w:rFonts w:ascii="Times New Roman" w:hAnsi="Times New Roman"/>
                <w:i/>
                <w:sz w:val="22"/>
              </w:rPr>
            </w:pPr>
          </w:p>
        </w:tc>
      </w:tr>
    </w:tbl>
    <w:p w14:paraId="43C2CDA0" w14:textId="77777777" w:rsidR="007D55EF" w:rsidRPr="00460E3D" w:rsidRDefault="007D55EF" w:rsidP="007D55EF">
      <w:pPr>
        <w:jc w:val="left"/>
        <w:rPr>
          <w:rFonts w:eastAsia="Calibri"/>
          <w:sz w:val="22"/>
          <w:szCs w:val="22"/>
          <w:lang w:eastAsia="en-US"/>
        </w:rPr>
      </w:pPr>
    </w:p>
    <w:p w14:paraId="6EE7DF24" w14:textId="77777777" w:rsidR="00E11824" w:rsidRDefault="00E11824" w:rsidP="005A28EA">
      <w:pPr>
        <w:jc w:val="left"/>
        <w:rPr>
          <w:rFonts w:eastAsia="Calibri"/>
          <w:sz w:val="22"/>
          <w:szCs w:val="22"/>
          <w:lang w:eastAsia="en-US"/>
        </w:rPr>
        <w:sectPr w:rsidR="00E11824" w:rsidSect="00890013">
          <w:pgSz w:w="11906" w:h="16838"/>
          <w:pgMar w:top="1418" w:right="1418" w:bottom="1418" w:left="1418" w:header="709" w:footer="709" w:gutter="0"/>
          <w:cols w:space="708"/>
          <w:docGrid w:linePitch="360"/>
        </w:sectPr>
      </w:pPr>
    </w:p>
    <w:tbl>
      <w:tblPr>
        <w:tblStyle w:val="Grilledutableau2"/>
        <w:tblW w:w="14034" w:type="dxa"/>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34"/>
      </w:tblGrid>
      <w:tr w:rsidR="005A28EA" w:rsidRPr="00C0062E" w14:paraId="1CD99A45" w14:textId="77777777" w:rsidTr="00890013">
        <w:tc>
          <w:tcPr>
            <w:tcW w:w="14034" w:type="dxa"/>
            <w:shd w:val="clear" w:color="auto" w:fill="FBD4B4" w:themeFill="accent6" w:themeFillTint="66"/>
          </w:tcPr>
          <w:p w14:paraId="68EB1034" w14:textId="3567ECDE" w:rsidR="005A28EA" w:rsidRPr="00460E3D" w:rsidRDefault="005A28EA" w:rsidP="005A28EA">
            <w:pPr>
              <w:numPr>
                <w:ilvl w:val="0"/>
                <w:numId w:val="72"/>
              </w:numPr>
              <w:jc w:val="left"/>
              <w:rPr>
                <w:rFonts w:ascii="Times New Roman" w:hAnsi="Times New Roman"/>
                <w:b/>
                <w:sz w:val="22"/>
              </w:rPr>
            </w:pPr>
            <w:r w:rsidRPr="00460E3D">
              <w:rPr>
                <w:b/>
                <w:sz w:val="22"/>
              </w:rPr>
              <w:br w:type="page"/>
              <w:t>Monnaie électronique</w:t>
            </w:r>
          </w:p>
        </w:tc>
      </w:tr>
    </w:tbl>
    <w:p w14:paraId="63001AD0"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381890D7" w14:textId="77777777" w:rsidTr="00890013">
        <w:tc>
          <w:tcPr>
            <w:tcW w:w="14002" w:type="dxa"/>
            <w:shd w:val="clear" w:color="auto" w:fill="8DB3E2" w:themeFill="text2" w:themeFillTint="66"/>
          </w:tcPr>
          <w:p w14:paraId="16117DEC" w14:textId="77777777" w:rsidR="005A28EA" w:rsidRPr="00460E3D" w:rsidRDefault="005A28EA" w:rsidP="005A28EA">
            <w:pPr>
              <w:ind w:left="360"/>
              <w:jc w:val="left"/>
              <w:rPr>
                <w:rFonts w:ascii="Times New Roman" w:hAnsi="Times New Roman"/>
                <w:b/>
                <w:sz w:val="22"/>
              </w:rPr>
            </w:pPr>
            <w:r w:rsidRPr="00C0062E">
              <w:rPr>
                <w:b/>
                <w:sz w:val="22"/>
              </w:rPr>
              <w:t>6.1. Présentation de l’offre</w:t>
            </w:r>
          </w:p>
        </w:tc>
      </w:tr>
    </w:tbl>
    <w:p w14:paraId="2179543C" w14:textId="77777777" w:rsidR="005A28EA" w:rsidRPr="00460E3D" w:rsidRDefault="005A28EA" w:rsidP="005A28EA">
      <w:pPr>
        <w:ind w:left="720"/>
        <w:jc w:val="left"/>
        <w:rPr>
          <w:rFonts w:eastAsia="Calibri"/>
          <w:sz w:val="22"/>
          <w:szCs w:val="22"/>
          <w:lang w:eastAsia="en-US"/>
        </w:rPr>
      </w:pPr>
    </w:p>
    <w:p w14:paraId="46A14A41" w14:textId="77777777" w:rsidR="005A28EA" w:rsidRPr="00460E3D" w:rsidRDefault="005A28EA" w:rsidP="005A28EA">
      <w:pPr>
        <w:numPr>
          <w:ilvl w:val="1"/>
          <w:numId w:val="69"/>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14:paraId="34AA6BE4" w14:textId="77777777" w:rsidR="005A28EA" w:rsidRPr="00460E3D" w:rsidRDefault="005A28EA" w:rsidP="005A28EA">
      <w:pPr>
        <w:ind w:left="714"/>
        <w:jc w:val="left"/>
        <w:rPr>
          <w:rFonts w:eastAsia="Calibri"/>
          <w:sz w:val="22"/>
          <w:szCs w:val="22"/>
          <w:lang w:eastAsia="en-US"/>
        </w:rPr>
      </w:pPr>
    </w:p>
    <w:p w14:paraId="08F9E039"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76016456" w14:textId="77777777" w:rsidTr="005A28EA">
        <w:tc>
          <w:tcPr>
            <w:tcW w:w="1501" w:type="dxa"/>
            <w:tcBorders>
              <w:bottom w:val="single" w:sz="4" w:space="0" w:color="auto"/>
            </w:tcBorders>
            <w:shd w:val="clear" w:color="auto" w:fill="D6E3BC" w:themeFill="accent3" w:themeFillTint="66"/>
          </w:tcPr>
          <w:p w14:paraId="751BAEBD"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420B862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F26DCB0"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0ED2734"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4505B282"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69DFD0C"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722BE772" w14:textId="77777777" w:rsidTr="005A28EA">
        <w:tc>
          <w:tcPr>
            <w:tcW w:w="1501" w:type="dxa"/>
          </w:tcPr>
          <w:p w14:paraId="2E73332D" w14:textId="77777777" w:rsidR="005A28EA" w:rsidRPr="00460E3D" w:rsidRDefault="005A28EA" w:rsidP="005A28EA">
            <w:pPr>
              <w:jc w:val="left"/>
              <w:rPr>
                <w:rFonts w:ascii="Times New Roman" w:hAnsi="Times New Roman"/>
                <w:sz w:val="22"/>
              </w:rPr>
            </w:pPr>
          </w:p>
          <w:p w14:paraId="147F099C" w14:textId="77777777" w:rsidR="005A28EA" w:rsidRPr="00460E3D" w:rsidRDefault="005A28EA" w:rsidP="005A28EA">
            <w:pPr>
              <w:jc w:val="left"/>
              <w:rPr>
                <w:rFonts w:ascii="Times New Roman" w:hAnsi="Times New Roman"/>
                <w:sz w:val="22"/>
              </w:rPr>
            </w:pPr>
          </w:p>
        </w:tc>
        <w:tc>
          <w:tcPr>
            <w:tcW w:w="2293" w:type="dxa"/>
          </w:tcPr>
          <w:p w14:paraId="68A06B5A" w14:textId="77777777" w:rsidR="005A28EA" w:rsidRPr="00460E3D" w:rsidRDefault="005A28EA" w:rsidP="005A28EA">
            <w:pPr>
              <w:jc w:val="left"/>
              <w:rPr>
                <w:rFonts w:ascii="Times New Roman" w:hAnsi="Times New Roman"/>
                <w:sz w:val="22"/>
              </w:rPr>
            </w:pPr>
          </w:p>
        </w:tc>
        <w:tc>
          <w:tcPr>
            <w:tcW w:w="1516" w:type="dxa"/>
          </w:tcPr>
          <w:p w14:paraId="6D43590C" w14:textId="77777777" w:rsidR="005A28EA" w:rsidRPr="00460E3D" w:rsidRDefault="005A28EA" w:rsidP="005A28EA">
            <w:pPr>
              <w:jc w:val="left"/>
              <w:rPr>
                <w:rFonts w:ascii="Times New Roman" w:hAnsi="Times New Roman"/>
                <w:sz w:val="22"/>
              </w:rPr>
            </w:pPr>
          </w:p>
        </w:tc>
        <w:tc>
          <w:tcPr>
            <w:tcW w:w="1744" w:type="dxa"/>
          </w:tcPr>
          <w:p w14:paraId="4BBC1D24" w14:textId="77777777" w:rsidR="005A28EA" w:rsidRPr="00460E3D" w:rsidRDefault="005A28EA" w:rsidP="005A28EA">
            <w:pPr>
              <w:jc w:val="left"/>
              <w:rPr>
                <w:rFonts w:ascii="Times New Roman" w:hAnsi="Times New Roman"/>
                <w:sz w:val="22"/>
              </w:rPr>
            </w:pPr>
          </w:p>
        </w:tc>
        <w:tc>
          <w:tcPr>
            <w:tcW w:w="2977" w:type="dxa"/>
          </w:tcPr>
          <w:p w14:paraId="0AB6CA9E" w14:textId="77777777" w:rsidR="005A28EA" w:rsidRPr="00460E3D" w:rsidRDefault="005A28EA" w:rsidP="005A28EA">
            <w:pPr>
              <w:jc w:val="left"/>
              <w:rPr>
                <w:rFonts w:ascii="Times New Roman" w:hAnsi="Times New Roman"/>
                <w:sz w:val="22"/>
              </w:rPr>
            </w:pPr>
          </w:p>
        </w:tc>
        <w:tc>
          <w:tcPr>
            <w:tcW w:w="4111" w:type="dxa"/>
          </w:tcPr>
          <w:p w14:paraId="2187CF64" w14:textId="77777777" w:rsidR="005A28EA" w:rsidRPr="00460E3D" w:rsidRDefault="005A28EA" w:rsidP="005A28EA">
            <w:pPr>
              <w:jc w:val="left"/>
              <w:rPr>
                <w:rFonts w:ascii="Times New Roman" w:hAnsi="Times New Roman"/>
                <w:sz w:val="22"/>
              </w:rPr>
            </w:pPr>
          </w:p>
        </w:tc>
      </w:tr>
      <w:tr w:rsidR="005A28EA" w:rsidRPr="00C0062E" w14:paraId="751FDF71" w14:textId="77777777" w:rsidTr="005A28EA">
        <w:tc>
          <w:tcPr>
            <w:tcW w:w="1501" w:type="dxa"/>
          </w:tcPr>
          <w:p w14:paraId="195B027E" w14:textId="77777777" w:rsidR="005A28EA" w:rsidRPr="00460E3D" w:rsidRDefault="005A28EA" w:rsidP="005A28EA">
            <w:pPr>
              <w:jc w:val="left"/>
              <w:rPr>
                <w:rFonts w:ascii="Times New Roman" w:hAnsi="Times New Roman"/>
                <w:sz w:val="22"/>
              </w:rPr>
            </w:pPr>
          </w:p>
          <w:p w14:paraId="537B5BD6" w14:textId="77777777" w:rsidR="005A28EA" w:rsidRPr="00460E3D" w:rsidRDefault="005A28EA" w:rsidP="005A28EA">
            <w:pPr>
              <w:jc w:val="left"/>
              <w:rPr>
                <w:rFonts w:ascii="Times New Roman" w:hAnsi="Times New Roman"/>
                <w:sz w:val="22"/>
              </w:rPr>
            </w:pPr>
          </w:p>
        </w:tc>
        <w:tc>
          <w:tcPr>
            <w:tcW w:w="2293" w:type="dxa"/>
          </w:tcPr>
          <w:p w14:paraId="3E7F0632" w14:textId="77777777" w:rsidR="005A28EA" w:rsidRPr="00460E3D" w:rsidRDefault="005A28EA" w:rsidP="005A28EA">
            <w:pPr>
              <w:jc w:val="left"/>
              <w:rPr>
                <w:rFonts w:ascii="Times New Roman" w:hAnsi="Times New Roman"/>
                <w:sz w:val="22"/>
              </w:rPr>
            </w:pPr>
          </w:p>
        </w:tc>
        <w:tc>
          <w:tcPr>
            <w:tcW w:w="1516" w:type="dxa"/>
          </w:tcPr>
          <w:p w14:paraId="2A1D83C2" w14:textId="77777777" w:rsidR="005A28EA" w:rsidRPr="00460E3D" w:rsidRDefault="005A28EA" w:rsidP="005A28EA">
            <w:pPr>
              <w:jc w:val="left"/>
              <w:rPr>
                <w:rFonts w:ascii="Times New Roman" w:hAnsi="Times New Roman"/>
                <w:sz w:val="22"/>
              </w:rPr>
            </w:pPr>
          </w:p>
        </w:tc>
        <w:tc>
          <w:tcPr>
            <w:tcW w:w="1744" w:type="dxa"/>
          </w:tcPr>
          <w:p w14:paraId="495469EA" w14:textId="77777777" w:rsidR="005A28EA" w:rsidRPr="00460E3D" w:rsidRDefault="005A28EA" w:rsidP="005A28EA">
            <w:pPr>
              <w:jc w:val="left"/>
              <w:rPr>
                <w:rFonts w:ascii="Times New Roman" w:hAnsi="Times New Roman"/>
                <w:sz w:val="22"/>
              </w:rPr>
            </w:pPr>
          </w:p>
        </w:tc>
        <w:tc>
          <w:tcPr>
            <w:tcW w:w="2977" w:type="dxa"/>
          </w:tcPr>
          <w:p w14:paraId="467017F0" w14:textId="77777777" w:rsidR="005A28EA" w:rsidRPr="00460E3D" w:rsidRDefault="005A28EA" w:rsidP="005A28EA">
            <w:pPr>
              <w:jc w:val="left"/>
              <w:rPr>
                <w:rFonts w:ascii="Times New Roman" w:hAnsi="Times New Roman"/>
                <w:sz w:val="22"/>
              </w:rPr>
            </w:pPr>
          </w:p>
        </w:tc>
        <w:tc>
          <w:tcPr>
            <w:tcW w:w="4111" w:type="dxa"/>
          </w:tcPr>
          <w:p w14:paraId="55533B89" w14:textId="77777777" w:rsidR="005A28EA" w:rsidRPr="00460E3D" w:rsidRDefault="005A28EA" w:rsidP="005A28EA">
            <w:pPr>
              <w:jc w:val="left"/>
              <w:rPr>
                <w:rFonts w:ascii="Times New Roman" w:hAnsi="Times New Roman"/>
                <w:sz w:val="22"/>
              </w:rPr>
            </w:pPr>
          </w:p>
        </w:tc>
      </w:tr>
      <w:tr w:rsidR="005A28EA" w:rsidRPr="00C0062E" w14:paraId="31265281" w14:textId="77777777" w:rsidTr="005A28EA">
        <w:tc>
          <w:tcPr>
            <w:tcW w:w="1501" w:type="dxa"/>
            <w:tcBorders>
              <w:bottom w:val="single" w:sz="4" w:space="0" w:color="auto"/>
            </w:tcBorders>
          </w:tcPr>
          <w:p w14:paraId="62CBE8BC" w14:textId="77777777" w:rsidR="005A28EA" w:rsidRPr="00460E3D" w:rsidRDefault="005A28EA" w:rsidP="005A28EA">
            <w:pPr>
              <w:jc w:val="left"/>
              <w:rPr>
                <w:rFonts w:ascii="Times New Roman" w:hAnsi="Times New Roman"/>
                <w:sz w:val="22"/>
              </w:rPr>
            </w:pPr>
          </w:p>
          <w:p w14:paraId="43AC69B6"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486036CB"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E22F51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E2264E8"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885C610"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1F0C2CFB" w14:textId="77777777" w:rsidR="005A28EA" w:rsidRPr="00460E3D" w:rsidRDefault="005A28EA" w:rsidP="005A28EA">
            <w:pPr>
              <w:jc w:val="left"/>
              <w:rPr>
                <w:rFonts w:ascii="Times New Roman" w:hAnsi="Times New Roman"/>
                <w:sz w:val="22"/>
              </w:rPr>
            </w:pPr>
          </w:p>
        </w:tc>
      </w:tr>
      <w:tr w:rsidR="005A28EA" w:rsidRPr="00C0062E" w14:paraId="31DE96F1" w14:textId="77777777" w:rsidTr="005A28EA">
        <w:tc>
          <w:tcPr>
            <w:tcW w:w="1501" w:type="dxa"/>
            <w:tcBorders>
              <w:bottom w:val="single" w:sz="4" w:space="0" w:color="auto"/>
            </w:tcBorders>
          </w:tcPr>
          <w:p w14:paraId="2637F6FB" w14:textId="77777777" w:rsidR="005A28EA" w:rsidRPr="00460E3D" w:rsidRDefault="005A28EA" w:rsidP="005A28EA">
            <w:pPr>
              <w:jc w:val="left"/>
              <w:rPr>
                <w:rFonts w:ascii="Times New Roman" w:hAnsi="Times New Roman"/>
                <w:sz w:val="22"/>
              </w:rPr>
            </w:pPr>
          </w:p>
          <w:p w14:paraId="4C0AC609"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545C32B7"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0128273"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1236C2B"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6F960CD"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8034E45" w14:textId="77777777" w:rsidR="005A28EA" w:rsidRPr="00460E3D" w:rsidRDefault="005A28EA" w:rsidP="005A28EA">
            <w:pPr>
              <w:jc w:val="left"/>
              <w:rPr>
                <w:rFonts w:ascii="Times New Roman" w:hAnsi="Times New Roman"/>
                <w:sz w:val="22"/>
              </w:rPr>
            </w:pPr>
          </w:p>
        </w:tc>
      </w:tr>
      <w:tr w:rsidR="005A28EA" w:rsidRPr="00C0062E" w14:paraId="22778BE2" w14:textId="77777777" w:rsidTr="005A28EA">
        <w:tc>
          <w:tcPr>
            <w:tcW w:w="1501" w:type="dxa"/>
          </w:tcPr>
          <w:p w14:paraId="4351685A" w14:textId="77777777" w:rsidR="005A28EA" w:rsidRPr="00460E3D" w:rsidRDefault="005A28EA" w:rsidP="005A28EA">
            <w:pPr>
              <w:jc w:val="left"/>
              <w:rPr>
                <w:rFonts w:ascii="Times New Roman" w:hAnsi="Times New Roman"/>
                <w:sz w:val="22"/>
              </w:rPr>
            </w:pPr>
          </w:p>
          <w:p w14:paraId="251D2581" w14:textId="77777777" w:rsidR="005A28EA" w:rsidRPr="00460E3D" w:rsidRDefault="005A28EA" w:rsidP="005A28EA">
            <w:pPr>
              <w:jc w:val="left"/>
              <w:rPr>
                <w:rFonts w:ascii="Times New Roman" w:hAnsi="Times New Roman"/>
                <w:sz w:val="22"/>
              </w:rPr>
            </w:pPr>
          </w:p>
        </w:tc>
        <w:tc>
          <w:tcPr>
            <w:tcW w:w="2293" w:type="dxa"/>
          </w:tcPr>
          <w:p w14:paraId="6A349369" w14:textId="77777777" w:rsidR="005A28EA" w:rsidRPr="00460E3D" w:rsidRDefault="005A28EA" w:rsidP="005A28EA">
            <w:pPr>
              <w:jc w:val="left"/>
              <w:rPr>
                <w:rFonts w:ascii="Times New Roman" w:hAnsi="Times New Roman"/>
                <w:sz w:val="22"/>
              </w:rPr>
            </w:pPr>
          </w:p>
        </w:tc>
        <w:tc>
          <w:tcPr>
            <w:tcW w:w="1516" w:type="dxa"/>
          </w:tcPr>
          <w:p w14:paraId="7E082345" w14:textId="77777777" w:rsidR="005A28EA" w:rsidRPr="00460E3D" w:rsidRDefault="005A28EA" w:rsidP="005A28EA">
            <w:pPr>
              <w:jc w:val="left"/>
              <w:rPr>
                <w:rFonts w:ascii="Times New Roman" w:hAnsi="Times New Roman"/>
                <w:sz w:val="22"/>
              </w:rPr>
            </w:pPr>
          </w:p>
        </w:tc>
        <w:tc>
          <w:tcPr>
            <w:tcW w:w="1744" w:type="dxa"/>
          </w:tcPr>
          <w:p w14:paraId="193DFF23" w14:textId="77777777" w:rsidR="005A28EA" w:rsidRPr="00460E3D" w:rsidRDefault="005A28EA" w:rsidP="005A28EA">
            <w:pPr>
              <w:jc w:val="left"/>
              <w:rPr>
                <w:rFonts w:ascii="Times New Roman" w:hAnsi="Times New Roman"/>
                <w:sz w:val="22"/>
              </w:rPr>
            </w:pPr>
          </w:p>
        </w:tc>
        <w:tc>
          <w:tcPr>
            <w:tcW w:w="2977" w:type="dxa"/>
          </w:tcPr>
          <w:p w14:paraId="7A7198EF" w14:textId="77777777" w:rsidR="005A28EA" w:rsidRPr="00460E3D" w:rsidRDefault="005A28EA" w:rsidP="005A28EA">
            <w:pPr>
              <w:jc w:val="left"/>
              <w:rPr>
                <w:rFonts w:ascii="Times New Roman" w:hAnsi="Times New Roman"/>
                <w:sz w:val="22"/>
              </w:rPr>
            </w:pPr>
          </w:p>
        </w:tc>
        <w:tc>
          <w:tcPr>
            <w:tcW w:w="4111" w:type="dxa"/>
          </w:tcPr>
          <w:p w14:paraId="73050401" w14:textId="77777777" w:rsidR="005A28EA" w:rsidRPr="00460E3D" w:rsidRDefault="005A28EA" w:rsidP="005A28EA">
            <w:pPr>
              <w:jc w:val="left"/>
              <w:rPr>
                <w:rFonts w:ascii="Times New Roman" w:hAnsi="Times New Roman"/>
                <w:sz w:val="22"/>
              </w:rPr>
            </w:pPr>
          </w:p>
        </w:tc>
      </w:tr>
      <w:tr w:rsidR="005A28EA" w:rsidRPr="00C0062E" w14:paraId="7BA6E588" w14:textId="77777777" w:rsidTr="005A28EA">
        <w:tc>
          <w:tcPr>
            <w:tcW w:w="1501" w:type="dxa"/>
          </w:tcPr>
          <w:p w14:paraId="5F3E17C5" w14:textId="77777777" w:rsidR="005A28EA" w:rsidRPr="00460E3D" w:rsidRDefault="005A28EA" w:rsidP="005A28EA">
            <w:pPr>
              <w:jc w:val="left"/>
              <w:rPr>
                <w:rFonts w:ascii="Times New Roman" w:hAnsi="Times New Roman"/>
                <w:sz w:val="22"/>
              </w:rPr>
            </w:pPr>
          </w:p>
          <w:p w14:paraId="6C22C305" w14:textId="77777777" w:rsidR="005A28EA" w:rsidRPr="00460E3D" w:rsidRDefault="005A28EA" w:rsidP="005A28EA">
            <w:pPr>
              <w:jc w:val="left"/>
              <w:rPr>
                <w:rFonts w:ascii="Times New Roman" w:hAnsi="Times New Roman"/>
                <w:sz w:val="22"/>
              </w:rPr>
            </w:pPr>
          </w:p>
        </w:tc>
        <w:tc>
          <w:tcPr>
            <w:tcW w:w="2293" w:type="dxa"/>
          </w:tcPr>
          <w:p w14:paraId="0CA08A96" w14:textId="77777777" w:rsidR="005A28EA" w:rsidRPr="00460E3D" w:rsidRDefault="005A28EA" w:rsidP="005A28EA">
            <w:pPr>
              <w:jc w:val="left"/>
              <w:rPr>
                <w:rFonts w:ascii="Times New Roman" w:hAnsi="Times New Roman"/>
                <w:sz w:val="22"/>
              </w:rPr>
            </w:pPr>
          </w:p>
        </w:tc>
        <w:tc>
          <w:tcPr>
            <w:tcW w:w="1516" w:type="dxa"/>
          </w:tcPr>
          <w:p w14:paraId="05F14209" w14:textId="77777777" w:rsidR="005A28EA" w:rsidRPr="00460E3D" w:rsidRDefault="005A28EA" w:rsidP="005A28EA">
            <w:pPr>
              <w:jc w:val="left"/>
              <w:rPr>
                <w:rFonts w:ascii="Times New Roman" w:hAnsi="Times New Roman"/>
                <w:sz w:val="22"/>
              </w:rPr>
            </w:pPr>
          </w:p>
        </w:tc>
        <w:tc>
          <w:tcPr>
            <w:tcW w:w="1744" w:type="dxa"/>
          </w:tcPr>
          <w:p w14:paraId="137F06D3" w14:textId="77777777" w:rsidR="005A28EA" w:rsidRPr="00460E3D" w:rsidRDefault="005A28EA" w:rsidP="005A28EA">
            <w:pPr>
              <w:jc w:val="left"/>
              <w:rPr>
                <w:rFonts w:ascii="Times New Roman" w:hAnsi="Times New Roman"/>
                <w:sz w:val="22"/>
              </w:rPr>
            </w:pPr>
          </w:p>
        </w:tc>
        <w:tc>
          <w:tcPr>
            <w:tcW w:w="2977" w:type="dxa"/>
          </w:tcPr>
          <w:p w14:paraId="0B357EEF" w14:textId="77777777" w:rsidR="005A28EA" w:rsidRPr="00460E3D" w:rsidRDefault="005A28EA" w:rsidP="005A28EA">
            <w:pPr>
              <w:jc w:val="left"/>
              <w:rPr>
                <w:rFonts w:ascii="Times New Roman" w:hAnsi="Times New Roman"/>
                <w:sz w:val="22"/>
              </w:rPr>
            </w:pPr>
          </w:p>
        </w:tc>
        <w:tc>
          <w:tcPr>
            <w:tcW w:w="4111" w:type="dxa"/>
          </w:tcPr>
          <w:p w14:paraId="1E5345BB" w14:textId="77777777" w:rsidR="005A28EA" w:rsidRPr="00460E3D" w:rsidRDefault="005A28EA" w:rsidP="005A28EA">
            <w:pPr>
              <w:jc w:val="left"/>
              <w:rPr>
                <w:rFonts w:ascii="Times New Roman" w:hAnsi="Times New Roman"/>
                <w:sz w:val="22"/>
              </w:rPr>
            </w:pPr>
          </w:p>
        </w:tc>
      </w:tr>
      <w:tr w:rsidR="005A28EA" w:rsidRPr="00C0062E" w14:paraId="78E2EB79" w14:textId="77777777" w:rsidTr="005A28EA">
        <w:tc>
          <w:tcPr>
            <w:tcW w:w="1501" w:type="dxa"/>
          </w:tcPr>
          <w:p w14:paraId="4CC08100" w14:textId="77777777" w:rsidR="005A28EA" w:rsidRPr="00460E3D" w:rsidRDefault="005A28EA" w:rsidP="005A28EA">
            <w:pPr>
              <w:jc w:val="left"/>
              <w:rPr>
                <w:rFonts w:ascii="Times New Roman" w:hAnsi="Times New Roman"/>
                <w:sz w:val="22"/>
              </w:rPr>
            </w:pPr>
          </w:p>
          <w:p w14:paraId="1021BABD" w14:textId="77777777" w:rsidR="005A28EA" w:rsidRPr="00460E3D" w:rsidRDefault="005A28EA" w:rsidP="005A28EA">
            <w:pPr>
              <w:jc w:val="left"/>
              <w:rPr>
                <w:rFonts w:ascii="Times New Roman" w:hAnsi="Times New Roman"/>
                <w:sz w:val="22"/>
              </w:rPr>
            </w:pPr>
          </w:p>
        </w:tc>
        <w:tc>
          <w:tcPr>
            <w:tcW w:w="2293" w:type="dxa"/>
          </w:tcPr>
          <w:p w14:paraId="7905A10D" w14:textId="77777777" w:rsidR="005A28EA" w:rsidRPr="00460E3D" w:rsidRDefault="005A28EA" w:rsidP="005A28EA">
            <w:pPr>
              <w:jc w:val="left"/>
              <w:rPr>
                <w:rFonts w:ascii="Times New Roman" w:hAnsi="Times New Roman"/>
                <w:sz w:val="22"/>
              </w:rPr>
            </w:pPr>
          </w:p>
        </w:tc>
        <w:tc>
          <w:tcPr>
            <w:tcW w:w="1516" w:type="dxa"/>
          </w:tcPr>
          <w:p w14:paraId="680058FF" w14:textId="77777777" w:rsidR="005A28EA" w:rsidRPr="00460E3D" w:rsidRDefault="005A28EA" w:rsidP="005A28EA">
            <w:pPr>
              <w:jc w:val="left"/>
              <w:rPr>
                <w:rFonts w:ascii="Times New Roman" w:hAnsi="Times New Roman"/>
                <w:sz w:val="22"/>
              </w:rPr>
            </w:pPr>
          </w:p>
        </w:tc>
        <w:tc>
          <w:tcPr>
            <w:tcW w:w="1744" w:type="dxa"/>
          </w:tcPr>
          <w:p w14:paraId="7063106A" w14:textId="77777777" w:rsidR="005A28EA" w:rsidRPr="00460E3D" w:rsidRDefault="005A28EA" w:rsidP="005A28EA">
            <w:pPr>
              <w:jc w:val="left"/>
              <w:rPr>
                <w:rFonts w:ascii="Times New Roman" w:hAnsi="Times New Roman"/>
                <w:sz w:val="22"/>
              </w:rPr>
            </w:pPr>
          </w:p>
        </w:tc>
        <w:tc>
          <w:tcPr>
            <w:tcW w:w="2977" w:type="dxa"/>
          </w:tcPr>
          <w:p w14:paraId="2379B449" w14:textId="77777777" w:rsidR="005A28EA" w:rsidRPr="00460E3D" w:rsidRDefault="005A28EA" w:rsidP="005A28EA">
            <w:pPr>
              <w:jc w:val="left"/>
              <w:rPr>
                <w:rFonts w:ascii="Times New Roman" w:hAnsi="Times New Roman"/>
                <w:sz w:val="22"/>
              </w:rPr>
            </w:pPr>
          </w:p>
        </w:tc>
        <w:tc>
          <w:tcPr>
            <w:tcW w:w="4111" w:type="dxa"/>
          </w:tcPr>
          <w:p w14:paraId="0F061F14" w14:textId="77777777" w:rsidR="005A28EA" w:rsidRPr="00460E3D" w:rsidRDefault="005A28EA" w:rsidP="005A28EA">
            <w:pPr>
              <w:jc w:val="left"/>
              <w:rPr>
                <w:rFonts w:ascii="Times New Roman" w:hAnsi="Times New Roman"/>
                <w:sz w:val="22"/>
              </w:rPr>
            </w:pPr>
          </w:p>
        </w:tc>
      </w:tr>
      <w:tr w:rsidR="005A28EA" w:rsidRPr="00C0062E" w14:paraId="331B1A6C" w14:textId="77777777" w:rsidTr="005A28EA">
        <w:tc>
          <w:tcPr>
            <w:tcW w:w="1501" w:type="dxa"/>
          </w:tcPr>
          <w:p w14:paraId="34707D6A" w14:textId="77777777" w:rsidR="005A28EA" w:rsidRPr="00460E3D" w:rsidRDefault="005A28EA" w:rsidP="005A28EA">
            <w:pPr>
              <w:jc w:val="left"/>
              <w:rPr>
                <w:rFonts w:ascii="Times New Roman" w:hAnsi="Times New Roman"/>
                <w:sz w:val="22"/>
              </w:rPr>
            </w:pPr>
          </w:p>
          <w:p w14:paraId="5A881A1B" w14:textId="77777777" w:rsidR="005A28EA" w:rsidRPr="00460E3D" w:rsidRDefault="005A28EA" w:rsidP="005A28EA">
            <w:pPr>
              <w:jc w:val="left"/>
              <w:rPr>
                <w:rFonts w:ascii="Times New Roman" w:hAnsi="Times New Roman"/>
                <w:sz w:val="22"/>
              </w:rPr>
            </w:pPr>
          </w:p>
        </w:tc>
        <w:tc>
          <w:tcPr>
            <w:tcW w:w="2293" w:type="dxa"/>
          </w:tcPr>
          <w:p w14:paraId="325E6C67" w14:textId="77777777" w:rsidR="005A28EA" w:rsidRPr="00460E3D" w:rsidRDefault="005A28EA" w:rsidP="005A28EA">
            <w:pPr>
              <w:jc w:val="left"/>
              <w:rPr>
                <w:rFonts w:ascii="Times New Roman" w:hAnsi="Times New Roman"/>
                <w:sz w:val="22"/>
              </w:rPr>
            </w:pPr>
          </w:p>
        </w:tc>
        <w:tc>
          <w:tcPr>
            <w:tcW w:w="1516" w:type="dxa"/>
          </w:tcPr>
          <w:p w14:paraId="6B718927" w14:textId="77777777" w:rsidR="005A28EA" w:rsidRPr="00460E3D" w:rsidRDefault="005A28EA" w:rsidP="005A28EA">
            <w:pPr>
              <w:jc w:val="left"/>
              <w:rPr>
                <w:rFonts w:ascii="Times New Roman" w:hAnsi="Times New Roman"/>
                <w:sz w:val="22"/>
              </w:rPr>
            </w:pPr>
          </w:p>
        </w:tc>
        <w:tc>
          <w:tcPr>
            <w:tcW w:w="1744" w:type="dxa"/>
          </w:tcPr>
          <w:p w14:paraId="7DA77FEC" w14:textId="77777777" w:rsidR="005A28EA" w:rsidRPr="00460E3D" w:rsidRDefault="005A28EA" w:rsidP="005A28EA">
            <w:pPr>
              <w:jc w:val="left"/>
              <w:rPr>
                <w:rFonts w:ascii="Times New Roman" w:hAnsi="Times New Roman"/>
                <w:sz w:val="22"/>
              </w:rPr>
            </w:pPr>
          </w:p>
        </w:tc>
        <w:tc>
          <w:tcPr>
            <w:tcW w:w="2977" w:type="dxa"/>
          </w:tcPr>
          <w:p w14:paraId="1DE36A29" w14:textId="77777777" w:rsidR="005A28EA" w:rsidRPr="00460E3D" w:rsidRDefault="005A28EA" w:rsidP="005A28EA">
            <w:pPr>
              <w:jc w:val="left"/>
              <w:rPr>
                <w:rFonts w:ascii="Times New Roman" w:hAnsi="Times New Roman"/>
                <w:sz w:val="22"/>
              </w:rPr>
            </w:pPr>
          </w:p>
        </w:tc>
        <w:tc>
          <w:tcPr>
            <w:tcW w:w="4111" w:type="dxa"/>
          </w:tcPr>
          <w:p w14:paraId="386C7040" w14:textId="77777777" w:rsidR="005A28EA" w:rsidRPr="00460E3D" w:rsidRDefault="005A28EA" w:rsidP="005A28EA">
            <w:pPr>
              <w:jc w:val="left"/>
              <w:rPr>
                <w:rFonts w:ascii="Times New Roman" w:hAnsi="Times New Roman"/>
                <w:sz w:val="22"/>
              </w:rPr>
            </w:pPr>
          </w:p>
        </w:tc>
      </w:tr>
    </w:tbl>
    <w:p w14:paraId="31D16C8A" w14:textId="77777777" w:rsidR="005A28EA" w:rsidRPr="00460E3D" w:rsidRDefault="005A28EA" w:rsidP="005A28EA">
      <w:pPr>
        <w:spacing w:after="200" w:line="276" w:lineRule="auto"/>
        <w:jc w:val="left"/>
        <w:rPr>
          <w:rFonts w:eastAsia="Calibri"/>
          <w:sz w:val="22"/>
          <w:szCs w:val="22"/>
          <w:lang w:eastAsia="en-US"/>
        </w:rPr>
        <w:sectPr w:rsidR="005A28EA" w:rsidRPr="00460E3D" w:rsidSect="00E11824">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14:paraId="4A3DB2AA" w14:textId="77777777" w:rsidR="005A28EA" w:rsidRPr="00460E3D" w:rsidRDefault="005A28EA" w:rsidP="005A28EA">
      <w:pPr>
        <w:numPr>
          <w:ilvl w:val="1"/>
          <w:numId w:val="69"/>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3BFBF701"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2D8EE78" w14:textId="77777777" w:rsidTr="005A28EA">
        <w:tc>
          <w:tcPr>
            <w:tcW w:w="9212" w:type="dxa"/>
          </w:tcPr>
          <w:p w14:paraId="4C3FB3A2"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42DB38A0" w14:textId="77777777" w:rsidR="005A28EA" w:rsidRPr="00460E3D" w:rsidRDefault="005A28EA" w:rsidP="005A28EA">
            <w:pPr>
              <w:jc w:val="left"/>
              <w:rPr>
                <w:rFonts w:ascii="Times New Roman" w:hAnsi="Times New Roman"/>
                <w:sz w:val="22"/>
              </w:rPr>
            </w:pPr>
          </w:p>
          <w:p w14:paraId="6F1825BE" w14:textId="77777777" w:rsidR="005A28EA" w:rsidRPr="00460E3D" w:rsidRDefault="005A28EA" w:rsidP="005A28EA">
            <w:pPr>
              <w:jc w:val="left"/>
              <w:rPr>
                <w:rFonts w:ascii="Times New Roman" w:hAnsi="Times New Roman"/>
                <w:sz w:val="22"/>
              </w:rPr>
            </w:pPr>
          </w:p>
          <w:p w14:paraId="0C6CDF24" w14:textId="77777777" w:rsidR="005A28EA" w:rsidRPr="00460E3D" w:rsidRDefault="005A28EA" w:rsidP="005A28EA">
            <w:pPr>
              <w:jc w:val="left"/>
              <w:rPr>
                <w:rFonts w:ascii="Times New Roman" w:hAnsi="Times New Roman"/>
                <w:sz w:val="22"/>
              </w:rPr>
            </w:pPr>
          </w:p>
          <w:p w14:paraId="47B917F5" w14:textId="77777777" w:rsidR="005A28EA" w:rsidRPr="00460E3D" w:rsidRDefault="005A28EA" w:rsidP="005A28EA">
            <w:pPr>
              <w:jc w:val="left"/>
              <w:rPr>
                <w:rFonts w:ascii="Times New Roman" w:hAnsi="Times New Roman"/>
                <w:sz w:val="22"/>
              </w:rPr>
            </w:pPr>
          </w:p>
        </w:tc>
      </w:tr>
    </w:tbl>
    <w:p w14:paraId="77412A9C"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3218DEA" w14:textId="77777777" w:rsidTr="005A28EA">
        <w:tc>
          <w:tcPr>
            <w:tcW w:w="9212" w:type="dxa"/>
            <w:shd w:val="clear" w:color="auto" w:fill="8DB3E2" w:themeFill="text2" w:themeFillTint="66"/>
          </w:tcPr>
          <w:p w14:paraId="1A0CABA5" w14:textId="77777777" w:rsidR="005A28EA" w:rsidRPr="00460E3D" w:rsidRDefault="005A28EA" w:rsidP="005A28EA">
            <w:pPr>
              <w:ind w:left="360"/>
              <w:jc w:val="left"/>
              <w:rPr>
                <w:rFonts w:ascii="Times New Roman" w:hAnsi="Times New Roman"/>
                <w:b/>
                <w:sz w:val="22"/>
              </w:rPr>
            </w:pPr>
            <w:r w:rsidRPr="00C0062E">
              <w:rPr>
                <w:b/>
                <w:sz w:val="22"/>
              </w:rPr>
              <w:t>6.2. Organisation opérationnelle de l’activité monnaie électronique</w:t>
            </w:r>
          </w:p>
        </w:tc>
      </w:tr>
    </w:tbl>
    <w:p w14:paraId="694E33F4" w14:textId="77777777" w:rsidR="005A28EA" w:rsidRPr="00460E3D" w:rsidRDefault="005A28EA" w:rsidP="005A28EA">
      <w:pPr>
        <w:jc w:val="left"/>
        <w:rPr>
          <w:rFonts w:eastAsia="Calibri"/>
          <w:szCs w:val="24"/>
          <w:lang w:eastAsia="en-US"/>
        </w:rPr>
      </w:pPr>
    </w:p>
    <w:p w14:paraId="782C11D8"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14:paraId="4DB5957C" w14:textId="77777777" w:rsidR="00C30A7D" w:rsidRPr="00460E3D" w:rsidRDefault="00C30A7D" w:rsidP="005A28EA">
      <w:pPr>
        <w:rPr>
          <w:rFonts w:eastAsia="Calibri"/>
          <w:i/>
          <w:sz w:val="22"/>
          <w:szCs w:val="22"/>
          <w:lang w:eastAsia="en-US"/>
        </w:rPr>
      </w:pPr>
    </w:p>
    <w:p w14:paraId="4A34A65D"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73245FDC" w14:textId="77777777" w:rsidTr="005A28EA">
        <w:tc>
          <w:tcPr>
            <w:tcW w:w="3369" w:type="dxa"/>
            <w:tcBorders>
              <w:bottom w:val="single" w:sz="4" w:space="0" w:color="auto"/>
            </w:tcBorders>
            <w:shd w:val="clear" w:color="auto" w:fill="D6E3BC" w:themeFill="accent3" w:themeFillTint="66"/>
          </w:tcPr>
          <w:p w14:paraId="60DF2256"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6B35344D"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012093A0" w14:textId="77777777" w:rsidTr="005A28EA">
        <w:tc>
          <w:tcPr>
            <w:tcW w:w="3369" w:type="dxa"/>
          </w:tcPr>
          <w:p w14:paraId="557E7EB8" w14:textId="77777777" w:rsidR="005A28EA" w:rsidRPr="00460E3D" w:rsidRDefault="005A28EA" w:rsidP="005A28EA">
            <w:pPr>
              <w:jc w:val="left"/>
              <w:rPr>
                <w:rFonts w:ascii="Times New Roman" w:hAnsi="Times New Roman"/>
                <w:sz w:val="22"/>
              </w:rPr>
            </w:pPr>
          </w:p>
        </w:tc>
        <w:tc>
          <w:tcPr>
            <w:tcW w:w="5811" w:type="dxa"/>
          </w:tcPr>
          <w:p w14:paraId="70D04629" w14:textId="77777777" w:rsidR="005A28EA" w:rsidRPr="00460E3D" w:rsidRDefault="005A28EA" w:rsidP="005A28EA">
            <w:pPr>
              <w:jc w:val="left"/>
              <w:rPr>
                <w:rFonts w:ascii="Times New Roman" w:hAnsi="Times New Roman"/>
                <w:sz w:val="22"/>
              </w:rPr>
            </w:pPr>
          </w:p>
        </w:tc>
      </w:tr>
      <w:tr w:rsidR="005A28EA" w:rsidRPr="00C0062E" w14:paraId="2BF9B3C1" w14:textId="77777777" w:rsidTr="005A28EA">
        <w:tc>
          <w:tcPr>
            <w:tcW w:w="3369" w:type="dxa"/>
          </w:tcPr>
          <w:p w14:paraId="59CC16FF" w14:textId="77777777" w:rsidR="005A28EA" w:rsidRPr="00460E3D" w:rsidRDefault="005A28EA" w:rsidP="005A28EA">
            <w:pPr>
              <w:jc w:val="left"/>
              <w:rPr>
                <w:rFonts w:ascii="Times New Roman" w:hAnsi="Times New Roman"/>
                <w:sz w:val="22"/>
              </w:rPr>
            </w:pPr>
          </w:p>
        </w:tc>
        <w:tc>
          <w:tcPr>
            <w:tcW w:w="5811" w:type="dxa"/>
          </w:tcPr>
          <w:p w14:paraId="059B257C" w14:textId="77777777" w:rsidR="005A28EA" w:rsidRPr="00460E3D" w:rsidRDefault="005A28EA" w:rsidP="005A28EA">
            <w:pPr>
              <w:jc w:val="left"/>
              <w:rPr>
                <w:rFonts w:ascii="Times New Roman" w:hAnsi="Times New Roman"/>
                <w:sz w:val="22"/>
              </w:rPr>
            </w:pPr>
          </w:p>
        </w:tc>
      </w:tr>
      <w:tr w:rsidR="005A28EA" w:rsidRPr="00C0062E" w14:paraId="7E7C6B9A" w14:textId="77777777" w:rsidTr="005A28EA">
        <w:tc>
          <w:tcPr>
            <w:tcW w:w="3369" w:type="dxa"/>
            <w:tcBorders>
              <w:bottom w:val="single" w:sz="4" w:space="0" w:color="auto"/>
            </w:tcBorders>
          </w:tcPr>
          <w:p w14:paraId="2571C550"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18AB4B82" w14:textId="77777777" w:rsidR="005A28EA" w:rsidRPr="00460E3D" w:rsidRDefault="005A28EA" w:rsidP="005A28EA">
            <w:pPr>
              <w:jc w:val="left"/>
              <w:rPr>
                <w:rFonts w:ascii="Times New Roman" w:hAnsi="Times New Roman"/>
                <w:sz w:val="22"/>
              </w:rPr>
            </w:pPr>
          </w:p>
        </w:tc>
      </w:tr>
      <w:tr w:rsidR="005A28EA" w:rsidRPr="00C0062E" w14:paraId="0358FA2F" w14:textId="77777777" w:rsidTr="005A28EA">
        <w:tc>
          <w:tcPr>
            <w:tcW w:w="3369" w:type="dxa"/>
          </w:tcPr>
          <w:p w14:paraId="0638E7B0" w14:textId="77777777" w:rsidR="005A28EA" w:rsidRPr="00460E3D" w:rsidRDefault="005A28EA" w:rsidP="005A28EA">
            <w:pPr>
              <w:jc w:val="left"/>
              <w:rPr>
                <w:rFonts w:ascii="Times New Roman" w:hAnsi="Times New Roman"/>
                <w:sz w:val="22"/>
              </w:rPr>
            </w:pPr>
          </w:p>
        </w:tc>
        <w:tc>
          <w:tcPr>
            <w:tcW w:w="5811" w:type="dxa"/>
          </w:tcPr>
          <w:p w14:paraId="501CFE6A" w14:textId="77777777" w:rsidR="005A28EA" w:rsidRPr="00460E3D" w:rsidRDefault="005A28EA" w:rsidP="005A28EA">
            <w:pPr>
              <w:jc w:val="left"/>
              <w:rPr>
                <w:rFonts w:ascii="Times New Roman" w:hAnsi="Times New Roman"/>
                <w:sz w:val="22"/>
              </w:rPr>
            </w:pPr>
          </w:p>
        </w:tc>
      </w:tr>
      <w:tr w:rsidR="005A28EA" w:rsidRPr="00C0062E" w14:paraId="249CA93D" w14:textId="77777777" w:rsidTr="005A28EA">
        <w:tc>
          <w:tcPr>
            <w:tcW w:w="3369" w:type="dxa"/>
          </w:tcPr>
          <w:p w14:paraId="0782901B" w14:textId="77777777" w:rsidR="005A28EA" w:rsidRPr="00460E3D" w:rsidRDefault="005A28EA" w:rsidP="005A28EA">
            <w:pPr>
              <w:jc w:val="left"/>
              <w:rPr>
                <w:rFonts w:ascii="Times New Roman" w:hAnsi="Times New Roman"/>
                <w:sz w:val="22"/>
              </w:rPr>
            </w:pPr>
          </w:p>
        </w:tc>
        <w:tc>
          <w:tcPr>
            <w:tcW w:w="5811" w:type="dxa"/>
          </w:tcPr>
          <w:p w14:paraId="36DF03AC" w14:textId="77777777" w:rsidR="005A28EA" w:rsidRPr="00460E3D" w:rsidRDefault="005A28EA" w:rsidP="005A28EA">
            <w:pPr>
              <w:jc w:val="left"/>
              <w:rPr>
                <w:rFonts w:ascii="Times New Roman" w:hAnsi="Times New Roman"/>
                <w:sz w:val="22"/>
              </w:rPr>
            </w:pPr>
          </w:p>
        </w:tc>
      </w:tr>
      <w:tr w:rsidR="005A28EA" w:rsidRPr="00C0062E" w14:paraId="0DD3C21B" w14:textId="77777777" w:rsidTr="005A28EA">
        <w:tc>
          <w:tcPr>
            <w:tcW w:w="3369" w:type="dxa"/>
          </w:tcPr>
          <w:p w14:paraId="29155524" w14:textId="77777777" w:rsidR="005A28EA" w:rsidRPr="00460E3D" w:rsidRDefault="005A28EA" w:rsidP="005A28EA">
            <w:pPr>
              <w:jc w:val="left"/>
              <w:rPr>
                <w:rFonts w:ascii="Times New Roman" w:hAnsi="Times New Roman"/>
                <w:sz w:val="22"/>
              </w:rPr>
            </w:pPr>
          </w:p>
        </w:tc>
        <w:tc>
          <w:tcPr>
            <w:tcW w:w="5811" w:type="dxa"/>
          </w:tcPr>
          <w:p w14:paraId="32700099" w14:textId="77777777" w:rsidR="005A28EA" w:rsidRPr="00460E3D" w:rsidRDefault="005A28EA" w:rsidP="005A28EA">
            <w:pPr>
              <w:jc w:val="left"/>
              <w:rPr>
                <w:rFonts w:ascii="Times New Roman" w:hAnsi="Times New Roman"/>
                <w:sz w:val="22"/>
              </w:rPr>
            </w:pPr>
          </w:p>
        </w:tc>
      </w:tr>
    </w:tbl>
    <w:p w14:paraId="0FCA3517" w14:textId="77777777" w:rsidR="005A28EA" w:rsidRPr="00460E3D" w:rsidRDefault="005A28EA" w:rsidP="005A28EA">
      <w:pPr>
        <w:jc w:val="left"/>
        <w:rPr>
          <w:rFonts w:eastAsia="Calibri"/>
          <w:sz w:val="22"/>
          <w:szCs w:val="22"/>
          <w:lang w:eastAsia="en-US"/>
        </w:rPr>
      </w:pPr>
    </w:p>
    <w:p w14:paraId="5B637E6F"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99D1EA7" w14:textId="77777777" w:rsidTr="005A28EA">
        <w:tc>
          <w:tcPr>
            <w:tcW w:w="9212" w:type="dxa"/>
          </w:tcPr>
          <w:p w14:paraId="12F6425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C5AD6AD" w14:textId="77777777" w:rsidR="005A28EA" w:rsidRPr="00460E3D" w:rsidRDefault="005A28EA" w:rsidP="005A28EA">
            <w:pPr>
              <w:rPr>
                <w:rFonts w:ascii="Times New Roman" w:hAnsi="Times New Roman"/>
                <w:i/>
                <w:sz w:val="22"/>
              </w:rPr>
            </w:pPr>
          </w:p>
          <w:p w14:paraId="13EA55A2" w14:textId="77777777" w:rsidR="005A28EA" w:rsidRPr="00460E3D" w:rsidRDefault="005A28EA" w:rsidP="005A28EA">
            <w:pPr>
              <w:rPr>
                <w:rFonts w:ascii="Times New Roman" w:hAnsi="Times New Roman"/>
                <w:i/>
                <w:sz w:val="22"/>
              </w:rPr>
            </w:pPr>
          </w:p>
          <w:p w14:paraId="1FE3F6D4" w14:textId="77777777" w:rsidR="005A28EA" w:rsidRPr="00460E3D" w:rsidRDefault="005A28EA" w:rsidP="005A28EA">
            <w:pPr>
              <w:rPr>
                <w:rFonts w:ascii="Times New Roman" w:hAnsi="Times New Roman"/>
                <w:i/>
                <w:sz w:val="22"/>
              </w:rPr>
            </w:pPr>
          </w:p>
          <w:p w14:paraId="0780E7BB" w14:textId="77777777" w:rsidR="005A28EA" w:rsidRPr="00460E3D" w:rsidRDefault="005A28EA" w:rsidP="005A28EA">
            <w:pPr>
              <w:rPr>
                <w:rFonts w:ascii="Times New Roman" w:hAnsi="Times New Roman"/>
                <w:sz w:val="22"/>
              </w:rPr>
            </w:pPr>
          </w:p>
          <w:p w14:paraId="774693B3" w14:textId="77777777" w:rsidR="005A28EA" w:rsidRPr="00460E3D" w:rsidRDefault="005A28EA" w:rsidP="005A28EA">
            <w:pPr>
              <w:rPr>
                <w:rFonts w:ascii="Times New Roman" w:hAnsi="Times New Roman"/>
                <w:sz w:val="22"/>
              </w:rPr>
            </w:pPr>
          </w:p>
        </w:tc>
      </w:tr>
    </w:tbl>
    <w:p w14:paraId="4BADEAC6" w14:textId="77777777" w:rsidR="005A28EA" w:rsidRPr="00460E3D" w:rsidRDefault="005A28EA" w:rsidP="005A28EA">
      <w:pPr>
        <w:jc w:val="left"/>
        <w:rPr>
          <w:rFonts w:eastAsia="Calibri"/>
          <w:szCs w:val="24"/>
          <w:lang w:eastAsia="en-US"/>
        </w:rPr>
      </w:pPr>
    </w:p>
    <w:p w14:paraId="6A147C4D"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5154E48" w14:textId="77777777" w:rsidTr="005A28EA">
        <w:tc>
          <w:tcPr>
            <w:tcW w:w="9212" w:type="dxa"/>
            <w:shd w:val="clear" w:color="auto" w:fill="8DB3E2" w:themeFill="text2" w:themeFillTint="66"/>
          </w:tcPr>
          <w:p w14:paraId="2EF19607" w14:textId="77777777" w:rsidR="005A28EA" w:rsidRPr="00460E3D" w:rsidRDefault="005A28EA" w:rsidP="005A28EA">
            <w:pPr>
              <w:ind w:left="360"/>
              <w:jc w:val="left"/>
              <w:rPr>
                <w:rFonts w:ascii="Times New Roman" w:hAnsi="Times New Roman"/>
                <w:b/>
                <w:sz w:val="22"/>
              </w:rPr>
            </w:pPr>
            <w:r w:rsidRPr="00C0062E">
              <w:rPr>
                <w:b/>
                <w:sz w:val="22"/>
              </w:rPr>
              <w:t xml:space="preserve">6.3. Description des principaux incidents de fraude </w:t>
            </w:r>
          </w:p>
        </w:tc>
      </w:tr>
    </w:tbl>
    <w:p w14:paraId="1D68DB6D" w14:textId="77777777" w:rsidR="005A28EA" w:rsidRPr="00460E3D" w:rsidRDefault="005A28EA" w:rsidP="005A28EA">
      <w:pPr>
        <w:jc w:val="left"/>
        <w:rPr>
          <w:rFonts w:eastAsia="Calibri"/>
          <w:szCs w:val="24"/>
          <w:lang w:eastAsia="en-US"/>
        </w:rPr>
      </w:pPr>
    </w:p>
    <w:p w14:paraId="5AB6B212" w14:textId="77777777"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14:paraId="2DDA55B3"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4"/>
        <w:gridCol w:w="4754"/>
      </w:tblGrid>
      <w:tr w:rsidR="005A28EA" w:rsidRPr="00C0062E" w14:paraId="5E3C8783" w14:textId="77777777" w:rsidTr="005A28EA">
        <w:tc>
          <w:tcPr>
            <w:tcW w:w="2376" w:type="dxa"/>
            <w:shd w:val="clear" w:color="auto" w:fill="D6E3BC" w:themeFill="accent3" w:themeFillTint="66"/>
            <w:vAlign w:val="center"/>
          </w:tcPr>
          <w:p w14:paraId="2C1682DA"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76A6C254"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67A0840"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429B6348"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E30B5F0" w14:textId="77777777" w:rsidTr="005A28EA">
        <w:tc>
          <w:tcPr>
            <w:tcW w:w="2376" w:type="dxa"/>
          </w:tcPr>
          <w:p w14:paraId="53279BEF" w14:textId="77777777" w:rsidR="005A28EA" w:rsidRPr="00460E3D" w:rsidRDefault="005A28EA" w:rsidP="005A28EA">
            <w:pPr>
              <w:jc w:val="left"/>
              <w:rPr>
                <w:rFonts w:ascii="Times New Roman" w:hAnsi="Times New Roman"/>
                <w:b/>
                <w:sz w:val="22"/>
              </w:rPr>
            </w:pPr>
          </w:p>
        </w:tc>
        <w:tc>
          <w:tcPr>
            <w:tcW w:w="1985" w:type="dxa"/>
          </w:tcPr>
          <w:p w14:paraId="3195F684" w14:textId="77777777" w:rsidR="005A28EA" w:rsidRPr="00460E3D" w:rsidRDefault="005A28EA" w:rsidP="005A28EA">
            <w:pPr>
              <w:jc w:val="left"/>
              <w:rPr>
                <w:rFonts w:ascii="Times New Roman" w:hAnsi="Times New Roman"/>
                <w:b/>
                <w:sz w:val="22"/>
              </w:rPr>
            </w:pPr>
          </w:p>
        </w:tc>
        <w:tc>
          <w:tcPr>
            <w:tcW w:w="4851" w:type="dxa"/>
          </w:tcPr>
          <w:p w14:paraId="611F05DC" w14:textId="77777777" w:rsidR="005A28EA" w:rsidRPr="00460E3D" w:rsidRDefault="005A28EA" w:rsidP="005A28EA">
            <w:pPr>
              <w:jc w:val="left"/>
              <w:rPr>
                <w:rFonts w:ascii="Times New Roman" w:hAnsi="Times New Roman"/>
                <w:b/>
                <w:sz w:val="22"/>
              </w:rPr>
            </w:pPr>
          </w:p>
        </w:tc>
      </w:tr>
      <w:tr w:rsidR="005A28EA" w:rsidRPr="00C0062E" w14:paraId="36C9D724" w14:textId="77777777" w:rsidTr="005A28EA">
        <w:tc>
          <w:tcPr>
            <w:tcW w:w="2376" w:type="dxa"/>
          </w:tcPr>
          <w:p w14:paraId="2DC0C368" w14:textId="77777777" w:rsidR="005A28EA" w:rsidRPr="00460E3D" w:rsidRDefault="005A28EA" w:rsidP="005A28EA">
            <w:pPr>
              <w:jc w:val="left"/>
              <w:rPr>
                <w:rFonts w:ascii="Times New Roman" w:hAnsi="Times New Roman"/>
                <w:b/>
                <w:sz w:val="22"/>
              </w:rPr>
            </w:pPr>
          </w:p>
        </w:tc>
        <w:tc>
          <w:tcPr>
            <w:tcW w:w="1985" w:type="dxa"/>
          </w:tcPr>
          <w:p w14:paraId="57153323" w14:textId="77777777" w:rsidR="005A28EA" w:rsidRPr="00460E3D" w:rsidRDefault="005A28EA" w:rsidP="005A28EA">
            <w:pPr>
              <w:jc w:val="left"/>
              <w:rPr>
                <w:rFonts w:ascii="Times New Roman" w:hAnsi="Times New Roman"/>
                <w:b/>
                <w:sz w:val="22"/>
              </w:rPr>
            </w:pPr>
          </w:p>
        </w:tc>
        <w:tc>
          <w:tcPr>
            <w:tcW w:w="4851" w:type="dxa"/>
          </w:tcPr>
          <w:p w14:paraId="6357B50E" w14:textId="77777777" w:rsidR="005A28EA" w:rsidRPr="00460E3D" w:rsidRDefault="005A28EA" w:rsidP="005A28EA">
            <w:pPr>
              <w:jc w:val="left"/>
              <w:rPr>
                <w:rFonts w:ascii="Times New Roman" w:hAnsi="Times New Roman"/>
                <w:b/>
                <w:sz w:val="22"/>
              </w:rPr>
            </w:pPr>
          </w:p>
        </w:tc>
      </w:tr>
      <w:tr w:rsidR="005A28EA" w:rsidRPr="00C0062E" w14:paraId="59D2D57C" w14:textId="77777777" w:rsidTr="005A28EA">
        <w:tc>
          <w:tcPr>
            <w:tcW w:w="2376" w:type="dxa"/>
          </w:tcPr>
          <w:p w14:paraId="784F5FFC" w14:textId="77777777" w:rsidR="005A28EA" w:rsidRPr="00460E3D" w:rsidRDefault="005A28EA" w:rsidP="005A28EA">
            <w:pPr>
              <w:jc w:val="left"/>
              <w:rPr>
                <w:rFonts w:ascii="Times New Roman" w:hAnsi="Times New Roman"/>
                <w:b/>
                <w:sz w:val="22"/>
              </w:rPr>
            </w:pPr>
          </w:p>
        </w:tc>
        <w:tc>
          <w:tcPr>
            <w:tcW w:w="1985" w:type="dxa"/>
          </w:tcPr>
          <w:p w14:paraId="18223392" w14:textId="77777777" w:rsidR="005A28EA" w:rsidRPr="00460E3D" w:rsidRDefault="005A28EA" w:rsidP="005A28EA">
            <w:pPr>
              <w:jc w:val="left"/>
              <w:rPr>
                <w:rFonts w:ascii="Times New Roman" w:hAnsi="Times New Roman"/>
                <w:b/>
                <w:sz w:val="22"/>
              </w:rPr>
            </w:pPr>
          </w:p>
        </w:tc>
        <w:tc>
          <w:tcPr>
            <w:tcW w:w="4851" w:type="dxa"/>
          </w:tcPr>
          <w:p w14:paraId="7321269A" w14:textId="77777777" w:rsidR="005A28EA" w:rsidRPr="00460E3D" w:rsidRDefault="005A28EA" w:rsidP="005A28EA">
            <w:pPr>
              <w:jc w:val="left"/>
              <w:rPr>
                <w:rFonts w:ascii="Times New Roman" w:hAnsi="Times New Roman"/>
                <w:b/>
                <w:sz w:val="22"/>
              </w:rPr>
            </w:pPr>
          </w:p>
        </w:tc>
      </w:tr>
      <w:tr w:rsidR="005A28EA" w:rsidRPr="00C0062E" w14:paraId="5CA6ACC4" w14:textId="77777777" w:rsidTr="005A28EA">
        <w:tc>
          <w:tcPr>
            <w:tcW w:w="2376" w:type="dxa"/>
          </w:tcPr>
          <w:p w14:paraId="0854D37C" w14:textId="77777777" w:rsidR="005A28EA" w:rsidRPr="00460E3D" w:rsidRDefault="005A28EA" w:rsidP="005A28EA">
            <w:pPr>
              <w:jc w:val="left"/>
              <w:rPr>
                <w:rFonts w:ascii="Times New Roman" w:hAnsi="Times New Roman"/>
                <w:b/>
                <w:sz w:val="22"/>
              </w:rPr>
            </w:pPr>
          </w:p>
        </w:tc>
        <w:tc>
          <w:tcPr>
            <w:tcW w:w="1985" w:type="dxa"/>
          </w:tcPr>
          <w:p w14:paraId="394202EE" w14:textId="77777777" w:rsidR="005A28EA" w:rsidRPr="00460E3D" w:rsidRDefault="005A28EA" w:rsidP="005A28EA">
            <w:pPr>
              <w:jc w:val="left"/>
              <w:rPr>
                <w:rFonts w:ascii="Times New Roman" w:hAnsi="Times New Roman"/>
                <w:b/>
                <w:sz w:val="22"/>
              </w:rPr>
            </w:pPr>
          </w:p>
        </w:tc>
        <w:tc>
          <w:tcPr>
            <w:tcW w:w="4851" w:type="dxa"/>
          </w:tcPr>
          <w:p w14:paraId="347737DB" w14:textId="77777777" w:rsidR="005A28EA" w:rsidRPr="00460E3D" w:rsidRDefault="005A28EA" w:rsidP="005A28EA">
            <w:pPr>
              <w:jc w:val="left"/>
              <w:rPr>
                <w:rFonts w:ascii="Times New Roman" w:hAnsi="Times New Roman"/>
                <w:b/>
                <w:sz w:val="22"/>
              </w:rPr>
            </w:pPr>
          </w:p>
        </w:tc>
      </w:tr>
      <w:tr w:rsidR="005A28EA" w:rsidRPr="00C0062E" w14:paraId="147CBFCE" w14:textId="77777777" w:rsidTr="005A28EA">
        <w:tc>
          <w:tcPr>
            <w:tcW w:w="2376" w:type="dxa"/>
          </w:tcPr>
          <w:p w14:paraId="013EBDBD" w14:textId="77777777" w:rsidR="005A28EA" w:rsidRPr="00460E3D" w:rsidRDefault="005A28EA" w:rsidP="005A28EA">
            <w:pPr>
              <w:jc w:val="left"/>
              <w:rPr>
                <w:rFonts w:ascii="Times New Roman" w:hAnsi="Times New Roman"/>
                <w:b/>
                <w:sz w:val="22"/>
              </w:rPr>
            </w:pPr>
          </w:p>
        </w:tc>
        <w:tc>
          <w:tcPr>
            <w:tcW w:w="1985" w:type="dxa"/>
          </w:tcPr>
          <w:p w14:paraId="5F01A9AA" w14:textId="77777777" w:rsidR="005A28EA" w:rsidRPr="00460E3D" w:rsidRDefault="005A28EA" w:rsidP="005A28EA">
            <w:pPr>
              <w:jc w:val="left"/>
              <w:rPr>
                <w:rFonts w:ascii="Times New Roman" w:hAnsi="Times New Roman"/>
                <w:b/>
                <w:sz w:val="22"/>
              </w:rPr>
            </w:pPr>
          </w:p>
        </w:tc>
        <w:tc>
          <w:tcPr>
            <w:tcW w:w="4851" w:type="dxa"/>
          </w:tcPr>
          <w:p w14:paraId="5DD6CCD4" w14:textId="77777777" w:rsidR="005A28EA" w:rsidRPr="00460E3D" w:rsidRDefault="005A28EA" w:rsidP="005A28EA">
            <w:pPr>
              <w:jc w:val="left"/>
              <w:rPr>
                <w:rFonts w:ascii="Times New Roman" w:hAnsi="Times New Roman"/>
                <w:b/>
                <w:sz w:val="22"/>
              </w:rPr>
            </w:pPr>
          </w:p>
        </w:tc>
      </w:tr>
    </w:tbl>
    <w:p w14:paraId="10D6ECB3" w14:textId="77777777" w:rsidR="005A28EA" w:rsidRPr="00460E3D" w:rsidRDefault="005A28EA" w:rsidP="005A28EA">
      <w:pPr>
        <w:jc w:val="left"/>
        <w:rPr>
          <w:rFonts w:eastAsia="Calibri"/>
          <w:b/>
          <w:sz w:val="22"/>
          <w:szCs w:val="22"/>
          <w:lang w:eastAsia="en-US"/>
        </w:rPr>
      </w:pPr>
    </w:p>
    <w:p w14:paraId="20433E9C" w14:textId="77777777" w:rsidR="000E29C7" w:rsidRDefault="000E29C7">
      <w:pPr>
        <w:jc w:val="left"/>
        <w:rPr>
          <w:rFonts w:eastAsia="Calibri"/>
          <w:b/>
          <w:szCs w:val="24"/>
          <w:lang w:eastAsia="en-US"/>
        </w:rPr>
      </w:pPr>
      <w:r>
        <w:rPr>
          <w:rFonts w:eastAsia="Calibri"/>
          <w:b/>
          <w:szCs w:val="24"/>
          <w:lang w:eastAsia="en-US"/>
        </w:rPr>
        <w:br w:type="page"/>
      </w:r>
    </w:p>
    <w:p w14:paraId="4EC5A742" w14:textId="77777777" w:rsidR="000E29C7" w:rsidRDefault="000E29C7" w:rsidP="001601B6">
      <w:pPr>
        <w:numPr>
          <w:ilvl w:val="0"/>
          <w:numId w:val="72"/>
        </w:numPr>
        <w:jc w:val="left"/>
        <w:rPr>
          <w:b/>
          <w:sz w:val="22"/>
        </w:rPr>
        <w:sectPr w:rsidR="000E29C7"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0E29C7" w:rsidRPr="00C0062E" w14:paraId="34450594" w14:textId="77777777" w:rsidTr="001601B6">
        <w:tc>
          <w:tcPr>
            <w:tcW w:w="14142" w:type="dxa"/>
            <w:shd w:val="clear" w:color="auto" w:fill="FBD4B4" w:themeFill="accent6" w:themeFillTint="66"/>
          </w:tcPr>
          <w:p w14:paraId="0FAE7ED9" w14:textId="77777777" w:rsidR="000E29C7" w:rsidRPr="00460E3D" w:rsidRDefault="000E29C7" w:rsidP="001C5B1C">
            <w:pPr>
              <w:numPr>
                <w:ilvl w:val="0"/>
                <w:numId w:val="72"/>
              </w:numPr>
              <w:jc w:val="left"/>
              <w:rPr>
                <w:rFonts w:ascii="Times New Roman" w:hAnsi="Times New Roman"/>
                <w:b/>
                <w:sz w:val="22"/>
              </w:rPr>
            </w:pPr>
            <w:r w:rsidRPr="00460E3D">
              <w:rPr>
                <w:b/>
                <w:sz w:val="22"/>
              </w:rPr>
              <w:br w:type="page"/>
            </w:r>
            <w:r>
              <w:rPr>
                <w:b/>
                <w:sz w:val="22"/>
              </w:rPr>
              <w:t>Service</w:t>
            </w:r>
            <w:r w:rsidR="004725B5">
              <w:rPr>
                <w:b/>
                <w:sz w:val="22"/>
              </w:rPr>
              <w:t>s</w:t>
            </w:r>
            <w:r>
              <w:rPr>
                <w:b/>
                <w:sz w:val="22"/>
              </w:rPr>
              <w:t xml:space="preserve"> d’information sur les comptes</w:t>
            </w:r>
            <w:r w:rsidR="004725B5">
              <w:rPr>
                <w:b/>
                <w:sz w:val="22"/>
              </w:rPr>
              <w:t xml:space="preserve"> </w:t>
            </w:r>
            <w:r w:rsidR="001C5B1C">
              <w:rPr>
                <w:b/>
                <w:sz w:val="22"/>
              </w:rPr>
              <w:t>et d’initiation de paiement</w:t>
            </w:r>
          </w:p>
        </w:tc>
      </w:tr>
    </w:tbl>
    <w:p w14:paraId="56F3C1D3" w14:textId="77777777" w:rsidR="000E29C7" w:rsidRPr="00460E3D" w:rsidRDefault="000E29C7" w:rsidP="000E29C7">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0E29C7" w:rsidRPr="00C0062E" w14:paraId="513B4ED0" w14:textId="77777777" w:rsidTr="001601B6">
        <w:tc>
          <w:tcPr>
            <w:tcW w:w="14142" w:type="dxa"/>
            <w:shd w:val="clear" w:color="auto" w:fill="8DB3E2" w:themeFill="text2" w:themeFillTint="66"/>
          </w:tcPr>
          <w:p w14:paraId="605FAB4B" w14:textId="77777777"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.1. Présentation </w:t>
            </w:r>
            <w:r w:rsidR="001C5B1C">
              <w:rPr>
                <w:b/>
                <w:sz w:val="22"/>
              </w:rPr>
              <w:t>de l’offre</w:t>
            </w:r>
          </w:p>
        </w:tc>
      </w:tr>
    </w:tbl>
    <w:p w14:paraId="6B4B50FC" w14:textId="77777777" w:rsidR="000E29C7" w:rsidRPr="00460E3D" w:rsidRDefault="000E29C7" w:rsidP="000E29C7">
      <w:pPr>
        <w:ind w:left="720"/>
        <w:jc w:val="left"/>
        <w:rPr>
          <w:rFonts w:eastAsia="Calibri"/>
          <w:sz w:val="22"/>
          <w:szCs w:val="22"/>
          <w:lang w:eastAsia="en-US"/>
        </w:rPr>
      </w:pPr>
    </w:p>
    <w:p w14:paraId="436EC211" w14:textId="77777777" w:rsidR="000E29C7" w:rsidRPr="00DD34F3" w:rsidRDefault="000E29C7" w:rsidP="00DD34F3">
      <w:pPr>
        <w:pStyle w:val="Paragraphedeliste"/>
        <w:numPr>
          <w:ilvl w:val="0"/>
          <w:numId w:val="143"/>
        </w:numPr>
        <w:spacing w:after="200" w:line="276" w:lineRule="auto"/>
        <w:jc w:val="left"/>
        <w:rPr>
          <w:rFonts w:eastAsia="Calibri"/>
          <w:b/>
          <w:szCs w:val="22"/>
          <w:lang w:eastAsia="en-US"/>
        </w:rPr>
      </w:pPr>
      <w:r w:rsidRPr="00DD34F3">
        <w:rPr>
          <w:rFonts w:eastAsia="Calibri"/>
          <w:b/>
          <w:szCs w:val="22"/>
          <w:lang w:eastAsia="en-US"/>
        </w:rPr>
        <w:t>Description de l’offre de service</w:t>
      </w:r>
    </w:p>
    <w:p w14:paraId="0B17DD05" w14:textId="77777777" w:rsidR="000E29C7" w:rsidRPr="00460E3D" w:rsidRDefault="000E29C7" w:rsidP="000E29C7">
      <w:pPr>
        <w:ind w:left="714"/>
        <w:jc w:val="left"/>
        <w:rPr>
          <w:rFonts w:eastAsia="Calibri"/>
          <w:sz w:val="22"/>
          <w:szCs w:val="22"/>
          <w:lang w:eastAsia="en-US"/>
        </w:rPr>
      </w:pPr>
    </w:p>
    <w:p w14:paraId="2D86D04D" w14:textId="77777777" w:rsidR="000E29C7" w:rsidRPr="00460E3D" w:rsidRDefault="000E29C7" w:rsidP="000E29C7">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67"/>
        <w:gridCol w:w="1508"/>
        <w:gridCol w:w="1732"/>
        <w:gridCol w:w="2945"/>
        <w:gridCol w:w="4054"/>
      </w:tblGrid>
      <w:tr w:rsidR="003D4335" w:rsidRPr="00C0062E" w14:paraId="1BF21F07" w14:textId="77777777" w:rsidTr="001601B6">
        <w:tc>
          <w:tcPr>
            <w:tcW w:w="1501" w:type="dxa"/>
            <w:tcBorders>
              <w:bottom w:val="single" w:sz="4" w:space="0" w:color="auto"/>
            </w:tcBorders>
            <w:shd w:val="clear" w:color="auto" w:fill="D6E3BC" w:themeFill="accent3" w:themeFillTint="66"/>
          </w:tcPr>
          <w:p w14:paraId="27F1D864" w14:textId="77777777" w:rsidR="000E29C7" w:rsidRPr="00460E3D" w:rsidRDefault="000E29C7">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14:paraId="04073392" w14:textId="77777777" w:rsidR="000E29C7" w:rsidRPr="00460E3D" w:rsidRDefault="004725B5" w:rsidP="006614FF">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14:paraId="23522735" w14:textId="77777777" w:rsidR="000E29C7" w:rsidRPr="00460E3D" w:rsidRDefault="000E29C7" w:rsidP="001601B6">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1B6D474" w14:textId="77777777" w:rsidR="000E29C7" w:rsidRPr="00460E3D" w:rsidRDefault="000E29C7" w:rsidP="001601B6">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E012274" w14:textId="77777777" w:rsidR="000E29C7" w:rsidRPr="00460E3D" w:rsidRDefault="000E29C7" w:rsidP="001601B6">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C93C4D0" w14:textId="77777777" w:rsidR="000E29C7" w:rsidRPr="00460E3D" w:rsidRDefault="000E29C7" w:rsidP="001601B6">
            <w:pPr>
              <w:jc w:val="center"/>
              <w:rPr>
                <w:rFonts w:ascii="Times New Roman" w:hAnsi="Times New Roman"/>
                <w:b/>
                <w:sz w:val="22"/>
              </w:rPr>
            </w:pPr>
            <w:r w:rsidRPr="00C0062E">
              <w:rPr>
                <w:b/>
                <w:sz w:val="22"/>
              </w:rPr>
              <w:t>Commentaires sur les évolutions d’ordre technologique, fonctionnel et sécuritaire</w:t>
            </w:r>
          </w:p>
        </w:tc>
      </w:tr>
      <w:tr w:rsidR="003D4335" w:rsidRPr="00C0062E" w14:paraId="4FE2CD5E" w14:textId="77777777" w:rsidTr="001601B6">
        <w:tc>
          <w:tcPr>
            <w:tcW w:w="1501" w:type="dxa"/>
          </w:tcPr>
          <w:p w14:paraId="329D239D" w14:textId="77777777" w:rsidR="000E29C7" w:rsidRPr="00460E3D" w:rsidRDefault="000E29C7" w:rsidP="001601B6">
            <w:pPr>
              <w:jc w:val="left"/>
              <w:rPr>
                <w:rFonts w:ascii="Times New Roman" w:hAnsi="Times New Roman"/>
                <w:sz w:val="22"/>
              </w:rPr>
            </w:pPr>
          </w:p>
          <w:p w14:paraId="516C103B" w14:textId="77777777" w:rsidR="000E29C7" w:rsidRPr="00460E3D" w:rsidRDefault="000E29C7" w:rsidP="001601B6">
            <w:pPr>
              <w:jc w:val="left"/>
              <w:rPr>
                <w:rFonts w:ascii="Times New Roman" w:hAnsi="Times New Roman"/>
                <w:sz w:val="22"/>
              </w:rPr>
            </w:pPr>
          </w:p>
        </w:tc>
        <w:tc>
          <w:tcPr>
            <w:tcW w:w="2293" w:type="dxa"/>
          </w:tcPr>
          <w:p w14:paraId="39B78B3D" w14:textId="77777777" w:rsidR="000E29C7" w:rsidRPr="00460E3D" w:rsidRDefault="000E29C7" w:rsidP="001601B6">
            <w:pPr>
              <w:jc w:val="left"/>
              <w:rPr>
                <w:rFonts w:ascii="Times New Roman" w:hAnsi="Times New Roman"/>
                <w:sz w:val="22"/>
              </w:rPr>
            </w:pPr>
          </w:p>
        </w:tc>
        <w:tc>
          <w:tcPr>
            <w:tcW w:w="1516" w:type="dxa"/>
          </w:tcPr>
          <w:p w14:paraId="51657AE7" w14:textId="77777777" w:rsidR="000E29C7" w:rsidRPr="00460E3D" w:rsidRDefault="000E29C7" w:rsidP="001601B6">
            <w:pPr>
              <w:jc w:val="left"/>
              <w:rPr>
                <w:rFonts w:ascii="Times New Roman" w:hAnsi="Times New Roman"/>
                <w:sz w:val="22"/>
              </w:rPr>
            </w:pPr>
          </w:p>
        </w:tc>
        <w:tc>
          <w:tcPr>
            <w:tcW w:w="1744" w:type="dxa"/>
          </w:tcPr>
          <w:p w14:paraId="3D28BE4B" w14:textId="77777777" w:rsidR="000E29C7" w:rsidRPr="00460E3D" w:rsidRDefault="000E29C7" w:rsidP="001601B6">
            <w:pPr>
              <w:jc w:val="left"/>
              <w:rPr>
                <w:rFonts w:ascii="Times New Roman" w:hAnsi="Times New Roman"/>
                <w:sz w:val="22"/>
              </w:rPr>
            </w:pPr>
          </w:p>
        </w:tc>
        <w:tc>
          <w:tcPr>
            <w:tcW w:w="2977" w:type="dxa"/>
          </w:tcPr>
          <w:p w14:paraId="5F191CEF" w14:textId="77777777" w:rsidR="000E29C7" w:rsidRPr="00460E3D" w:rsidRDefault="000E29C7" w:rsidP="001601B6">
            <w:pPr>
              <w:jc w:val="left"/>
              <w:rPr>
                <w:rFonts w:ascii="Times New Roman" w:hAnsi="Times New Roman"/>
                <w:sz w:val="22"/>
              </w:rPr>
            </w:pPr>
          </w:p>
        </w:tc>
        <w:tc>
          <w:tcPr>
            <w:tcW w:w="4111" w:type="dxa"/>
          </w:tcPr>
          <w:p w14:paraId="6177E6EC" w14:textId="77777777" w:rsidR="000E29C7" w:rsidRPr="00460E3D" w:rsidRDefault="000E29C7" w:rsidP="001601B6">
            <w:pPr>
              <w:jc w:val="left"/>
              <w:rPr>
                <w:rFonts w:ascii="Times New Roman" w:hAnsi="Times New Roman"/>
                <w:sz w:val="22"/>
              </w:rPr>
            </w:pPr>
          </w:p>
        </w:tc>
      </w:tr>
      <w:tr w:rsidR="003D4335" w:rsidRPr="00C0062E" w14:paraId="653568D9" w14:textId="77777777" w:rsidTr="001601B6">
        <w:tc>
          <w:tcPr>
            <w:tcW w:w="1501" w:type="dxa"/>
          </w:tcPr>
          <w:p w14:paraId="4AED5CA0" w14:textId="77777777" w:rsidR="000E29C7" w:rsidRPr="00460E3D" w:rsidRDefault="000E29C7" w:rsidP="001601B6">
            <w:pPr>
              <w:jc w:val="left"/>
              <w:rPr>
                <w:rFonts w:ascii="Times New Roman" w:hAnsi="Times New Roman"/>
                <w:sz w:val="22"/>
              </w:rPr>
            </w:pPr>
          </w:p>
          <w:p w14:paraId="0F0738ED" w14:textId="77777777" w:rsidR="000E29C7" w:rsidRPr="00460E3D" w:rsidRDefault="000E29C7" w:rsidP="001601B6">
            <w:pPr>
              <w:jc w:val="left"/>
              <w:rPr>
                <w:rFonts w:ascii="Times New Roman" w:hAnsi="Times New Roman"/>
                <w:sz w:val="22"/>
              </w:rPr>
            </w:pPr>
          </w:p>
        </w:tc>
        <w:tc>
          <w:tcPr>
            <w:tcW w:w="2293" w:type="dxa"/>
          </w:tcPr>
          <w:p w14:paraId="231F8490" w14:textId="77777777" w:rsidR="000E29C7" w:rsidRPr="00460E3D" w:rsidRDefault="000E29C7" w:rsidP="001601B6">
            <w:pPr>
              <w:jc w:val="left"/>
              <w:rPr>
                <w:rFonts w:ascii="Times New Roman" w:hAnsi="Times New Roman"/>
                <w:sz w:val="22"/>
              </w:rPr>
            </w:pPr>
          </w:p>
        </w:tc>
        <w:tc>
          <w:tcPr>
            <w:tcW w:w="1516" w:type="dxa"/>
          </w:tcPr>
          <w:p w14:paraId="0B2D3F17" w14:textId="77777777" w:rsidR="000E29C7" w:rsidRPr="00460E3D" w:rsidRDefault="000E29C7" w:rsidP="001601B6">
            <w:pPr>
              <w:jc w:val="left"/>
              <w:rPr>
                <w:rFonts w:ascii="Times New Roman" w:hAnsi="Times New Roman"/>
                <w:sz w:val="22"/>
              </w:rPr>
            </w:pPr>
          </w:p>
        </w:tc>
        <w:tc>
          <w:tcPr>
            <w:tcW w:w="1744" w:type="dxa"/>
          </w:tcPr>
          <w:p w14:paraId="61DA005D" w14:textId="77777777" w:rsidR="000E29C7" w:rsidRPr="00460E3D" w:rsidRDefault="000E29C7" w:rsidP="001601B6">
            <w:pPr>
              <w:jc w:val="left"/>
              <w:rPr>
                <w:rFonts w:ascii="Times New Roman" w:hAnsi="Times New Roman"/>
                <w:sz w:val="22"/>
              </w:rPr>
            </w:pPr>
          </w:p>
        </w:tc>
        <w:tc>
          <w:tcPr>
            <w:tcW w:w="2977" w:type="dxa"/>
          </w:tcPr>
          <w:p w14:paraId="034CD3AB" w14:textId="77777777" w:rsidR="000E29C7" w:rsidRPr="00460E3D" w:rsidRDefault="000E29C7" w:rsidP="001601B6">
            <w:pPr>
              <w:jc w:val="left"/>
              <w:rPr>
                <w:rFonts w:ascii="Times New Roman" w:hAnsi="Times New Roman"/>
                <w:sz w:val="22"/>
              </w:rPr>
            </w:pPr>
          </w:p>
        </w:tc>
        <w:tc>
          <w:tcPr>
            <w:tcW w:w="4111" w:type="dxa"/>
          </w:tcPr>
          <w:p w14:paraId="3560FF78" w14:textId="77777777" w:rsidR="000E29C7" w:rsidRPr="00460E3D" w:rsidRDefault="000E29C7" w:rsidP="001601B6">
            <w:pPr>
              <w:jc w:val="left"/>
              <w:rPr>
                <w:rFonts w:ascii="Times New Roman" w:hAnsi="Times New Roman"/>
                <w:sz w:val="22"/>
              </w:rPr>
            </w:pPr>
          </w:p>
        </w:tc>
      </w:tr>
      <w:tr w:rsidR="003D4335" w:rsidRPr="00C0062E" w14:paraId="3A31D3AE" w14:textId="77777777" w:rsidTr="001601B6">
        <w:tc>
          <w:tcPr>
            <w:tcW w:w="1501" w:type="dxa"/>
            <w:tcBorders>
              <w:bottom w:val="single" w:sz="4" w:space="0" w:color="auto"/>
            </w:tcBorders>
          </w:tcPr>
          <w:p w14:paraId="4D043DE6" w14:textId="77777777" w:rsidR="000E29C7" w:rsidRPr="00460E3D" w:rsidRDefault="000E29C7" w:rsidP="001601B6">
            <w:pPr>
              <w:jc w:val="left"/>
              <w:rPr>
                <w:rFonts w:ascii="Times New Roman" w:hAnsi="Times New Roman"/>
                <w:sz w:val="22"/>
              </w:rPr>
            </w:pPr>
          </w:p>
          <w:p w14:paraId="36C77E11" w14:textId="77777777" w:rsidR="000E29C7" w:rsidRPr="00460E3D" w:rsidRDefault="000E29C7" w:rsidP="001601B6">
            <w:pPr>
              <w:jc w:val="left"/>
              <w:rPr>
                <w:rFonts w:ascii="Times New Roman" w:hAnsi="Times New Roman"/>
                <w:sz w:val="22"/>
              </w:rPr>
            </w:pPr>
          </w:p>
        </w:tc>
        <w:tc>
          <w:tcPr>
            <w:tcW w:w="2293" w:type="dxa"/>
            <w:tcBorders>
              <w:bottom w:val="single" w:sz="4" w:space="0" w:color="auto"/>
            </w:tcBorders>
          </w:tcPr>
          <w:p w14:paraId="1E3C2007" w14:textId="77777777" w:rsidR="000E29C7" w:rsidRPr="00460E3D" w:rsidRDefault="000E29C7" w:rsidP="001601B6">
            <w:pPr>
              <w:jc w:val="left"/>
              <w:rPr>
                <w:rFonts w:ascii="Times New Roman" w:hAnsi="Times New Roman"/>
                <w:sz w:val="22"/>
              </w:rPr>
            </w:pPr>
          </w:p>
        </w:tc>
        <w:tc>
          <w:tcPr>
            <w:tcW w:w="1516" w:type="dxa"/>
            <w:tcBorders>
              <w:bottom w:val="single" w:sz="4" w:space="0" w:color="auto"/>
            </w:tcBorders>
          </w:tcPr>
          <w:p w14:paraId="03A57BD2" w14:textId="77777777" w:rsidR="000E29C7" w:rsidRPr="00460E3D" w:rsidRDefault="000E29C7" w:rsidP="001601B6">
            <w:pPr>
              <w:jc w:val="left"/>
              <w:rPr>
                <w:rFonts w:ascii="Times New Roman" w:hAnsi="Times New Roman"/>
                <w:sz w:val="22"/>
              </w:rPr>
            </w:pPr>
          </w:p>
        </w:tc>
        <w:tc>
          <w:tcPr>
            <w:tcW w:w="1744" w:type="dxa"/>
            <w:tcBorders>
              <w:bottom w:val="single" w:sz="4" w:space="0" w:color="auto"/>
            </w:tcBorders>
          </w:tcPr>
          <w:p w14:paraId="7E8BE181" w14:textId="77777777" w:rsidR="000E29C7" w:rsidRPr="00460E3D" w:rsidRDefault="000E29C7" w:rsidP="001601B6">
            <w:pPr>
              <w:jc w:val="left"/>
              <w:rPr>
                <w:rFonts w:ascii="Times New Roman" w:hAnsi="Times New Roman"/>
                <w:sz w:val="22"/>
              </w:rPr>
            </w:pPr>
          </w:p>
        </w:tc>
        <w:tc>
          <w:tcPr>
            <w:tcW w:w="2977" w:type="dxa"/>
            <w:tcBorders>
              <w:bottom w:val="single" w:sz="4" w:space="0" w:color="auto"/>
            </w:tcBorders>
          </w:tcPr>
          <w:p w14:paraId="5757173C" w14:textId="77777777" w:rsidR="000E29C7" w:rsidRPr="00460E3D" w:rsidRDefault="000E29C7" w:rsidP="001601B6">
            <w:pPr>
              <w:jc w:val="left"/>
              <w:rPr>
                <w:rFonts w:ascii="Times New Roman" w:hAnsi="Times New Roman"/>
                <w:sz w:val="22"/>
              </w:rPr>
            </w:pPr>
          </w:p>
        </w:tc>
        <w:tc>
          <w:tcPr>
            <w:tcW w:w="4111" w:type="dxa"/>
            <w:tcBorders>
              <w:bottom w:val="single" w:sz="4" w:space="0" w:color="auto"/>
            </w:tcBorders>
          </w:tcPr>
          <w:p w14:paraId="43233EED" w14:textId="77777777" w:rsidR="000E29C7" w:rsidRPr="00460E3D" w:rsidRDefault="000E29C7" w:rsidP="001601B6">
            <w:pPr>
              <w:jc w:val="left"/>
              <w:rPr>
                <w:rFonts w:ascii="Times New Roman" w:hAnsi="Times New Roman"/>
                <w:sz w:val="22"/>
              </w:rPr>
            </w:pPr>
          </w:p>
        </w:tc>
      </w:tr>
      <w:tr w:rsidR="003D4335" w:rsidRPr="00C0062E" w14:paraId="476ED43C" w14:textId="77777777" w:rsidTr="001601B6">
        <w:tc>
          <w:tcPr>
            <w:tcW w:w="1501" w:type="dxa"/>
            <w:tcBorders>
              <w:bottom w:val="single" w:sz="4" w:space="0" w:color="auto"/>
            </w:tcBorders>
          </w:tcPr>
          <w:p w14:paraId="24927BED" w14:textId="77777777" w:rsidR="000E29C7" w:rsidRPr="00460E3D" w:rsidRDefault="000E29C7" w:rsidP="001601B6">
            <w:pPr>
              <w:jc w:val="left"/>
              <w:rPr>
                <w:rFonts w:ascii="Times New Roman" w:hAnsi="Times New Roman"/>
                <w:sz w:val="22"/>
              </w:rPr>
            </w:pPr>
          </w:p>
          <w:p w14:paraId="22A8F20A" w14:textId="77777777" w:rsidR="000E29C7" w:rsidRPr="00460E3D" w:rsidRDefault="000E29C7" w:rsidP="001601B6">
            <w:pPr>
              <w:jc w:val="left"/>
              <w:rPr>
                <w:rFonts w:ascii="Times New Roman" w:hAnsi="Times New Roman"/>
                <w:sz w:val="22"/>
              </w:rPr>
            </w:pPr>
          </w:p>
        </w:tc>
        <w:tc>
          <w:tcPr>
            <w:tcW w:w="2293" w:type="dxa"/>
            <w:tcBorders>
              <w:bottom w:val="single" w:sz="4" w:space="0" w:color="auto"/>
            </w:tcBorders>
          </w:tcPr>
          <w:p w14:paraId="465A334A" w14:textId="77777777" w:rsidR="000E29C7" w:rsidRPr="00460E3D" w:rsidRDefault="000E29C7" w:rsidP="001601B6">
            <w:pPr>
              <w:jc w:val="left"/>
              <w:rPr>
                <w:rFonts w:ascii="Times New Roman" w:hAnsi="Times New Roman"/>
                <w:sz w:val="22"/>
              </w:rPr>
            </w:pPr>
          </w:p>
        </w:tc>
        <w:tc>
          <w:tcPr>
            <w:tcW w:w="1516" w:type="dxa"/>
            <w:tcBorders>
              <w:bottom w:val="single" w:sz="4" w:space="0" w:color="auto"/>
            </w:tcBorders>
          </w:tcPr>
          <w:p w14:paraId="0D6E6691" w14:textId="77777777" w:rsidR="000E29C7" w:rsidRPr="00460E3D" w:rsidRDefault="000E29C7" w:rsidP="001601B6">
            <w:pPr>
              <w:jc w:val="left"/>
              <w:rPr>
                <w:rFonts w:ascii="Times New Roman" w:hAnsi="Times New Roman"/>
                <w:sz w:val="22"/>
              </w:rPr>
            </w:pPr>
          </w:p>
        </w:tc>
        <w:tc>
          <w:tcPr>
            <w:tcW w:w="1744" w:type="dxa"/>
            <w:tcBorders>
              <w:bottom w:val="single" w:sz="4" w:space="0" w:color="auto"/>
            </w:tcBorders>
          </w:tcPr>
          <w:p w14:paraId="5F61837E" w14:textId="77777777" w:rsidR="000E29C7" w:rsidRPr="00460E3D" w:rsidRDefault="000E29C7" w:rsidP="001601B6">
            <w:pPr>
              <w:jc w:val="left"/>
              <w:rPr>
                <w:rFonts w:ascii="Times New Roman" w:hAnsi="Times New Roman"/>
                <w:sz w:val="22"/>
              </w:rPr>
            </w:pPr>
          </w:p>
        </w:tc>
        <w:tc>
          <w:tcPr>
            <w:tcW w:w="2977" w:type="dxa"/>
            <w:tcBorders>
              <w:bottom w:val="single" w:sz="4" w:space="0" w:color="auto"/>
            </w:tcBorders>
          </w:tcPr>
          <w:p w14:paraId="3AFE692B" w14:textId="77777777" w:rsidR="000E29C7" w:rsidRPr="00460E3D" w:rsidRDefault="000E29C7" w:rsidP="001601B6">
            <w:pPr>
              <w:jc w:val="left"/>
              <w:rPr>
                <w:rFonts w:ascii="Times New Roman" w:hAnsi="Times New Roman"/>
                <w:sz w:val="22"/>
              </w:rPr>
            </w:pPr>
          </w:p>
        </w:tc>
        <w:tc>
          <w:tcPr>
            <w:tcW w:w="4111" w:type="dxa"/>
            <w:tcBorders>
              <w:bottom w:val="single" w:sz="4" w:space="0" w:color="auto"/>
            </w:tcBorders>
          </w:tcPr>
          <w:p w14:paraId="4D155BC8" w14:textId="77777777" w:rsidR="000E29C7" w:rsidRPr="00460E3D" w:rsidRDefault="000E29C7" w:rsidP="001601B6">
            <w:pPr>
              <w:jc w:val="left"/>
              <w:rPr>
                <w:rFonts w:ascii="Times New Roman" w:hAnsi="Times New Roman"/>
                <w:sz w:val="22"/>
              </w:rPr>
            </w:pPr>
          </w:p>
        </w:tc>
      </w:tr>
      <w:tr w:rsidR="003D4335" w:rsidRPr="00C0062E" w14:paraId="49D8215C" w14:textId="77777777" w:rsidTr="001601B6">
        <w:tc>
          <w:tcPr>
            <w:tcW w:w="1501" w:type="dxa"/>
          </w:tcPr>
          <w:p w14:paraId="01D0CDB4" w14:textId="77777777" w:rsidR="000E29C7" w:rsidRPr="00460E3D" w:rsidRDefault="000E29C7" w:rsidP="001601B6">
            <w:pPr>
              <w:jc w:val="left"/>
              <w:rPr>
                <w:rFonts w:ascii="Times New Roman" w:hAnsi="Times New Roman"/>
                <w:sz w:val="22"/>
              </w:rPr>
            </w:pPr>
          </w:p>
          <w:p w14:paraId="427025F1" w14:textId="77777777" w:rsidR="000E29C7" w:rsidRPr="00460E3D" w:rsidRDefault="000E29C7" w:rsidP="001601B6">
            <w:pPr>
              <w:jc w:val="left"/>
              <w:rPr>
                <w:rFonts w:ascii="Times New Roman" w:hAnsi="Times New Roman"/>
                <w:sz w:val="22"/>
              </w:rPr>
            </w:pPr>
          </w:p>
        </w:tc>
        <w:tc>
          <w:tcPr>
            <w:tcW w:w="2293" w:type="dxa"/>
          </w:tcPr>
          <w:p w14:paraId="636C6731" w14:textId="77777777" w:rsidR="000E29C7" w:rsidRPr="00460E3D" w:rsidRDefault="000E29C7" w:rsidP="001601B6">
            <w:pPr>
              <w:jc w:val="left"/>
              <w:rPr>
                <w:rFonts w:ascii="Times New Roman" w:hAnsi="Times New Roman"/>
                <w:sz w:val="22"/>
              </w:rPr>
            </w:pPr>
          </w:p>
        </w:tc>
        <w:tc>
          <w:tcPr>
            <w:tcW w:w="1516" w:type="dxa"/>
          </w:tcPr>
          <w:p w14:paraId="50BFAF12" w14:textId="77777777" w:rsidR="000E29C7" w:rsidRPr="00460E3D" w:rsidRDefault="000E29C7" w:rsidP="001601B6">
            <w:pPr>
              <w:jc w:val="left"/>
              <w:rPr>
                <w:rFonts w:ascii="Times New Roman" w:hAnsi="Times New Roman"/>
                <w:sz w:val="22"/>
              </w:rPr>
            </w:pPr>
          </w:p>
        </w:tc>
        <w:tc>
          <w:tcPr>
            <w:tcW w:w="1744" w:type="dxa"/>
          </w:tcPr>
          <w:p w14:paraId="64AC316F" w14:textId="77777777" w:rsidR="000E29C7" w:rsidRPr="00460E3D" w:rsidRDefault="000E29C7" w:rsidP="001601B6">
            <w:pPr>
              <w:jc w:val="left"/>
              <w:rPr>
                <w:rFonts w:ascii="Times New Roman" w:hAnsi="Times New Roman"/>
                <w:sz w:val="22"/>
              </w:rPr>
            </w:pPr>
          </w:p>
        </w:tc>
        <w:tc>
          <w:tcPr>
            <w:tcW w:w="2977" w:type="dxa"/>
          </w:tcPr>
          <w:p w14:paraId="3CF15EBE" w14:textId="77777777" w:rsidR="000E29C7" w:rsidRPr="00460E3D" w:rsidRDefault="000E29C7" w:rsidP="001601B6">
            <w:pPr>
              <w:jc w:val="left"/>
              <w:rPr>
                <w:rFonts w:ascii="Times New Roman" w:hAnsi="Times New Roman"/>
                <w:sz w:val="22"/>
              </w:rPr>
            </w:pPr>
          </w:p>
        </w:tc>
        <w:tc>
          <w:tcPr>
            <w:tcW w:w="4111" w:type="dxa"/>
          </w:tcPr>
          <w:p w14:paraId="12CC7CB0" w14:textId="77777777" w:rsidR="000E29C7" w:rsidRPr="00460E3D" w:rsidRDefault="000E29C7" w:rsidP="001601B6">
            <w:pPr>
              <w:jc w:val="left"/>
              <w:rPr>
                <w:rFonts w:ascii="Times New Roman" w:hAnsi="Times New Roman"/>
                <w:sz w:val="22"/>
              </w:rPr>
            </w:pPr>
          </w:p>
        </w:tc>
      </w:tr>
      <w:tr w:rsidR="003D4335" w:rsidRPr="00C0062E" w14:paraId="74C14CD4" w14:textId="77777777" w:rsidTr="001601B6">
        <w:tc>
          <w:tcPr>
            <w:tcW w:w="1501" w:type="dxa"/>
          </w:tcPr>
          <w:p w14:paraId="0384B3D2" w14:textId="77777777" w:rsidR="000E29C7" w:rsidRPr="00460E3D" w:rsidRDefault="000E29C7" w:rsidP="001601B6">
            <w:pPr>
              <w:jc w:val="left"/>
              <w:rPr>
                <w:rFonts w:ascii="Times New Roman" w:hAnsi="Times New Roman"/>
                <w:sz w:val="22"/>
              </w:rPr>
            </w:pPr>
          </w:p>
          <w:p w14:paraId="14F33A43" w14:textId="77777777" w:rsidR="000E29C7" w:rsidRPr="00460E3D" w:rsidRDefault="000E29C7" w:rsidP="001601B6">
            <w:pPr>
              <w:jc w:val="left"/>
              <w:rPr>
                <w:rFonts w:ascii="Times New Roman" w:hAnsi="Times New Roman"/>
                <w:sz w:val="22"/>
              </w:rPr>
            </w:pPr>
          </w:p>
        </w:tc>
        <w:tc>
          <w:tcPr>
            <w:tcW w:w="2293" w:type="dxa"/>
          </w:tcPr>
          <w:p w14:paraId="520ECDF1" w14:textId="77777777" w:rsidR="000E29C7" w:rsidRPr="00460E3D" w:rsidRDefault="000E29C7" w:rsidP="001601B6">
            <w:pPr>
              <w:jc w:val="left"/>
              <w:rPr>
                <w:rFonts w:ascii="Times New Roman" w:hAnsi="Times New Roman"/>
                <w:sz w:val="22"/>
              </w:rPr>
            </w:pPr>
          </w:p>
        </w:tc>
        <w:tc>
          <w:tcPr>
            <w:tcW w:w="1516" w:type="dxa"/>
          </w:tcPr>
          <w:p w14:paraId="1CFF79D5" w14:textId="77777777" w:rsidR="000E29C7" w:rsidRPr="00460E3D" w:rsidRDefault="000E29C7" w:rsidP="001601B6">
            <w:pPr>
              <w:jc w:val="left"/>
              <w:rPr>
                <w:rFonts w:ascii="Times New Roman" w:hAnsi="Times New Roman"/>
                <w:sz w:val="22"/>
              </w:rPr>
            </w:pPr>
          </w:p>
        </w:tc>
        <w:tc>
          <w:tcPr>
            <w:tcW w:w="1744" w:type="dxa"/>
          </w:tcPr>
          <w:p w14:paraId="0FF1ADB5" w14:textId="77777777" w:rsidR="000E29C7" w:rsidRPr="00460E3D" w:rsidRDefault="000E29C7" w:rsidP="001601B6">
            <w:pPr>
              <w:jc w:val="left"/>
              <w:rPr>
                <w:rFonts w:ascii="Times New Roman" w:hAnsi="Times New Roman"/>
                <w:sz w:val="22"/>
              </w:rPr>
            </w:pPr>
          </w:p>
        </w:tc>
        <w:tc>
          <w:tcPr>
            <w:tcW w:w="2977" w:type="dxa"/>
          </w:tcPr>
          <w:p w14:paraId="45A1BD9D" w14:textId="77777777" w:rsidR="000E29C7" w:rsidRPr="00460E3D" w:rsidRDefault="000E29C7" w:rsidP="001601B6">
            <w:pPr>
              <w:jc w:val="left"/>
              <w:rPr>
                <w:rFonts w:ascii="Times New Roman" w:hAnsi="Times New Roman"/>
                <w:sz w:val="22"/>
              </w:rPr>
            </w:pPr>
          </w:p>
        </w:tc>
        <w:tc>
          <w:tcPr>
            <w:tcW w:w="4111" w:type="dxa"/>
          </w:tcPr>
          <w:p w14:paraId="68F4071A" w14:textId="77777777" w:rsidR="000E29C7" w:rsidRPr="00460E3D" w:rsidRDefault="000E29C7" w:rsidP="001601B6">
            <w:pPr>
              <w:jc w:val="left"/>
              <w:rPr>
                <w:rFonts w:ascii="Times New Roman" w:hAnsi="Times New Roman"/>
                <w:sz w:val="22"/>
              </w:rPr>
            </w:pPr>
          </w:p>
        </w:tc>
      </w:tr>
      <w:tr w:rsidR="003D4335" w:rsidRPr="00C0062E" w14:paraId="58FF9976" w14:textId="77777777" w:rsidTr="001601B6">
        <w:tc>
          <w:tcPr>
            <w:tcW w:w="1501" w:type="dxa"/>
          </w:tcPr>
          <w:p w14:paraId="36AD5FCC" w14:textId="77777777" w:rsidR="000E29C7" w:rsidRPr="00460E3D" w:rsidRDefault="000E29C7" w:rsidP="001601B6">
            <w:pPr>
              <w:jc w:val="left"/>
              <w:rPr>
                <w:rFonts w:ascii="Times New Roman" w:hAnsi="Times New Roman"/>
                <w:sz w:val="22"/>
              </w:rPr>
            </w:pPr>
          </w:p>
          <w:p w14:paraId="3440D579" w14:textId="77777777" w:rsidR="000E29C7" w:rsidRPr="00460E3D" w:rsidRDefault="000E29C7" w:rsidP="001601B6">
            <w:pPr>
              <w:jc w:val="left"/>
              <w:rPr>
                <w:rFonts w:ascii="Times New Roman" w:hAnsi="Times New Roman"/>
                <w:sz w:val="22"/>
              </w:rPr>
            </w:pPr>
          </w:p>
        </w:tc>
        <w:tc>
          <w:tcPr>
            <w:tcW w:w="2293" w:type="dxa"/>
          </w:tcPr>
          <w:p w14:paraId="364A5DEC" w14:textId="77777777" w:rsidR="000E29C7" w:rsidRPr="00460E3D" w:rsidRDefault="000E29C7" w:rsidP="001601B6">
            <w:pPr>
              <w:jc w:val="left"/>
              <w:rPr>
                <w:rFonts w:ascii="Times New Roman" w:hAnsi="Times New Roman"/>
                <w:sz w:val="22"/>
              </w:rPr>
            </w:pPr>
          </w:p>
        </w:tc>
        <w:tc>
          <w:tcPr>
            <w:tcW w:w="1516" w:type="dxa"/>
          </w:tcPr>
          <w:p w14:paraId="5E01EDD7" w14:textId="77777777" w:rsidR="000E29C7" w:rsidRPr="00460E3D" w:rsidRDefault="000E29C7" w:rsidP="001601B6">
            <w:pPr>
              <w:jc w:val="left"/>
              <w:rPr>
                <w:rFonts w:ascii="Times New Roman" w:hAnsi="Times New Roman"/>
                <w:sz w:val="22"/>
              </w:rPr>
            </w:pPr>
          </w:p>
        </w:tc>
        <w:tc>
          <w:tcPr>
            <w:tcW w:w="1744" w:type="dxa"/>
          </w:tcPr>
          <w:p w14:paraId="0B0E3969" w14:textId="77777777" w:rsidR="000E29C7" w:rsidRPr="00460E3D" w:rsidRDefault="000E29C7" w:rsidP="001601B6">
            <w:pPr>
              <w:jc w:val="left"/>
              <w:rPr>
                <w:rFonts w:ascii="Times New Roman" w:hAnsi="Times New Roman"/>
                <w:sz w:val="22"/>
              </w:rPr>
            </w:pPr>
          </w:p>
        </w:tc>
        <w:tc>
          <w:tcPr>
            <w:tcW w:w="2977" w:type="dxa"/>
          </w:tcPr>
          <w:p w14:paraId="3BBD1EA0" w14:textId="77777777" w:rsidR="000E29C7" w:rsidRPr="00460E3D" w:rsidRDefault="000E29C7" w:rsidP="001601B6">
            <w:pPr>
              <w:jc w:val="left"/>
              <w:rPr>
                <w:rFonts w:ascii="Times New Roman" w:hAnsi="Times New Roman"/>
                <w:sz w:val="22"/>
              </w:rPr>
            </w:pPr>
          </w:p>
        </w:tc>
        <w:tc>
          <w:tcPr>
            <w:tcW w:w="4111" w:type="dxa"/>
          </w:tcPr>
          <w:p w14:paraId="614CC3C7" w14:textId="77777777" w:rsidR="000E29C7" w:rsidRPr="00460E3D" w:rsidRDefault="000E29C7" w:rsidP="001601B6">
            <w:pPr>
              <w:jc w:val="left"/>
              <w:rPr>
                <w:rFonts w:ascii="Times New Roman" w:hAnsi="Times New Roman"/>
                <w:sz w:val="22"/>
              </w:rPr>
            </w:pPr>
          </w:p>
        </w:tc>
      </w:tr>
      <w:tr w:rsidR="003D4335" w:rsidRPr="00C0062E" w14:paraId="0E594C82" w14:textId="77777777" w:rsidTr="001601B6">
        <w:tc>
          <w:tcPr>
            <w:tcW w:w="1501" w:type="dxa"/>
          </w:tcPr>
          <w:p w14:paraId="60AF1A7C" w14:textId="77777777" w:rsidR="000E29C7" w:rsidRPr="00460E3D" w:rsidRDefault="000E29C7" w:rsidP="001601B6">
            <w:pPr>
              <w:jc w:val="left"/>
              <w:rPr>
                <w:rFonts w:ascii="Times New Roman" w:hAnsi="Times New Roman"/>
                <w:sz w:val="22"/>
              </w:rPr>
            </w:pPr>
          </w:p>
          <w:p w14:paraId="3897DFFD" w14:textId="77777777" w:rsidR="000E29C7" w:rsidRPr="00460E3D" w:rsidRDefault="000E29C7" w:rsidP="001601B6">
            <w:pPr>
              <w:jc w:val="left"/>
              <w:rPr>
                <w:rFonts w:ascii="Times New Roman" w:hAnsi="Times New Roman"/>
                <w:sz w:val="22"/>
              </w:rPr>
            </w:pPr>
          </w:p>
        </w:tc>
        <w:tc>
          <w:tcPr>
            <w:tcW w:w="2293" w:type="dxa"/>
          </w:tcPr>
          <w:p w14:paraId="3578B7B1" w14:textId="77777777" w:rsidR="000E29C7" w:rsidRPr="00460E3D" w:rsidRDefault="000E29C7" w:rsidP="001601B6">
            <w:pPr>
              <w:jc w:val="left"/>
              <w:rPr>
                <w:rFonts w:ascii="Times New Roman" w:hAnsi="Times New Roman"/>
                <w:sz w:val="22"/>
              </w:rPr>
            </w:pPr>
          </w:p>
        </w:tc>
        <w:tc>
          <w:tcPr>
            <w:tcW w:w="1516" w:type="dxa"/>
          </w:tcPr>
          <w:p w14:paraId="732BBF6A" w14:textId="77777777" w:rsidR="000E29C7" w:rsidRPr="00460E3D" w:rsidRDefault="000E29C7" w:rsidP="001601B6">
            <w:pPr>
              <w:jc w:val="left"/>
              <w:rPr>
                <w:rFonts w:ascii="Times New Roman" w:hAnsi="Times New Roman"/>
                <w:sz w:val="22"/>
              </w:rPr>
            </w:pPr>
          </w:p>
        </w:tc>
        <w:tc>
          <w:tcPr>
            <w:tcW w:w="1744" w:type="dxa"/>
          </w:tcPr>
          <w:p w14:paraId="705B3599" w14:textId="77777777" w:rsidR="000E29C7" w:rsidRPr="00460E3D" w:rsidRDefault="000E29C7" w:rsidP="001601B6">
            <w:pPr>
              <w:jc w:val="left"/>
              <w:rPr>
                <w:rFonts w:ascii="Times New Roman" w:hAnsi="Times New Roman"/>
                <w:sz w:val="22"/>
              </w:rPr>
            </w:pPr>
          </w:p>
        </w:tc>
        <w:tc>
          <w:tcPr>
            <w:tcW w:w="2977" w:type="dxa"/>
          </w:tcPr>
          <w:p w14:paraId="76242497" w14:textId="77777777" w:rsidR="000E29C7" w:rsidRPr="00460E3D" w:rsidRDefault="000E29C7" w:rsidP="001601B6">
            <w:pPr>
              <w:jc w:val="left"/>
              <w:rPr>
                <w:rFonts w:ascii="Times New Roman" w:hAnsi="Times New Roman"/>
                <w:sz w:val="22"/>
              </w:rPr>
            </w:pPr>
          </w:p>
        </w:tc>
        <w:tc>
          <w:tcPr>
            <w:tcW w:w="4111" w:type="dxa"/>
          </w:tcPr>
          <w:p w14:paraId="639CB85A" w14:textId="77777777" w:rsidR="000E29C7" w:rsidRPr="00460E3D" w:rsidRDefault="000E29C7" w:rsidP="001601B6">
            <w:pPr>
              <w:jc w:val="left"/>
              <w:rPr>
                <w:rFonts w:ascii="Times New Roman" w:hAnsi="Times New Roman"/>
                <w:sz w:val="22"/>
              </w:rPr>
            </w:pPr>
          </w:p>
        </w:tc>
      </w:tr>
    </w:tbl>
    <w:p w14:paraId="12D8DBB7" w14:textId="77777777" w:rsidR="000E29C7" w:rsidRDefault="000E29C7">
      <w:pPr>
        <w:jc w:val="left"/>
        <w:rPr>
          <w:rFonts w:eastAsia="Calibri"/>
          <w:b/>
          <w:szCs w:val="24"/>
          <w:lang w:eastAsia="en-US"/>
        </w:rPr>
        <w:sectPr w:rsidR="000E29C7" w:rsidSect="00D63D99">
          <w:pgSz w:w="16838" w:h="11906" w:orient="landscape"/>
          <w:pgMar w:top="1418" w:right="1418" w:bottom="1418" w:left="1418" w:header="709" w:footer="709" w:gutter="0"/>
          <w:cols w:space="708"/>
          <w:docGrid w:linePitch="360"/>
        </w:sectPr>
      </w:pPr>
      <w:r>
        <w:rPr>
          <w:rFonts w:eastAsia="Calibri"/>
          <w:b/>
          <w:szCs w:val="24"/>
          <w:lang w:eastAsia="en-US"/>
        </w:rPr>
        <w:br w:type="page"/>
      </w:r>
    </w:p>
    <w:p w14:paraId="2471AFB5" w14:textId="77777777" w:rsidR="000E29C7" w:rsidRPr="00460E3D" w:rsidRDefault="000E29C7" w:rsidP="00DD34F3">
      <w:pPr>
        <w:pStyle w:val="Paragraphedeliste"/>
        <w:numPr>
          <w:ilvl w:val="0"/>
          <w:numId w:val="143"/>
        </w:numPr>
        <w:spacing w:after="200" w:line="276" w:lineRule="auto"/>
        <w:jc w:val="left"/>
        <w:rPr>
          <w:rFonts w:eastAsia="Calibri"/>
          <w:b/>
          <w:szCs w:val="22"/>
          <w:lang w:eastAsia="en-US"/>
        </w:rPr>
      </w:pPr>
      <w:r w:rsidRPr="00460E3D">
        <w:rPr>
          <w:rFonts w:eastAsia="Calibri"/>
          <w:b/>
          <w:szCs w:val="22"/>
          <w:lang w:eastAsia="en-US"/>
        </w:rPr>
        <w:t xml:space="preserve">Projets envisagés de l’offre de </w:t>
      </w:r>
      <w:r>
        <w:rPr>
          <w:rFonts w:eastAsia="Calibri"/>
          <w:b/>
          <w:szCs w:val="22"/>
          <w:lang w:eastAsia="en-US"/>
        </w:rPr>
        <w:t>service</w:t>
      </w:r>
    </w:p>
    <w:p w14:paraId="386E7D62" w14:textId="77777777" w:rsidR="000E29C7" w:rsidRPr="00460E3D" w:rsidRDefault="000E29C7" w:rsidP="000E29C7">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0E29C7" w:rsidRPr="00C0062E" w14:paraId="50CEE02B" w14:textId="77777777" w:rsidTr="001601B6">
        <w:tc>
          <w:tcPr>
            <w:tcW w:w="9212" w:type="dxa"/>
          </w:tcPr>
          <w:p w14:paraId="01CCEF26" w14:textId="77777777" w:rsidR="000E29C7" w:rsidRPr="00460E3D" w:rsidRDefault="000E29C7" w:rsidP="001601B6">
            <w:pPr>
              <w:jc w:val="left"/>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14:paraId="2DFF306A" w14:textId="77777777" w:rsidR="000E29C7" w:rsidRPr="00460E3D" w:rsidRDefault="000E29C7" w:rsidP="001601B6">
            <w:pPr>
              <w:jc w:val="left"/>
              <w:rPr>
                <w:rFonts w:ascii="Times New Roman" w:hAnsi="Times New Roman"/>
                <w:sz w:val="22"/>
              </w:rPr>
            </w:pPr>
          </w:p>
          <w:p w14:paraId="31F12169" w14:textId="77777777" w:rsidR="000E29C7" w:rsidRPr="00460E3D" w:rsidRDefault="000E29C7" w:rsidP="001601B6">
            <w:pPr>
              <w:jc w:val="left"/>
              <w:rPr>
                <w:rFonts w:ascii="Times New Roman" w:hAnsi="Times New Roman"/>
                <w:sz w:val="22"/>
              </w:rPr>
            </w:pPr>
          </w:p>
          <w:p w14:paraId="0A9B8DE4" w14:textId="77777777" w:rsidR="000E29C7" w:rsidRPr="00460E3D" w:rsidRDefault="000E29C7" w:rsidP="001601B6">
            <w:pPr>
              <w:jc w:val="left"/>
              <w:rPr>
                <w:rFonts w:ascii="Times New Roman" w:hAnsi="Times New Roman"/>
                <w:sz w:val="22"/>
              </w:rPr>
            </w:pPr>
          </w:p>
          <w:p w14:paraId="0C9F2804" w14:textId="77777777" w:rsidR="000E29C7" w:rsidRPr="00460E3D" w:rsidRDefault="000E29C7" w:rsidP="001601B6">
            <w:pPr>
              <w:jc w:val="left"/>
              <w:rPr>
                <w:rFonts w:ascii="Times New Roman" w:hAnsi="Times New Roman"/>
                <w:sz w:val="22"/>
              </w:rPr>
            </w:pPr>
          </w:p>
        </w:tc>
      </w:tr>
    </w:tbl>
    <w:p w14:paraId="2B7AACBC" w14:textId="77777777" w:rsidR="000E29C7" w:rsidRPr="00460E3D" w:rsidRDefault="000E29C7" w:rsidP="000E29C7">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0E29C7" w:rsidRPr="00C0062E" w14:paraId="177252AB" w14:textId="77777777" w:rsidTr="001601B6">
        <w:tc>
          <w:tcPr>
            <w:tcW w:w="9212" w:type="dxa"/>
            <w:shd w:val="clear" w:color="auto" w:fill="8DB3E2" w:themeFill="text2" w:themeFillTint="66"/>
          </w:tcPr>
          <w:p w14:paraId="1C417D58" w14:textId="77777777"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.2. Organisation opérationnelle </w:t>
            </w:r>
            <w:r w:rsidR="001C5B1C" w:rsidRPr="00C0062E">
              <w:rPr>
                <w:b/>
                <w:sz w:val="22"/>
              </w:rPr>
              <w:t>d</w:t>
            </w:r>
            <w:r w:rsidR="001C5B1C">
              <w:rPr>
                <w:b/>
                <w:sz w:val="22"/>
              </w:rPr>
              <w:t>e l’offre</w:t>
            </w:r>
          </w:p>
        </w:tc>
      </w:tr>
    </w:tbl>
    <w:p w14:paraId="17DA185B" w14:textId="77777777" w:rsidR="000E29C7" w:rsidRPr="00460E3D" w:rsidRDefault="000E29C7" w:rsidP="000E29C7">
      <w:pPr>
        <w:jc w:val="left"/>
        <w:rPr>
          <w:rFonts w:eastAsia="Calibri"/>
          <w:szCs w:val="24"/>
          <w:lang w:eastAsia="en-US"/>
        </w:rPr>
      </w:pPr>
    </w:p>
    <w:p w14:paraId="24E5114F" w14:textId="77777777" w:rsidR="000E29C7" w:rsidRDefault="000E29C7" w:rsidP="000E29C7">
      <w:pPr>
        <w:rPr>
          <w:rFonts w:eastAsia="Calibri"/>
          <w:i/>
          <w:sz w:val="22"/>
          <w:szCs w:val="22"/>
          <w:lang w:eastAsia="en-US"/>
        </w:rPr>
      </w:pPr>
      <w:r w:rsidRPr="00460E3D">
        <w:rPr>
          <w:rFonts w:eastAsia="Calibri"/>
          <w:i/>
          <w:sz w:val="22"/>
          <w:szCs w:val="22"/>
          <w:lang w:eastAsia="en-US"/>
        </w:rPr>
        <w:t>Présenter de manière synthétique le processus d</w:t>
      </w:r>
      <w:r w:rsidR="0022034D">
        <w:rPr>
          <w:rFonts w:eastAsia="Calibri"/>
          <w:i/>
          <w:sz w:val="22"/>
          <w:szCs w:val="22"/>
          <w:lang w:eastAsia="en-US"/>
        </w:rPr>
        <w:t xml:space="preserve">’exécution </w:t>
      </w:r>
      <w:r>
        <w:rPr>
          <w:rFonts w:eastAsia="Calibri"/>
          <w:i/>
          <w:sz w:val="22"/>
          <w:szCs w:val="22"/>
          <w:lang w:eastAsia="en-US"/>
        </w:rPr>
        <w:t>du service d’information sur les comptes</w:t>
      </w:r>
      <w:r w:rsidR="004725B5">
        <w:rPr>
          <w:rFonts w:eastAsia="Calibri"/>
          <w:i/>
          <w:sz w:val="22"/>
          <w:szCs w:val="22"/>
          <w:lang w:eastAsia="en-US"/>
        </w:rPr>
        <w:t xml:space="preserve"> et/ou d’initiation de paiement</w:t>
      </w:r>
      <w:r>
        <w:rPr>
          <w:rFonts w:eastAsia="Calibri"/>
          <w:i/>
          <w:sz w:val="22"/>
          <w:szCs w:val="22"/>
          <w:lang w:eastAsia="en-US"/>
        </w:rPr>
        <w:t xml:space="preserve"> </w:t>
      </w:r>
      <w:r w:rsidRPr="00460E3D">
        <w:rPr>
          <w:rFonts w:eastAsia="Calibri"/>
          <w:i/>
          <w:sz w:val="22"/>
          <w:szCs w:val="22"/>
          <w:lang w:eastAsia="en-US"/>
        </w:rPr>
        <w:t xml:space="preserve">en précisant en particulier </w:t>
      </w:r>
      <w:r w:rsidR="0022034D">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02D5CAA9" w14:textId="77777777" w:rsidR="000E29C7" w:rsidRPr="00460E3D" w:rsidRDefault="000E29C7" w:rsidP="000E29C7">
      <w:pPr>
        <w:rPr>
          <w:rFonts w:eastAsia="Calibri"/>
          <w:i/>
          <w:sz w:val="22"/>
          <w:szCs w:val="22"/>
          <w:lang w:eastAsia="en-US"/>
        </w:rPr>
      </w:pPr>
    </w:p>
    <w:p w14:paraId="5ECC6965" w14:textId="77777777" w:rsidR="000E29C7" w:rsidRPr="00460E3D" w:rsidRDefault="000E29C7" w:rsidP="000E29C7">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0E29C7" w:rsidRPr="00C0062E" w14:paraId="606F29AC" w14:textId="77777777" w:rsidTr="001601B6">
        <w:tc>
          <w:tcPr>
            <w:tcW w:w="3369" w:type="dxa"/>
            <w:tcBorders>
              <w:bottom w:val="single" w:sz="4" w:space="0" w:color="auto"/>
            </w:tcBorders>
            <w:shd w:val="clear" w:color="auto" w:fill="D6E3BC" w:themeFill="accent3" w:themeFillTint="66"/>
          </w:tcPr>
          <w:p w14:paraId="62F423C7" w14:textId="77777777" w:rsidR="000E29C7" w:rsidRPr="00460E3D" w:rsidRDefault="000E29C7" w:rsidP="001601B6">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4B0D8333" w14:textId="77777777" w:rsidR="000E29C7" w:rsidRPr="00460E3D" w:rsidRDefault="000E29C7" w:rsidP="001601B6">
            <w:pPr>
              <w:jc w:val="center"/>
              <w:rPr>
                <w:rFonts w:ascii="Times New Roman" w:hAnsi="Times New Roman"/>
                <w:b/>
                <w:sz w:val="22"/>
              </w:rPr>
            </w:pPr>
            <w:r w:rsidRPr="00C0062E">
              <w:rPr>
                <w:b/>
                <w:sz w:val="22"/>
              </w:rPr>
              <w:t>Rôles</w:t>
            </w:r>
          </w:p>
        </w:tc>
      </w:tr>
      <w:tr w:rsidR="000E29C7" w:rsidRPr="00C0062E" w14:paraId="034CFD64" w14:textId="77777777" w:rsidTr="001601B6">
        <w:tc>
          <w:tcPr>
            <w:tcW w:w="3369" w:type="dxa"/>
          </w:tcPr>
          <w:p w14:paraId="239E85C6" w14:textId="77777777" w:rsidR="000E29C7" w:rsidRPr="00460E3D" w:rsidRDefault="000E29C7" w:rsidP="001601B6">
            <w:pPr>
              <w:jc w:val="left"/>
              <w:rPr>
                <w:rFonts w:ascii="Times New Roman" w:hAnsi="Times New Roman"/>
                <w:sz w:val="22"/>
              </w:rPr>
            </w:pPr>
          </w:p>
        </w:tc>
        <w:tc>
          <w:tcPr>
            <w:tcW w:w="5811" w:type="dxa"/>
          </w:tcPr>
          <w:p w14:paraId="137ED20D" w14:textId="77777777" w:rsidR="000E29C7" w:rsidRPr="00460E3D" w:rsidRDefault="000E29C7" w:rsidP="001601B6">
            <w:pPr>
              <w:jc w:val="left"/>
              <w:rPr>
                <w:rFonts w:ascii="Times New Roman" w:hAnsi="Times New Roman"/>
                <w:sz w:val="22"/>
              </w:rPr>
            </w:pPr>
          </w:p>
        </w:tc>
      </w:tr>
      <w:tr w:rsidR="000E29C7" w:rsidRPr="00C0062E" w14:paraId="24D5FF4A" w14:textId="77777777" w:rsidTr="001601B6">
        <w:tc>
          <w:tcPr>
            <w:tcW w:w="3369" w:type="dxa"/>
          </w:tcPr>
          <w:p w14:paraId="3BA18F70" w14:textId="77777777" w:rsidR="000E29C7" w:rsidRPr="00460E3D" w:rsidRDefault="000E29C7" w:rsidP="001601B6">
            <w:pPr>
              <w:jc w:val="left"/>
              <w:rPr>
                <w:rFonts w:ascii="Times New Roman" w:hAnsi="Times New Roman"/>
                <w:sz w:val="22"/>
              </w:rPr>
            </w:pPr>
          </w:p>
        </w:tc>
        <w:tc>
          <w:tcPr>
            <w:tcW w:w="5811" w:type="dxa"/>
          </w:tcPr>
          <w:p w14:paraId="400898AD" w14:textId="77777777" w:rsidR="000E29C7" w:rsidRPr="00460E3D" w:rsidRDefault="000E29C7" w:rsidP="001601B6">
            <w:pPr>
              <w:jc w:val="left"/>
              <w:rPr>
                <w:rFonts w:ascii="Times New Roman" w:hAnsi="Times New Roman"/>
                <w:sz w:val="22"/>
              </w:rPr>
            </w:pPr>
          </w:p>
        </w:tc>
      </w:tr>
      <w:tr w:rsidR="000E29C7" w:rsidRPr="00C0062E" w14:paraId="02C736AA" w14:textId="77777777" w:rsidTr="001601B6">
        <w:tc>
          <w:tcPr>
            <w:tcW w:w="3369" w:type="dxa"/>
            <w:tcBorders>
              <w:bottom w:val="single" w:sz="4" w:space="0" w:color="auto"/>
            </w:tcBorders>
          </w:tcPr>
          <w:p w14:paraId="40AF7693" w14:textId="77777777" w:rsidR="000E29C7" w:rsidRPr="00460E3D" w:rsidRDefault="000E29C7" w:rsidP="001601B6">
            <w:pPr>
              <w:jc w:val="left"/>
              <w:rPr>
                <w:rFonts w:ascii="Times New Roman" w:hAnsi="Times New Roman"/>
                <w:sz w:val="22"/>
              </w:rPr>
            </w:pPr>
          </w:p>
        </w:tc>
        <w:tc>
          <w:tcPr>
            <w:tcW w:w="5811" w:type="dxa"/>
            <w:tcBorders>
              <w:bottom w:val="single" w:sz="4" w:space="0" w:color="auto"/>
            </w:tcBorders>
          </w:tcPr>
          <w:p w14:paraId="2664C430" w14:textId="77777777" w:rsidR="000E29C7" w:rsidRPr="00460E3D" w:rsidRDefault="000E29C7" w:rsidP="001601B6">
            <w:pPr>
              <w:jc w:val="left"/>
              <w:rPr>
                <w:rFonts w:ascii="Times New Roman" w:hAnsi="Times New Roman"/>
                <w:sz w:val="22"/>
              </w:rPr>
            </w:pPr>
          </w:p>
        </w:tc>
      </w:tr>
      <w:tr w:rsidR="000E29C7" w:rsidRPr="00C0062E" w14:paraId="0DBDFFAD" w14:textId="77777777" w:rsidTr="001601B6">
        <w:tc>
          <w:tcPr>
            <w:tcW w:w="3369" w:type="dxa"/>
          </w:tcPr>
          <w:p w14:paraId="2F88C757" w14:textId="77777777" w:rsidR="000E29C7" w:rsidRPr="00460E3D" w:rsidRDefault="000E29C7" w:rsidP="001601B6">
            <w:pPr>
              <w:jc w:val="left"/>
              <w:rPr>
                <w:rFonts w:ascii="Times New Roman" w:hAnsi="Times New Roman"/>
                <w:sz w:val="22"/>
              </w:rPr>
            </w:pPr>
          </w:p>
        </w:tc>
        <w:tc>
          <w:tcPr>
            <w:tcW w:w="5811" w:type="dxa"/>
          </w:tcPr>
          <w:p w14:paraId="2D541533" w14:textId="77777777" w:rsidR="000E29C7" w:rsidRPr="00460E3D" w:rsidRDefault="000E29C7" w:rsidP="001601B6">
            <w:pPr>
              <w:jc w:val="left"/>
              <w:rPr>
                <w:rFonts w:ascii="Times New Roman" w:hAnsi="Times New Roman"/>
                <w:sz w:val="22"/>
              </w:rPr>
            </w:pPr>
          </w:p>
        </w:tc>
      </w:tr>
      <w:tr w:rsidR="000E29C7" w:rsidRPr="00C0062E" w14:paraId="72C6C2AA" w14:textId="77777777" w:rsidTr="001601B6">
        <w:tc>
          <w:tcPr>
            <w:tcW w:w="3369" w:type="dxa"/>
          </w:tcPr>
          <w:p w14:paraId="4D064186" w14:textId="77777777" w:rsidR="000E29C7" w:rsidRPr="00460E3D" w:rsidRDefault="000E29C7" w:rsidP="001601B6">
            <w:pPr>
              <w:jc w:val="left"/>
              <w:rPr>
                <w:rFonts w:ascii="Times New Roman" w:hAnsi="Times New Roman"/>
                <w:sz w:val="22"/>
              </w:rPr>
            </w:pPr>
          </w:p>
        </w:tc>
        <w:tc>
          <w:tcPr>
            <w:tcW w:w="5811" w:type="dxa"/>
          </w:tcPr>
          <w:p w14:paraId="040C9BEF" w14:textId="77777777" w:rsidR="000E29C7" w:rsidRPr="00460E3D" w:rsidRDefault="000E29C7" w:rsidP="001601B6">
            <w:pPr>
              <w:jc w:val="left"/>
              <w:rPr>
                <w:rFonts w:ascii="Times New Roman" w:hAnsi="Times New Roman"/>
                <w:sz w:val="22"/>
              </w:rPr>
            </w:pPr>
          </w:p>
        </w:tc>
      </w:tr>
      <w:tr w:rsidR="000E29C7" w:rsidRPr="00C0062E" w14:paraId="516CF717" w14:textId="77777777" w:rsidTr="001601B6">
        <w:tc>
          <w:tcPr>
            <w:tcW w:w="3369" w:type="dxa"/>
          </w:tcPr>
          <w:p w14:paraId="4E26DF5B" w14:textId="77777777" w:rsidR="000E29C7" w:rsidRPr="00460E3D" w:rsidRDefault="000E29C7" w:rsidP="001601B6">
            <w:pPr>
              <w:jc w:val="left"/>
              <w:rPr>
                <w:rFonts w:ascii="Times New Roman" w:hAnsi="Times New Roman"/>
                <w:sz w:val="22"/>
              </w:rPr>
            </w:pPr>
          </w:p>
        </w:tc>
        <w:tc>
          <w:tcPr>
            <w:tcW w:w="5811" w:type="dxa"/>
          </w:tcPr>
          <w:p w14:paraId="4453799B" w14:textId="77777777" w:rsidR="000E29C7" w:rsidRPr="00460E3D" w:rsidRDefault="000E29C7" w:rsidP="001601B6">
            <w:pPr>
              <w:jc w:val="left"/>
              <w:rPr>
                <w:rFonts w:ascii="Times New Roman" w:hAnsi="Times New Roman"/>
                <w:sz w:val="22"/>
              </w:rPr>
            </w:pPr>
          </w:p>
        </w:tc>
      </w:tr>
    </w:tbl>
    <w:p w14:paraId="5C5007A5" w14:textId="77777777" w:rsidR="000E29C7" w:rsidRPr="00460E3D" w:rsidRDefault="000E29C7" w:rsidP="000E29C7">
      <w:pPr>
        <w:jc w:val="left"/>
        <w:rPr>
          <w:rFonts w:eastAsia="Calibri"/>
          <w:sz w:val="22"/>
          <w:szCs w:val="22"/>
          <w:lang w:eastAsia="en-US"/>
        </w:rPr>
      </w:pPr>
    </w:p>
    <w:p w14:paraId="05421A10" w14:textId="77777777" w:rsidR="000E29C7" w:rsidRPr="00460E3D" w:rsidRDefault="000E29C7" w:rsidP="000E29C7">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0E29C7" w:rsidRPr="00C0062E" w14:paraId="2300DDA9" w14:textId="77777777" w:rsidTr="001601B6">
        <w:tc>
          <w:tcPr>
            <w:tcW w:w="9212" w:type="dxa"/>
          </w:tcPr>
          <w:p w14:paraId="53EE987A" w14:textId="77777777" w:rsidR="000E29C7" w:rsidRPr="00460E3D" w:rsidRDefault="000E29C7" w:rsidP="001601B6">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35C50CC" w14:textId="77777777" w:rsidR="000E29C7" w:rsidRPr="00460E3D" w:rsidRDefault="000E29C7" w:rsidP="001601B6">
            <w:pPr>
              <w:rPr>
                <w:rFonts w:ascii="Times New Roman" w:hAnsi="Times New Roman"/>
                <w:i/>
                <w:sz w:val="22"/>
              </w:rPr>
            </w:pPr>
          </w:p>
          <w:p w14:paraId="079458BC" w14:textId="77777777" w:rsidR="000E29C7" w:rsidRPr="00460E3D" w:rsidRDefault="000E29C7" w:rsidP="001601B6">
            <w:pPr>
              <w:rPr>
                <w:rFonts w:ascii="Times New Roman" w:hAnsi="Times New Roman"/>
                <w:i/>
                <w:sz w:val="22"/>
              </w:rPr>
            </w:pPr>
          </w:p>
          <w:p w14:paraId="611CE7BB" w14:textId="77777777" w:rsidR="000E29C7" w:rsidRPr="00460E3D" w:rsidRDefault="000E29C7" w:rsidP="001601B6">
            <w:pPr>
              <w:rPr>
                <w:rFonts w:ascii="Times New Roman" w:hAnsi="Times New Roman"/>
                <w:i/>
                <w:sz w:val="22"/>
              </w:rPr>
            </w:pPr>
          </w:p>
          <w:p w14:paraId="2CF2DD0E" w14:textId="77777777" w:rsidR="000E29C7" w:rsidRPr="00460E3D" w:rsidRDefault="000E29C7" w:rsidP="001601B6">
            <w:pPr>
              <w:rPr>
                <w:rFonts w:ascii="Times New Roman" w:hAnsi="Times New Roman"/>
                <w:sz w:val="22"/>
              </w:rPr>
            </w:pPr>
          </w:p>
          <w:p w14:paraId="7C17400B" w14:textId="77777777" w:rsidR="000E29C7" w:rsidRPr="00460E3D" w:rsidRDefault="000E29C7" w:rsidP="001601B6">
            <w:pPr>
              <w:rPr>
                <w:rFonts w:ascii="Times New Roman" w:hAnsi="Times New Roman"/>
                <w:sz w:val="22"/>
              </w:rPr>
            </w:pPr>
          </w:p>
        </w:tc>
      </w:tr>
    </w:tbl>
    <w:p w14:paraId="73445304" w14:textId="77777777" w:rsidR="000E29C7" w:rsidRPr="00460E3D" w:rsidRDefault="000E29C7" w:rsidP="000E29C7">
      <w:pPr>
        <w:jc w:val="left"/>
        <w:rPr>
          <w:rFonts w:eastAsia="Calibri"/>
          <w:szCs w:val="24"/>
          <w:lang w:eastAsia="en-US"/>
        </w:rPr>
      </w:pPr>
    </w:p>
    <w:p w14:paraId="1F31AA41" w14:textId="77777777" w:rsidR="000E29C7" w:rsidRPr="00460E3D" w:rsidRDefault="000E29C7" w:rsidP="000E29C7">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0E29C7" w:rsidRPr="00C0062E" w14:paraId="483B2B79" w14:textId="77777777" w:rsidTr="001601B6">
        <w:tc>
          <w:tcPr>
            <w:tcW w:w="9212" w:type="dxa"/>
            <w:shd w:val="clear" w:color="auto" w:fill="8DB3E2" w:themeFill="text2" w:themeFillTint="66"/>
          </w:tcPr>
          <w:p w14:paraId="4F5D455F" w14:textId="77777777" w:rsidR="000E29C7" w:rsidRPr="00460E3D" w:rsidRDefault="00771441" w:rsidP="006614FF">
            <w:pPr>
              <w:ind w:left="360"/>
              <w:jc w:val="left"/>
              <w:rPr>
                <w:rFonts w:ascii="Times New Roman" w:hAnsi="Times New Roman"/>
                <w:b/>
                <w:sz w:val="22"/>
              </w:rPr>
            </w:pPr>
            <w:r>
              <w:rPr>
                <w:b/>
                <w:sz w:val="22"/>
              </w:rPr>
              <w:t>7</w:t>
            </w:r>
            <w:r w:rsidR="000E29C7" w:rsidRPr="00C0062E">
              <w:rPr>
                <w:b/>
                <w:sz w:val="22"/>
              </w:rPr>
              <w:t xml:space="preserve">.3. </w:t>
            </w:r>
            <w:r w:rsidR="000E29C7">
              <w:rPr>
                <w:b/>
                <w:sz w:val="22"/>
              </w:rPr>
              <w:t xml:space="preserve">Présentation des mesures de protection des données </w:t>
            </w:r>
            <w:r w:rsidR="00D47F13">
              <w:rPr>
                <w:b/>
                <w:sz w:val="22"/>
              </w:rPr>
              <w:t>de paiement sensibles</w:t>
            </w:r>
            <w:r w:rsidR="000E29C7" w:rsidRPr="00C0062E">
              <w:rPr>
                <w:b/>
                <w:sz w:val="22"/>
              </w:rPr>
              <w:t xml:space="preserve"> </w:t>
            </w:r>
          </w:p>
        </w:tc>
      </w:tr>
    </w:tbl>
    <w:p w14:paraId="20FF9242" w14:textId="77777777" w:rsidR="000E29C7" w:rsidRPr="00460E3D" w:rsidRDefault="000E29C7" w:rsidP="000E29C7">
      <w:pPr>
        <w:jc w:val="left"/>
        <w:rPr>
          <w:rFonts w:eastAsia="Calibri"/>
          <w:szCs w:val="24"/>
          <w:lang w:eastAsia="en-US"/>
        </w:rPr>
      </w:pPr>
    </w:p>
    <w:tbl>
      <w:tblPr>
        <w:tblStyle w:val="Grilledutableau"/>
        <w:tblW w:w="0" w:type="auto"/>
        <w:tblLook w:val="04A0" w:firstRow="1" w:lastRow="0" w:firstColumn="1" w:lastColumn="0" w:noHBand="0" w:noVBand="1"/>
      </w:tblPr>
      <w:tblGrid>
        <w:gridCol w:w="9060"/>
      </w:tblGrid>
      <w:tr w:rsidR="000E29C7" w14:paraId="04F4E9C6" w14:textId="77777777" w:rsidTr="000E29C7">
        <w:tc>
          <w:tcPr>
            <w:tcW w:w="9210" w:type="dxa"/>
          </w:tcPr>
          <w:p w14:paraId="079AA487" w14:textId="77777777" w:rsidR="000E29C7" w:rsidRPr="00D63D99" w:rsidRDefault="0022034D" w:rsidP="005A28EA">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14:paraId="52A68B82" w14:textId="77777777" w:rsidR="000E29C7" w:rsidRDefault="000E29C7" w:rsidP="005A28EA">
            <w:pPr>
              <w:jc w:val="left"/>
              <w:rPr>
                <w:rFonts w:eastAsia="Calibri"/>
                <w:b/>
                <w:szCs w:val="24"/>
                <w:lang w:eastAsia="en-US"/>
              </w:rPr>
            </w:pPr>
          </w:p>
          <w:p w14:paraId="5A42EA78" w14:textId="77777777" w:rsidR="000E29C7" w:rsidRDefault="000E29C7" w:rsidP="005A28EA">
            <w:pPr>
              <w:jc w:val="left"/>
              <w:rPr>
                <w:rFonts w:eastAsia="Calibri"/>
                <w:b/>
                <w:szCs w:val="24"/>
                <w:lang w:eastAsia="en-US"/>
              </w:rPr>
            </w:pPr>
          </w:p>
          <w:p w14:paraId="5429DB2E" w14:textId="77777777" w:rsidR="000E29C7" w:rsidRDefault="000E29C7" w:rsidP="005A28EA">
            <w:pPr>
              <w:jc w:val="left"/>
              <w:rPr>
                <w:rFonts w:eastAsia="Calibri"/>
                <w:b/>
                <w:szCs w:val="24"/>
                <w:lang w:eastAsia="en-US"/>
              </w:rPr>
            </w:pPr>
          </w:p>
          <w:p w14:paraId="64CA4887" w14:textId="77777777" w:rsidR="000E29C7" w:rsidRDefault="000E29C7" w:rsidP="005A28EA">
            <w:pPr>
              <w:jc w:val="left"/>
              <w:rPr>
                <w:rFonts w:eastAsia="Calibri"/>
                <w:b/>
                <w:szCs w:val="24"/>
                <w:lang w:eastAsia="en-US"/>
              </w:rPr>
            </w:pPr>
          </w:p>
          <w:p w14:paraId="3F4D548F" w14:textId="77777777" w:rsidR="000E29C7" w:rsidRDefault="000E29C7" w:rsidP="005A28EA">
            <w:pPr>
              <w:jc w:val="left"/>
              <w:rPr>
                <w:rFonts w:eastAsia="Calibri"/>
                <w:b/>
                <w:szCs w:val="24"/>
                <w:lang w:eastAsia="en-US"/>
              </w:rPr>
            </w:pPr>
          </w:p>
          <w:p w14:paraId="14B1D2E9" w14:textId="77777777" w:rsidR="000E29C7" w:rsidRDefault="000E29C7" w:rsidP="005A28EA">
            <w:pPr>
              <w:jc w:val="left"/>
              <w:rPr>
                <w:rFonts w:eastAsia="Calibri"/>
                <w:b/>
                <w:szCs w:val="24"/>
                <w:lang w:eastAsia="en-US"/>
              </w:rPr>
            </w:pPr>
          </w:p>
        </w:tc>
      </w:tr>
    </w:tbl>
    <w:p w14:paraId="42B8FC17" w14:textId="77777777" w:rsidR="005A28EA" w:rsidRDefault="005A28EA" w:rsidP="005A28EA">
      <w:pPr>
        <w:jc w:val="left"/>
        <w:rPr>
          <w:rFonts w:eastAsia="Calibri"/>
          <w:b/>
          <w:szCs w:val="24"/>
          <w:lang w:eastAsia="en-US"/>
        </w:rPr>
      </w:pPr>
    </w:p>
    <w:p w14:paraId="4DABC9CF" w14:textId="77777777" w:rsidR="000E29C7" w:rsidRDefault="000E29C7" w:rsidP="005A28EA">
      <w:pPr>
        <w:jc w:val="left"/>
        <w:rPr>
          <w:rFonts w:eastAsia="Calibri"/>
          <w:b/>
          <w:szCs w:val="24"/>
          <w:lang w:eastAsia="en-US"/>
        </w:rPr>
      </w:pPr>
    </w:p>
    <w:p w14:paraId="5269E0AA" w14:textId="77777777" w:rsidR="000E29C7" w:rsidRDefault="000E29C7" w:rsidP="005A28EA">
      <w:pPr>
        <w:jc w:val="left"/>
        <w:rPr>
          <w:rFonts w:eastAsia="Calibri"/>
          <w:b/>
          <w:szCs w:val="24"/>
          <w:lang w:eastAsia="en-US"/>
        </w:rPr>
      </w:pPr>
    </w:p>
    <w:p w14:paraId="42DCCB20" w14:textId="77777777" w:rsidR="000E29C7" w:rsidRDefault="000E29C7" w:rsidP="005A28EA">
      <w:pPr>
        <w:jc w:val="left"/>
        <w:rPr>
          <w:rFonts w:eastAsia="Calibri"/>
          <w:b/>
          <w:szCs w:val="24"/>
          <w:lang w:eastAsia="en-US"/>
        </w:rPr>
      </w:pPr>
    </w:p>
    <w:p w14:paraId="2B695DA6" w14:textId="77777777" w:rsidR="000E29C7" w:rsidRDefault="000E29C7" w:rsidP="005A28EA">
      <w:pPr>
        <w:jc w:val="left"/>
        <w:rPr>
          <w:rFonts w:eastAsia="Calibri"/>
          <w:b/>
          <w:szCs w:val="24"/>
          <w:lang w:eastAsia="en-US"/>
        </w:rPr>
      </w:pPr>
    </w:p>
    <w:p w14:paraId="043A66AD" w14:textId="77777777" w:rsidR="000E29C7" w:rsidRPr="00460E3D" w:rsidRDefault="000E29C7" w:rsidP="005A28EA">
      <w:pPr>
        <w:jc w:val="left"/>
        <w:rPr>
          <w:rFonts w:eastAsia="Calibri"/>
          <w:b/>
          <w:szCs w:val="24"/>
          <w:lang w:eastAsia="en-US"/>
        </w:rPr>
        <w:sectPr w:rsidR="000E29C7" w:rsidRPr="00460E3D" w:rsidSect="005A28EA">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14:paraId="3BADA779" w14:textId="77777777" w:rsidTr="005A28EA">
        <w:tc>
          <w:tcPr>
            <w:tcW w:w="14567" w:type="dxa"/>
            <w:shd w:val="clear" w:color="auto" w:fill="FFFFFF" w:themeFill="background1"/>
          </w:tcPr>
          <w:p w14:paraId="4F81A542" w14:textId="34BB7627" w:rsidR="005A28EA" w:rsidRPr="00460E3D" w:rsidRDefault="005A28EA" w:rsidP="005A28EA">
            <w:pPr>
              <w:jc w:val="left"/>
              <w:rPr>
                <w:rFonts w:ascii="Times New Roman" w:hAnsi="Times New Roman"/>
                <w:b/>
                <w:smallCaps/>
                <w:color w:val="1F497D"/>
                <w:sz w:val="28"/>
              </w:rPr>
            </w:pPr>
            <w:r w:rsidRPr="00460E3D">
              <w:rPr>
                <w:b/>
                <w:smallCaps/>
                <w:color w:val="1F497D"/>
                <w:sz w:val="28"/>
              </w:rPr>
              <w:t>II - Présentation des résultats du contrôle périodique sur le périmètre des moyens de paiement scripturaux</w:t>
            </w:r>
            <w:r w:rsidR="001505E4">
              <w:rPr>
                <w:b/>
                <w:smallCaps/>
                <w:color w:val="1F497D"/>
                <w:sz w:val="28"/>
              </w:rPr>
              <w:t xml:space="preserve"> et de l’accès aux comptes</w:t>
            </w:r>
          </w:p>
        </w:tc>
      </w:tr>
    </w:tbl>
    <w:p w14:paraId="0FFEA646" w14:textId="77777777" w:rsidR="005A28EA" w:rsidRPr="00460E3D" w:rsidRDefault="005A28EA" w:rsidP="005A28EA">
      <w:pPr>
        <w:jc w:val="left"/>
        <w:rPr>
          <w:rFonts w:eastAsia="Calibri"/>
          <w:i/>
          <w:sz w:val="22"/>
          <w:szCs w:val="22"/>
          <w:lang w:eastAsia="en-US"/>
        </w:rPr>
      </w:pPr>
    </w:p>
    <w:p w14:paraId="373D92B0" w14:textId="77777777" w:rsidR="005A28EA" w:rsidRPr="00460E3D" w:rsidRDefault="005A28EA" w:rsidP="005A28EA">
      <w:pPr>
        <w:spacing w:after="200" w:line="276" w:lineRule="auto"/>
        <w:jc w:val="left"/>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C30A7D">
        <w:rPr>
          <w:rFonts w:eastAsia="Calibri"/>
          <w:i/>
          <w:sz w:val="22"/>
          <w:szCs w:val="22"/>
          <w:lang w:eastAsia="en-US"/>
        </w:rPr>
        <w:t xml:space="preserve"> (y compris les missions inter inspections générales conduites auprès des prestataires de service essentielles externalisées</w:t>
      </w:r>
      <w:r w:rsidR="001C5B1C">
        <w:rPr>
          <w:rFonts w:eastAsia="Calibri"/>
          <w:i/>
          <w:sz w:val="22"/>
          <w:szCs w:val="22"/>
          <w:lang w:eastAsia="en-US"/>
        </w:rPr>
        <w:t>)</w:t>
      </w:r>
      <w:r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14:paraId="5E765B84" w14:textId="77777777" w:rsidTr="005A28EA">
        <w:tc>
          <w:tcPr>
            <w:tcW w:w="2376" w:type="dxa"/>
            <w:shd w:val="clear" w:color="auto" w:fill="FBD4B4" w:themeFill="accent6" w:themeFillTint="66"/>
            <w:vAlign w:val="center"/>
          </w:tcPr>
          <w:p w14:paraId="503139CF" w14:textId="77777777" w:rsidR="005A28EA" w:rsidRPr="00460E3D" w:rsidRDefault="005A28EA" w:rsidP="005A28EA">
            <w:pPr>
              <w:jc w:val="center"/>
              <w:rPr>
                <w:rFonts w:ascii="Times New Roman" w:hAnsi="Times New Roman"/>
                <w:b/>
                <w:sz w:val="22"/>
              </w:rPr>
            </w:pPr>
            <w:r w:rsidRPr="00C0062E">
              <w:rPr>
                <w:b/>
                <w:sz w:val="22"/>
              </w:rPr>
              <w:t>Intitulé de la mission</w:t>
            </w:r>
          </w:p>
        </w:tc>
        <w:tc>
          <w:tcPr>
            <w:tcW w:w="4111" w:type="dxa"/>
            <w:shd w:val="clear" w:color="auto" w:fill="FBD4B4" w:themeFill="accent6" w:themeFillTint="66"/>
            <w:vAlign w:val="center"/>
          </w:tcPr>
          <w:p w14:paraId="0B83AC2B" w14:textId="77777777"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14:paraId="5570ABA9" w14:textId="77777777"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14:paraId="15201DA0" w14:textId="77777777" w:rsidTr="005A28EA">
        <w:tc>
          <w:tcPr>
            <w:tcW w:w="2376" w:type="dxa"/>
          </w:tcPr>
          <w:p w14:paraId="7DA1D115" w14:textId="77777777" w:rsidR="005A28EA" w:rsidRPr="00460E3D" w:rsidRDefault="005A28EA" w:rsidP="005A28EA">
            <w:pPr>
              <w:jc w:val="left"/>
              <w:rPr>
                <w:rFonts w:ascii="Times New Roman" w:hAnsi="Times New Roman"/>
                <w:b/>
                <w:sz w:val="22"/>
              </w:rPr>
            </w:pPr>
          </w:p>
          <w:p w14:paraId="43DF15AE" w14:textId="77777777" w:rsidR="005A28EA" w:rsidRPr="00460E3D" w:rsidRDefault="005A28EA" w:rsidP="005A28EA">
            <w:pPr>
              <w:jc w:val="left"/>
              <w:rPr>
                <w:rFonts w:ascii="Times New Roman" w:hAnsi="Times New Roman"/>
                <w:b/>
                <w:sz w:val="22"/>
              </w:rPr>
            </w:pPr>
          </w:p>
          <w:p w14:paraId="604F8236" w14:textId="77777777" w:rsidR="005A28EA" w:rsidRPr="00460E3D" w:rsidRDefault="005A28EA" w:rsidP="005A28EA">
            <w:pPr>
              <w:jc w:val="left"/>
              <w:rPr>
                <w:rFonts w:ascii="Times New Roman" w:hAnsi="Times New Roman"/>
                <w:b/>
                <w:sz w:val="22"/>
              </w:rPr>
            </w:pPr>
          </w:p>
          <w:p w14:paraId="65432ED3" w14:textId="77777777" w:rsidR="005A28EA" w:rsidRPr="00460E3D" w:rsidRDefault="005A28EA" w:rsidP="005A28EA">
            <w:pPr>
              <w:jc w:val="left"/>
              <w:rPr>
                <w:rFonts w:ascii="Times New Roman" w:hAnsi="Times New Roman"/>
                <w:b/>
                <w:sz w:val="22"/>
              </w:rPr>
            </w:pPr>
          </w:p>
          <w:p w14:paraId="5D68535B" w14:textId="77777777" w:rsidR="005A28EA" w:rsidRPr="00460E3D" w:rsidRDefault="005A28EA" w:rsidP="005A28EA">
            <w:pPr>
              <w:jc w:val="left"/>
              <w:rPr>
                <w:rFonts w:ascii="Times New Roman" w:hAnsi="Times New Roman"/>
                <w:b/>
                <w:sz w:val="22"/>
              </w:rPr>
            </w:pPr>
          </w:p>
          <w:p w14:paraId="0652A9D2" w14:textId="77777777" w:rsidR="005A28EA" w:rsidRPr="00460E3D" w:rsidRDefault="005A28EA" w:rsidP="005A28EA">
            <w:pPr>
              <w:jc w:val="left"/>
              <w:rPr>
                <w:rFonts w:ascii="Times New Roman" w:hAnsi="Times New Roman"/>
                <w:b/>
                <w:sz w:val="22"/>
              </w:rPr>
            </w:pPr>
          </w:p>
          <w:p w14:paraId="2C499603" w14:textId="77777777" w:rsidR="005A28EA" w:rsidRPr="00460E3D" w:rsidRDefault="005A28EA" w:rsidP="005A28EA">
            <w:pPr>
              <w:jc w:val="left"/>
              <w:rPr>
                <w:rFonts w:ascii="Times New Roman" w:hAnsi="Times New Roman"/>
                <w:b/>
                <w:sz w:val="22"/>
              </w:rPr>
            </w:pPr>
          </w:p>
        </w:tc>
        <w:tc>
          <w:tcPr>
            <w:tcW w:w="4111" w:type="dxa"/>
          </w:tcPr>
          <w:p w14:paraId="1E0CB7D3" w14:textId="77777777" w:rsidR="005A28EA" w:rsidRPr="00460E3D" w:rsidRDefault="005A28EA" w:rsidP="005A28EA">
            <w:pPr>
              <w:jc w:val="left"/>
              <w:rPr>
                <w:rFonts w:ascii="Times New Roman" w:hAnsi="Times New Roman"/>
                <w:b/>
                <w:sz w:val="22"/>
              </w:rPr>
            </w:pPr>
          </w:p>
        </w:tc>
        <w:tc>
          <w:tcPr>
            <w:tcW w:w="8080" w:type="dxa"/>
          </w:tcPr>
          <w:p w14:paraId="68F4DF1C" w14:textId="77777777" w:rsidR="005A28EA" w:rsidRPr="00460E3D" w:rsidRDefault="005A28EA" w:rsidP="005A28EA">
            <w:pPr>
              <w:jc w:val="left"/>
              <w:rPr>
                <w:rFonts w:ascii="Times New Roman" w:hAnsi="Times New Roman"/>
                <w:b/>
                <w:sz w:val="22"/>
              </w:rPr>
            </w:pPr>
          </w:p>
        </w:tc>
      </w:tr>
      <w:tr w:rsidR="005A28EA" w:rsidRPr="00C0062E" w14:paraId="37883FF4" w14:textId="77777777" w:rsidTr="005A28EA">
        <w:tc>
          <w:tcPr>
            <w:tcW w:w="2376" w:type="dxa"/>
          </w:tcPr>
          <w:p w14:paraId="0C1D3E8C" w14:textId="77777777" w:rsidR="005A28EA" w:rsidRPr="00460E3D" w:rsidRDefault="005A28EA" w:rsidP="005A28EA">
            <w:pPr>
              <w:jc w:val="left"/>
              <w:rPr>
                <w:rFonts w:ascii="Times New Roman" w:hAnsi="Times New Roman"/>
                <w:sz w:val="22"/>
              </w:rPr>
            </w:pPr>
          </w:p>
          <w:p w14:paraId="58F535E8" w14:textId="77777777" w:rsidR="005A28EA" w:rsidRPr="00460E3D" w:rsidRDefault="005A28EA" w:rsidP="005A28EA">
            <w:pPr>
              <w:jc w:val="left"/>
              <w:rPr>
                <w:rFonts w:ascii="Times New Roman" w:hAnsi="Times New Roman"/>
                <w:sz w:val="22"/>
              </w:rPr>
            </w:pPr>
          </w:p>
          <w:p w14:paraId="5221F633" w14:textId="77777777" w:rsidR="005A28EA" w:rsidRPr="00460E3D" w:rsidRDefault="005A28EA" w:rsidP="005A28EA">
            <w:pPr>
              <w:jc w:val="left"/>
              <w:rPr>
                <w:rFonts w:ascii="Times New Roman" w:hAnsi="Times New Roman"/>
                <w:sz w:val="22"/>
              </w:rPr>
            </w:pPr>
          </w:p>
          <w:p w14:paraId="7BEED219" w14:textId="77777777" w:rsidR="005A28EA" w:rsidRPr="00460E3D" w:rsidRDefault="005A28EA" w:rsidP="005A28EA">
            <w:pPr>
              <w:jc w:val="left"/>
              <w:rPr>
                <w:rFonts w:ascii="Times New Roman" w:hAnsi="Times New Roman"/>
                <w:sz w:val="22"/>
              </w:rPr>
            </w:pPr>
          </w:p>
          <w:p w14:paraId="13FF058A" w14:textId="77777777" w:rsidR="005A28EA" w:rsidRPr="00460E3D" w:rsidRDefault="005A28EA" w:rsidP="005A28EA">
            <w:pPr>
              <w:jc w:val="left"/>
              <w:rPr>
                <w:rFonts w:ascii="Times New Roman" w:hAnsi="Times New Roman"/>
                <w:sz w:val="22"/>
              </w:rPr>
            </w:pPr>
          </w:p>
          <w:p w14:paraId="39844DBC" w14:textId="77777777" w:rsidR="005A28EA" w:rsidRPr="00460E3D" w:rsidRDefault="005A28EA" w:rsidP="005A28EA">
            <w:pPr>
              <w:jc w:val="left"/>
              <w:rPr>
                <w:rFonts w:ascii="Times New Roman" w:hAnsi="Times New Roman"/>
                <w:sz w:val="22"/>
              </w:rPr>
            </w:pPr>
          </w:p>
        </w:tc>
        <w:tc>
          <w:tcPr>
            <w:tcW w:w="4111" w:type="dxa"/>
          </w:tcPr>
          <w:p w14:paraId="23A6ED88" w14:textId="77777777" w:rsidR="005A28EA" w:rsidRPr="00460E3D" w:rsidRDefault="005A28EA" w:rsidP="005A28EA">
            <w:pPr>
              <w:jc w:val="left"/>
              <w:rPr>
                <w:rFonts w:ascii="Times New Roman" w:hAnsi="Times New Roman"/>
                <w:sz w:val="22"/>
              </w:rPr>
            </w:pPr>
          </w:p>
          <w:p w14:paraId="55F331C7" w14:textId="77777777" w:rsidR="005A28EA" w:rsidRPr="00460E3D" w:rsidRDefault="005A28EA" w:rsidP="005A28EA">
            <w:pPr>
              <w:jc w:val="left"/>
              <w:rPr>
                <w:rFonts w:ascii="Times New Roman" w:hAnsi="Times New Roman"/>
                <w:sz w:val="22"/>
              </w:rPr>
            </w:pPr>
          </w:p>
          <w:p w14:paraId="6DC9820C" w14:textId="77777777" w:rsidR="005A28EA" w:rsidRPr="00460E3D" w:rsidRDefault="005A28EA" w:rsidP="005A28EA">
            <w:pPr>
              <w:jc w:val="left"/>
              <w:rPr>
                <w:rFonts w:ascii="Times New Roman" w:hAnsi="Times New Roman"/>
                <w:sz w:val="22"/>
              </w:rPr>
            </w:pPr>
          </w:p>
          <w:p w14:paraId="668EEFA2" w14:textId="77777777" w:rsidR="005A28EA" w:rsidRPr="00460E3D" w:rsidRDefault="005A28EA" w:rsidP="005A28EA">
            <w:pPr>
              <w:jc w:val="left"/>
              <w:rPr>
                <w:rFonts w:ascii="Times New Roman" w:hAnsi="Times New Roman"/>
                <w:sz w:val="22"/>
              </w:rPr>
            </w:pPr>
          </w:p>
          <w:p w14:paraId="148BFBA3" w14:textId="77777777" w:rsidR="005A28EA" w:rsidRPr="00460E3D" w:rsidRDefault="005A28EA" w:rsidP="005A28EA">
            <w:pPr>
              <w:jc w:val="left"/>
              <w:rPr>
                <w:rFonts w:ascii="Times New Roman" w:hAnsi="Times New Roman"/>
                <w:sz w:val="22"/>
              </w:rPr>
            </w:pPr>
          </w:p>
          <w:p w14:paraId="59415143" w14:textId="77777777" w:rsidR="005A28EA" w:rsidRPr="00460E3D" w:rsidRDefault="005A28EA" w:rsidP="005A28EA">
            <w:pPr>
              <w:jc w:val="left"/>
              <w:rPr>
                <w:rFonts w:ascii="Times New Roman" w:hAnsi="Times New Roman"/>
                <w:sz w:val="22"/>
              </w:rPr>
            </w:pPr>
          </w:p>
          <w:p w14:paraId="39D76842" w14:textId="77777777" w:rsidR="005A28EA" w:rsidRPr="00460E3D" w:rsidRDefault="005A28EA" w:rsidP="005A28EA">
            <w:pPr>
              <w:jc w:val="left"/>
              <w:rPr>
                <w:rFonts w:ascii="Times New Roman" w:hAnsi="Times New Roman"/>
                <w:sz w:val="22"/>
              </w:rPr>
            </w:pPr>
          </w:p>
          <w:p w14:paraId="17C77B8E" w14:textId="77777777" w:rsidR="005A28EA" w:rsidRPr="00460E3D" w:rsidRDefault="005A28EA" w:rsidP="005A28EA">
            <w:pPr>
              <w:jc w:val="left"/>
              <w:rPr>
                <w:rFonts w:ascii="Times New Roman" w:hAnsi="Times New Roman"/>
                <w:sz w:val="22"/>
              </w:rPr>
            </w:pPr>
          </w:p>
        </w:tc>
        <w:tc>
          <w:tcPr>
            <w:tcW w:w="8080" w:type="dxa"/>
          </w:tcPr>
          <w:p w14:paraId="5ADBA650" w14:textId="77777777" w:rsidR="005A28EA" w:rsidRPr="00460E3D" w:rsidRDefault="005A28EA" w:rsidP="005A28EA">
            <w:pPr>
              <w:jc w:val="left"/>
              <w:rPr>
                <w:rFonts w:ascii="Times New Roman" w:hAnsi="Times New Roman"/>
                <w:sz w:val="22"/>
              </w:rPr>
            </w:pPr>
          </w:p>
        </w:tc>
      </w:tr>
      <w:tr w:rsidR="005A28EA" w:rsidRPr="00C0062E" w14:paraId="6AC369BA" w14:textId="77777777" w:rsidTr="005A28EA">
        <w:tc>
          <w:tcPr>
            <w:tcW w:w="2376" w:type="dxa"/>
          </w:tcPr>
          <w:p w14:paraId="010A34E8" w14:textId="77777777" w:rsidR="005A28EA" w:rsidRPr="00460E3D" w:rsidRDefault="005A28EA" w:rsidP="005A28EA">
            <w:pPr>
              <w:jc w:val="left"/>
              <w:rPr>
                <w:rFonts w:ascii="Times New Roman" w:hAnsi="Times New Roman"/>
                <w:sz w:val="22"/>
              </w:rPr>
            </w:pPr>
          </w:p>
        </w:tc>
        <w:tc>
          <w:tcPr>
            <w:tcW w:w="4111" w:type="dxa"/>
          </w:tcPr>
          <w:p w14:paraId="7F9C63C5" w14:textId="77777777" w:rsidR="005A28EA" w:rsidRPr="00460E3D" w:rsidRDefault="005A28EA" w:rsidP="005A28EA">
            <w:pPr>
              <w:jc w:val="left"/>
              <w:rPr>
                <w:rFonts w:ascii="Times New Roman" w:hAnsi="Times New Roman"/>
                <w:sz w:val="22"/>
              </w:rPr>
            </w:pPr>
          </w:p>
          <w:p w14:paraId="2DAC8550" w14:textId="77777777" w:rsidR="005A28EA" w:rsidRPr="00460E3D" w:rsidRDefault="005A28EA" w:rsidP="005A28EA">
            <w:pPr>
              <w:jc w:val="left"/>
              <w:rPr>
                <w:rFonts w:ascii="Times New Roman" w:hAnsi="Times New Roman"/>
                <w:sz w:val="22"/>
              </w:rPr>
            </w:pPr>
          </w:p>
          <w:p w14:paraId="4E83201C" w14:textId="77777777" w:rsidR="005A28EA" w:rsidRPr="00460E3D" w:rsidRDefault="005A28EA" w:rsidP="005A28EA">
            <w:pPr>
              <w:jc w:val="left"/>
              <w:rPr>
                <w:rFonts w:ascii="Times New Roman" w:hAnsi="Times New Roman"/>
                <w:sz w:val="22"/>
              </w:rPr>
            </w:pPr>
          </w:p>
          <w:p w14:paraId="1773A80B" w14:textId="77777777" w:rsidR="005A28EA" w:rsidRPr="00460E3D" w:rsidRDefault="005A28EA" w:rsidP="005A28EA">
            <w:pPr>
              <w:jc w:val="left"/>
              <w:rPr>
                <w:rFonts w:ascii="Times New Roman" w:hAnsi="Times New Roman"/>
                <w:sz w:val="22"/>
              </w:rPr>
            </w:pPr>
          </w:p>
          <w:p w14:paraId="4B02679E" w14:textId="77777777" w:rsidR="005A28EA" w:rsidRPr="00460E3D" w:rsidRDefault="005A28EA" w:rsidP="005A28EA">
            <w:pPr>
              <w:jc w:val="left"/>
              <w:rPr>
                <w:rFonts w:ascii="Times New Roman" w:hAnsi="Times New Roman"/>
                <w:sz w:val="22"/>
              </w:rPr>
            </w:pPr>
          </w:p>
          <w:p w14:paraId="364DE606" w14:textId="77777777" w:rsidR="005A28EA" w:rsidRPr="00460E3D" w:rsidRDefault="005A28EA" w:rsidP="005A28EA">
            <w:pPr>
              <w:jc w:val="left"/>
              <w:rPr>
                <w:rFonts w:ascii="Times New Roman" w:hAnsi="Times New Roman"/>
                <w:sz w:val="22"/>
              </w:rPr>
            </w:pPr>
          </w:p>
          <w:p w14:paraId="657E54E9" w14:textId="77777777" w:rsidR="005A28EA" w:rsidRPr="00460E3D" w:rsidRDefault="005A28EA" w:rsidP="005A28EA">
            <w:pPr>
              <w:jc w:val="left"/>
              <w:rPr>
                <w:rFonts w:ascii="Times New Roman" w:hAnsi="Times New Roman"/>
                <w:sz w:val="22"/>
              </w:rPr>
            </w:pPr>
          </w:p>
          <w:p w14:paraId="3A8C5B97" w14:textId="77777777" w:rsidR="005A28EA" w:rsidRPr="00460E3D" w:rsidRDefault="005A28EA" w:rsidP="005A28EA">
            <w:pPr>
              <w:jc w:val="left"/>
              <w:rPr>
                <w:rFonts w:ascii="Times New Roman" w:hAnsi="Times New Roman"/>
                <w:sz w:val="22"/>
              </w:rPr>
            </w:pPr>
          </w:p>
          <w:p w14:paraId="35A28DBE" w14:textId="77777777" w:rsidR="005A28EA" w:rsidRPr="00460E3D" w:rsidRDefault="005A28EA" w:rsidP="005A28EA">
            <w:pPr>
              <w:jc w:val="left"/>
              <w:rPr>
                <w:rFonts w:ascii="Times New Roman" w:hAnsi="Times New Roman"/>
                <w:sz w:val="22"/>
              </w:rPr>
            </w:pPr>
          </w:p>
        </w:tc>
        <w:tc>
          <w:tcPr>
            <w:tcW w:w="8080" w:type="dxa"/>
          </w:tcPr>
          <w:p w14:paraId="38247C5A" w14:textId="77777777" w:rsidR="005A28EA" w:rsidRPr="00460E3D" w:rsidRDefault="005A28EA" w:rsidP="005A28EA">
            <w:pPr>
              <w:jc w:val="left"/>
              <w:rPr>
                <w:rFonts w:ascii="Times New Roman" w:hAnsi="Times New Roman"/>
                <w:sz w:val="22"/>
              </w:rPr>
            </w:pPr>
          </w:p>
        </w:tc>
      </w:tr>
    </w:tbl>
    <w:p w14:paraId="65BBE706" w14:textId="77777777" w:rsidR="005A28EA" w:rsidRPr="00460E3D" w:rsidRDefault="005A28EA" w:rsidP="005A28EA">
      <w:pPr>
        <w:spacing w:after="200" w:line="276" w:lineRule="auto"/>
        <w:jc w:val="left"/>
        <w:rPr>
          <w:rFonts w:eastAsia="Calibri"/>
          <w:szCs w:val="24"/>
          <w:lang w:eastAsia="en-US"/>
        </w:rPr>
        <w:sectPr w:rsidR="005A28EA" w:rsidRPr="00460E3D" w:rsidSect="005A28EA">
          <w:footerReference w:type="default" r:id="rId17"/>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14:paraId="506DA2F8" w14:textId="77777777" w:rsidTr="005A28EA">
        <w:tc>
          <w:tcPr>
            <w:tcW w:w="14567" w:type="dxa"/>
            <w:gridSpan w:val="4"/>
            <w:shd w:val="clear" w:color="auto" w:fill="FFFFFF" w:themeFill="background1"/>
          </w:tcPr>
          <w:p w14:paraId="749AC4F1" w14:textId="5099A87C" w:rsidR="005A28EA" w:rsidRPr="00460E3D" w:rsidRDefault="005A28EA" w:rsidP="005A28EA">
            <w:pPr>
              <w:jc w:val="left"/>
              <w:rPr>
                <w:rFonts w:ascii="Times New Roman" w:hAnsi="Times New Roman"/>
                <w:b/>
                <w:smallCaps/>
                <w:color w:val="1F497D"/>
                <w:sz w:val="28"/>
              </w:rPr>
            </w:pPr>
            <w:r w:rsidRPr="00460E3D">
              <w:rPr>
                <w:b/>
                <w:smallCaps/>
                <w:color w:val="1F497D"/>
                <w:sz w:val="28"/>
              </w:rPr>
              <w:br w:type="page"/>
              <w:t>III - Évaluation de la conformité aux recommandations d’organismes externes en matière de sécurité des moyens de paiement</w:t>
            </w:r>
            <w:r w:rsidR="001505E4">
              <w:rPr>
                <w:b/>
                <w:smallCaps/>
                <w:color w:val="1F497D"/>
                <w:sz w:val="28"/>
              </w:rPr>
              <w:t xml:space="preserve"> et de sécurité de l’accès aux comptes</w:t>
            </w:r>
          </w:p>
          <w:p w14:paraId="708243BD" w14:textId="77777777" w:rsidR="005A28EA" w:rsidRPr="00460E3D" w:rsidRDefault="005A28EA" w:rsidP="005A28EA">
            <w:pPr>
              <w:jc w:val="left"/>
              <w:rPr>
                <w:rFonts w:ascii="Times New Roman" w:hAnsi="Times New Roman"/>
                <w:b/>
                <w:smallCaps/>
                <w:color w:val="1F497D"/>
                <w:sz w:val="28"/>
              </w:rPr>
            </w:pPr>
          </w:p>
        </w:tc>
      </w:tr>
      <w:tr w:rsidR="005A28EA" w:rsidRPr="00C0062E" w14:paraId="6CD2D160"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1911E0EF" w14:textId="77777777"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14:paraId="5DEEE652" w14:textId="77777777"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14:paraId="3106CC27" w14:textId="77777777"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14:paraId="28963163"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6EB74E94" w14:textId="77777777"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14:paraId="094E639A" w14:textId="77777777"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14:paraId="1F4FCAB6" w14:textId="77777777" w:rsidR="005A28EA" w:rsidRPr="00460E3D" w:rsidRDefault="005A28EA" w:rsidP="005A28EA">
            <w:pPr>
              <w:jc w:val="center"/>
              <w:rPr>
                <w:rFonts w:ascii="Times New Roman" w:hAnsi="Times New Roman"/>
                <w:b/>
                <w:sz w:val="22"/>
              </w:rPr>
            </w:pPr>
            <w:r w:rsidRPr="00C0062E">
              <w:rPr>
                <w:b/>
                <w:sz w:val="22"/>
              </w:rPr>
              <w:t>Évaluation de la conformité</w:t>
            </w:r>
          </w:p>
          <w:p w14:paraId="532071B2" w14:textId="77777777"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14:paraId="1EB6A1BE" w14:textId="77777777" w:rsidR="003B0563" w:rsidRDefault="005A28EA" w:rsidP="005A28EA">
            <w:pPr>
              <w:jc w:val="center"/>
              <w:rPr>
                <w:b/>
                <w:sz w:val="22"/>
              </w:rPr>
            </w:pPr>
            <w:r w:rsidRPr="00C0062E">
              <w:rPr>
                <w:b/>
                <w:sz w:val="22"/>
              </w:rPr>
              <w:t>Commentaires sur l’évaluation</w:t>
            </w:r>
            <w:r w:rsidR="003B0563">
              <w:rPr>
                <w:b/>
                <w:sz w:val="22"/>
              </w:rPr>
              <w:t xml:space="preserve"> </w:t>
            </w:r>
          </w:p>
          <w:p w14:paraId="5F67B4F6" w14:textId="77777777" w:rsidR="005A28EA" w:rsidRPr="00460E3D" w:rsidRDefault="003B0563" w:rsidP="005A28EA">
            <w:pPr>
              <w:jc w:val="center"/>
              <w:rPr>
                <w:rFonts w:ascii="Times New Roman" w:hAnsi="Times New Roman"/>
                <w:b/>
                <w:sz w:val="22"/>
              </w:rPr>
            </w:pPr>
            <w:r>
              <w:rPr>
                <w:b/>
                <w:sz w:val="22"/>
              </w:rPr>
              <w:t>(en cas de non-conformité ou conformité partielle)</w:t>
            </w:r>
          </w:p>
        </w:tc>
      </w:tr>
      <w:tr w:rsidR="005A28EA" w:rsidRPr="00C0062E" w14:paraId="5CBB7A1F"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24F16BA6" w14:textId="77777777" w:rsidR="005A28EA" w:rsidRPr="00460E3D" w:rsidRDefault="00945963" w:rsidP="00440972">
            <w:pPr>
              <w:jc w:val="left"/>
              <w:rPr>
                <w:rFonts w:ascii="Times New Roman" w:hAnsi="Times New Roman"/>
                <w:b/>
                <w:szCs w:val="24"/>
              </w:rPr>
            </w:pPr>
            <w:r>
              <w:rPr>
                <w:b/>
                <w:szCs w:val="24"/>
              </w:rPr>
              <w:t xml:space="preserve">Mesures de prévention </w:t>
            </w:r>
            <w:r w:rsidR="005A28EA" w:rsidRPr="00C0062E">
              <w:rPr>
                <w:b/>
                <w:szCs w:val="24"/>
              </w:rPr>
              <w:t>des risques spécifiques</w:t>
            </w:r>
          </w:p>
        </w:tc>
      </w:tr>
      <w:tr w:rsidR="005A28EA" w:rsidRPr="00C0062E" w14:paraId="6245B4FE"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F48E7A8" w14:textId="77777777"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Instant issuing</w:t>
            </w:r>
            <w:r w:rsidRPr="00C0062E">
              <w:rPr>
                <w:sz w:val="22"/>
              </w:rPr>
              <w:t>") font l'objet d'une analyse de risques afin d'ajuster leur niveau de sécurité de façon permanente.</w:t>
            </w:r>
          </w:p>
        </w:tc>
        <w:tc>
          <w:tcPr>
            <w:tcW w:w="1418" w:type="dxa"/>
            <w:vAlign w:val="center"/>
          </w:tcPr>
          <w:p w14:paraId="4AEBDD31"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Pr>
          <w:p w14:paraId="55916D60" w14:textId="77777777" w:rsidR="005A28EA" w:rsidRPr="00460E3D" w:rsidRDefault="005A28EA" w:rsidP="005A28EA">
            <w:pPr>
              <w:jc w:val="left"/>
              <w:rPr>
                <w:rFonts w:ascii="Times New Roman" w:hAnsi="Times New Roman"/>
                <w:szCs w:val="24"/>
              </w:rPr>
            </w:pPr>
          </w:p>
        </w:tc>
        <w:tc>
          <w:tcPr>
            <w:tcW w:w="5245" w:type="dxa"/>
          </w:tcPr>
          <w:p w14:paraId="471DEE24" w14:textId="77777777" w:rsidR="005A28EA" w:rsidRPr="00460E3D" w:rsidRDefault="005A28EA" w:rsidP="005A28EA">
            <w:pPr>
              <w:jc w:val="left"/>
              <w:rPr>
                <w:rFonts w:ascii="Times New Roman" w:hAnsi="Times New Roman"/>
                <w:szCs w:val="24"/>
              </w:rPr>
            </w:pPr>
          </w:p>
        </w:tc>
      </w:tr>
      <w:tr w:rsidR="005A28EA" w:rsidRPr="00C0062E" w14:paraId="0903E891"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0A0CFED" w14:textId="77777777" w:rsidR="005A28EA" w:rsidRPr="00460E3D" w:rsidRDefault="005A28EA" w:rsidP="00440972">
            <w:pPr>
              <w:rPr>
                <w:rFonts w:ascii="Times New Roman" w:hAnsi="Times New Roman"/>
                <w:sz w:val="22"/>
              </w:rPr>
            </w:pPr>
            <w:r w:rsidRPr="00C0062E">
              <w:rPr>
                <w:sz w:val="22"/>
              </w:rPr>
              <w:t xml:space="preserve">Les mesures de sécurité PCI sont adoptées et mises en place sur l'ensemble </w:t>
            </w:r>
            <w:r w:rsidR="00945963" w:rsidRPr="00C0062E">
              <w:rPr>
                <w:sz w:val="22"/>
              </w:rPr>
              <w:t>d</w:t>
            </w:r>
            <w:r w:rsidR="00945963">
              <w:rPr>
                <w:sz w:val="22"/>
              </w:rPr>
              <w:t>es</w:t>
            </w:r>
            <w:r w:rsidR="00945963" w:rsidRPr="00C0062E">
              <w:rPr>
                <w:sz w:val="22"/>
              </w:rPr>
              <w:t xml:space="preserve"> </w:t>
            </w:r>
            <w:r w:rsidRPr="00C0062E">
              <w:rPr>
                <w:sz w:val="22"/>
              </w:rPr>
              <w:t>processus d'acceptation et d'acquisition des cartes de paiement.</w:t>
            </w:r>
          </w:p>
        </w:tc>
        <w:tc>
          <w:tcPr>
            <w:tcW w:w="1418" w:type="dxa"/>
            <w:tcBorders>
              <w:bottom w:val="single" w:sz="4" w:space="0" w:color="auto"/>
            </w:tcBorders>
            <w:vAlign w:val="center"/>
          </w:tcPr>
          <w:p w14:paraId="5455882B"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7055C7FD"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25E6241B" w14:textId="77777777" w:rsidR="005A28EA" w:rsidRPr="00460E3D" w:rsidRDefault="005A28EA" w:rsidP="005A28EA">
            <w:pPr>
              <w:jc w:val="left"/>
              <w:rPr>
                <w:rFonts w:ascii="Times New Roman" w:hAnsi="Times New Roman"/>
                <w:szCs w:val="24"/>
              </w:rPr>
            </w:pPr>
          </w:p>
        </w:tc>
      </w:tr>
      <w:tr w:rsidR="00945963" w:rsidRPr="00C0062E" w14:paraId="6966CEE7"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5FDC476" w14:textId="77777777" w:rsidR="00945963" w:rsidRPr="00C0062E" w:rsidRDefault="00945963">
            <w:pPr>
              <w:rPr>
                <w:sz w:val="22"/>
              </w:rPr>
            </w:pPr>
            <w:r>
              <w:rPr>
                <w:sz w:val="22"/>
              </w:rPr>
              <w:t xml:space="preserve">Les solutions de type </w:t>
            </w:r>
            <w:r w:rsidRPr="00D63D99">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14:paraId="2366CF24" w14:textId="77777777" w:rsidR="00945963" w:rsidRPr="00C0062E" w:rsidRDefault="00945963" w:rsidP="005A28EA">
            <w:pPr>
              <w:jc w:val="center"/>
              <w:rPr>
                <w:sz w:val="22"/>
              </w:rPr>
            </w:pPr>
            <w:r>
              <w:rPr>
                <w:sz w:val="22"/>
              </w:rPr>
              <w:t>OSMP</w:t>
            </w:r>
          </w:p>
        </w:tc>
        <w:tc>
          <w:tcPr>
            <w:tcW w:w="1559" w:type="dxa"/>
            <w:tcBorders>
              <w:bottom w:val="single" w:sz="4" w:space="0" w:color="auto"/>
            </w:tcBorders>
          </w:tcPr>
          <w:p w14:paraId="3A255DB0" w14:textId="77777777" w:rsidR="00945963" w:rsidRPr="00460E3D" w:rsidRDefault="00945963" w:rsidP="005A28EA">
            <w:pPr>
              <w:jc w:val="left"/>
              <w:rPr>
                <w:szCs w:val="24"/>
              </w:rPr>
            </w:pPr>
          </w:p>
        </w:tc>
        <w:tc>
          <w:tcPr>
            <w:tcW w:w="5245" w:type="dxa"/>
            <w:tcBorders>
              <w:bottom w:val="single" w:sz="4" w:space="0" w:color="auto"/>
            </w:tcBorders>
          </w:tcPr>
          <w:p w14:paraId="4687F8F6" w14:textId="77777777" w:rsidR="00945963" w:rsidRPr="00460E3D" w:rsidRDefault="00945963" w:rsidP="005A28EA">
            <w:pPr>
              <w:jc w:val="left"/>
              <w:rPr>
                <w:szCs w:val="24"/>
              </w:rPr>
            </w:pPr>
          </w:p>
        </w:tc>
      </w:tr>
    </w:tbl>
    <w:p w14:paraId="281C7672" w14:textId="1643A807" w:rsidR="00476B0A" w:rsidRDefault="00476B0A">
      <w:r>
        <w:br w:type="page"/>
      </w:r>
    </w:p>
    <w:tbl>
      <w:tblPr>
        <w:tblStyle w:val="Grilledutableau2"/>
        <w:tblW w:w="14567" w:type="dxa"/>
        <w:tblLook w:val="04A0" w:firstRow="1" w:lastRow="0" w:firstColumn="1" w:lastColumn="0" w:noHBand="0" w:noVBand="1"/>
      </w:tblPr>
      <w:tblGrid>
        <w:gridCol w:w="6345"/>
        <w:gridCol w:w="1418"/>
        <w:gridCol w:w="1559"/>
        <w:gridCol w:w="5245"/>
      </w:tblGrid>
      <w:tr w:rsidR="005A28EA" w:rsidRPr="00C0062E" w14:paraId="6E8E6ED2" w14:textId="77777777" w:rsidTr="005A28EA">
        <w:trPr>
          <w:cantSplit/>
        </w:trPr>
        <w:tc>
          <w:tcPr>
            <w:tcW w:w="14567" w:type="dxa"/>
            <w:gridSpan w:val="4"/>
            <w:shd w:val="clear" w:color="auto" w:fill="8DB3E2" w:themeFill="text2" w:themeFillTint="66"/>
            <w:vAlign w:val="center"/>
          </w:tcPr>
          <w:p w14:paraId="66F8B6EC" w14:textId="77777777" w:rsidR="005A28EA" w:rsidRPr="00460E3D" w:rsidRDefault="005A28EA" w:rsidP="00577E9A">
            <w:pPr>
              <w:jc w:val="left"/>
              <w:rPr>
                <w:rFonts w:ascii="Times New Roman" w:hAnsi="Times New Roman"/>
                <w:b/>
                <w:szCs w:val="24"/>
              </w:rPr>
            </w:pPr>
            <w:r w:rsidRPr="00C0062E">
              <w:rPr>
                <w:b/>
                <w:szCs w:val="24"/>
              </w:rPr>
              <w:t xml:space="preserve">Authentification forte </w:t>
            </w:r>
            <w:r w:rsidR="00B51467">
              <w:rPr>
                <w:b/>
                <w:szCs w:val="24"/>
              </w:rPr>
              <w:t>et enrôlement du client</w:t>
            </w:r>
          </w:p>
        </w:tc>
      </w:tr>
      <w:tr w:rsidR="005A28EA" w:rsidRPr="00C0062E" w14:paraId="2FE240E8" w14:textId="77777777" w:rsidTr="005A28EA">
        <w:trPr>
          <w:cantSplit/>
        </w:trPr>
        <w:tc>
          <w:tcPr>
            <w:tcW w:w="6345" w:type="dxa"/>
            <w:tcBorders>
              <w:bottom w:val="single" w:sz="4" w:space="0" w:color="auto"/>
            </w:tcBorders>
          </w:tcPr>
          <w:p w14:paraId="43947EE5" w14:textId="77777777" w:rsidR="005A28EA" w:rsidRPr="00460E3D" w:rsidRDefault="005A28EA"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14:paraId="32D4DF59"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2B8930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490715F5" w14:textId="77777777" w:rsidR="005A28EA" w:rsidRPr="00460E3D" w:rsidRDefault="005A28EA" w:rsidP="005A28EA">
            <w:pPr>
              <w:jc w:val="left"/>
              <w:rPr>
                <w:rFonts w:ascii="Times New Roman" w:hAnsi="Times New Roman"/>
                <w:szCs w:val="24"/>
              </w:rPr>
            </w:pPr>
          </w:p>
        </w:tc>
      </w:tr>
      <w:tr w:rsidR="005A28EA" w:rsidRPr="00C0062E" w14:paraId="3EF319F1" w14:textId="77777777" w:rsidTr="005A28EA">
        <w:trPr>
          <w:cantSplit/>
        </w:trPr>
        <w:tc>
          <w:tcPr>
            <w:tcW w:w="6345" w:type="dxa"/>
            <w:tcBorders>
              <w:bottom w:val="single" w:sz="4" w:space="0" w:color="auto"/>
            </w:tcBorders>
          </w:tcPr>
          <w:p w14:paraId="68229998" w14:textId="77777777" w:rsidR="005A28EA" w:rsidRPr="00460E3D" w:rsidRDefault="005A28EA" w:rsidP="00577E9A">
            <w:pPr>
              <w:rPr>
                <w:rFonts w:ascii="Times New Roman" w:hAnsi="Times New Roman"/>
                <w:sz w:val="22"/>
              </w:rPr>
            </w:pPr>
            <w:r w:rsidRPr="00C0062E">
              <w:rPr>
                <w:sz w:val="22"/>
              </w:rPr>
              <w:t>Pour les paiements par téléphone mobile et par carte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14:paraId="126B4C18"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3952E0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3B6C25CE" w14:textId="77777777" w:rsidR="005A28EA" w:rsidRPr="00460E3D" w:rsidRDefault="005A28EA" w:rsidP="005A28EA">
            <w:pPr>
              <w:jc w:val="left"/>
              <w:rPr>
                <w:rFonts w:ascii="Times New Roman" w:hAnsi="Times New Roman"/>
                <w:szCs w:val="24"/>
              </w:rPr>
            </w:pPr>
          </w:p>
        </w:tc>
      </w:tr>
      <w:tr w:rsidR="005A28EA" w:rsidRPr="00C0062E" w14:paraId="4BD521AB" w14:textId="77777777" w:rsidTr="005A28EA">
        <w:trPr>
          <w:cantSplit/>
        </w:trPr>
        <w:tc>
          <w:tcPr>
            <w:tcW w:w="14567" w:type="dxa"/>
            <w:gridSpan w:val="4"/>
            <w:shd w:val="clear" w:color="auto" w:fill="8DB3E2" w:themeFill="text2" w:themeFillTint="66"/>
            <w:vAlign w:val="center"/>
          </w:tcPr>
          <w:p w14:paraId="0F36FEAE" w14:textId="77777777" w:rsidR="005A28EA" w:rsidRPr="00460E3D" w:rsidRDefault="00440972" w:rsidP="005A28EA">
            <w:pPr>
              <w:jc w:val="left"/>
              <w:rPr>
                <w:rFonts w:ascii="Times New Roman" w:hAnsi="Times New Roman"/>
                <w:b/>
                <w:szCs w:val="24"/>
              </w:rPr>
            </w:pPr>
            <w:r>
              <w:rPr>
                <w:b/>
                <w:szCs w:val="24"/>
              </w:rPr>
              <w:t>Gestion des risques opérationnels et de sécurité</w:t>
            </w:r>
          </w:p>
        </w:tc>
      </w:tr>
      <w:tr w:rsidR="00440972" w:rsidRPr="00C0062E" w14:paraId="066321C0" w14:textId="77777777" w:rsidTr="005A28EA">
        <w:trPr>
          <w:cantSplit/>
        </w:trPr>
        <w:tc>
          <w:tcPr>
            <w:tcW w:w="6345" w:type="dxa"/>
          </w:tcPr>
          <w:p w14:paraId="4A796966" w14:textId="77777777" w:rsidR="00440972" w:rsidRPr="00460E3D" w:rsidRDefault="00440972" w:rsidP="00910362">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14:paraId="2ECD4473" w14:textId="77777777" w:rsidR="00440972" w:rsidRPr="00C0062E" w:rsidRDefault="00440972" w:rsidP="005A28EA">
            <w:pPr>
              <w:spacing w:after="200" w:line="276" w:lineRule="auto"/>
              <w:jc w:val="center"/>
              <w:rPr>
                <w:color w:val="000000"/>
                <w:sz w:val="22"/>
              </w:rPr>
            </w:pPr>
            <w:r>
              <w:rPr>
                <w:color w:val="000000"/>
                <w:sz w:val="22"/>
              </w:rPr>
              <w:t>ABE</w:t>
            </w:r>
          </w:p>
        </w:tc>
        <w:tc>
          <w:tcPr>
            <w:tcW w:w="1559" w:type="dxa"/>
          </w:tcPr>
          <w:p w14:paraId="13C7B3D1" w14:textId="77777777" w:rsidR="00440972" w:rsidRPr="00460E3D" w:rsidRDefault="00440972" w:rsidP="005A28EA">
            <w:pPr>
              <w:jc w:val="left"/>
              <w:rPr>
                <w:szCs w:val="24"/>
              </w:rPr>
            </w:pPr>
          </w:p>
        </w:tc>
        <w:tc>
          <w:tcPr>
            <w:tcW w:w="5245" w:type="dxa"/>
          </w:tcPr>
          <w:p w14:paraId="6F4A09B4" w14:textId="77777777" w:rsidR="00440972" w:rsidRPr="00460E3D" w:rsidRDefault="00440972" w:rsidP="005A28EA">
            <w:pPr>
              <w:jc w:val="left"/>
              <w:rPr>
                <w:szCs w:val="24"/>
              </w:rPr>
            </w:pPr>
          </w:p>
        </w:tc>
      </w:tr>
      <w:tr w:rsidR="00440972" w:rsidRPr="00C0062E" w14:paraId="77FE7759" w14:textId="77777777" w:rsidTr="005A28EA">
        <w:trPr>
          <w:cantSplit/>
        </w:trPr>
        <w:tc>
          <w:tcPr>
            <w:tcW w:w="6345" w:type="dxa"/>
          </w:tcPr>
          <w:p w14:paraId="241270D5" w14:textId="77777777" w:rsidR="00440972" w:rsidRPr="00460E3D" w:rsidRDefault="00440972" w:rsidP="00C244B3">
            <w:pPr>
              <w:rPr>
                <w:sz w:val="22"/>
              </w:rPr>
            </w:pPr>
            <w:r>
              <w:rPr>
                <w:sz w:val="22"/>
              </w:rPr>
              <w:t xml:space="preserve">En cas d’externalisation, l’établissement veille à ce que le cadre de gestion des risques </w:t>
            </w:r>
            <w:r w:rsidR="00C244B3">
              <w:rPr>
                <w:sz w:val="22"/>
              </w:rPr>
              <w:t>couvre de manière effective les activités sous-traitées</w:t>
            </w:r>
            <w:r>
              <w:rPr>
                <w:sz w:val="22"/>
              </w:rPr>
              <w:t>.</w:t>
            </w:r>
          </w:p>
        </w:tc>
        <w:tc>
          <w:tcPr>
            <w:tcW w:w="1418" w:type="dxa"/>
            <w:vAlign w:val="center"/>
          </w:tcPr>
          <w:p w14:paraId="727F6A0D" w14:textId="77777777" w:rsidR="00440972" w:rsidRPr="00C0062E" w:rsidRDefault="00440972" w:rsidP="005A28EA">
            <w:pPr>
              <w:spacing w:after="200" w:line="276" w:lineRule="auto"/>
              <w:jc w:val="center"/>
              <w:rPr>
                <w:color w:val="000000"/>
                <w:sz w:val="22"/>
              </w:rPr>
            </w:pPr>
            <w:r>
              <w:rPr>
                <w:color w:val="000000"/>
                <w:sz w:val="22"/>
              </w:rPr>
              <w:t>ABE</w:t>
            </w:r>
          </w:p>
        </w:tc>
        <w:tc>
          <w:tcPr>
            <w:tcW w:w="1559" w:type="dxa"/>
          </w:tcPr>
          <w:p w14:paraId="1D146A4A" w14:textId="77777777" w:rsidR="00440972" w:rsidRPr="00460E3D" w:rsidRDefault="00440972" w:rsidP="005A28EA">
            <w:pPr>
              <w:jc w:val="left"/>
              <w:rPr>
                <w:szCs w:val="24"/>
              </w:rPr>
            </w:pPr>
          </w:p>
        </w:tc>
        <w:tc>
          <w:tcPr>
            <w:tcW w:w="5245" w:type="dxa"/>
          </w:tcPr>
          <w:p w14:paraId="333E4C36" w14:textId="77777777" w:rsidR="00440972" w:rsidRPr="00460E3D" w:rsidRDefault="00440972" w:rsidP="005A28EA">
            <w:pPr>
              <w:jc w:val="left"/>
              <w:rPr>
                <w:szCs w:val="24"/>
              </w:rPr>
            </w:pPr>
          </w:p>
        </w:tc>
      </w:tr>
      <w:tr w:rsidR="005A28EA" w:rsidRPr="00C0062E" w14:paraId="0C0A60BD" w14:textId="77777777" w:rsidTr="005A28EA">
        <w:trPr>
          <w:cantSplit/>
        </w:trPr>
        <w:tc>
          <w:tcPr>
            <w:tcW w:w="6345" w:type="dxa"/>
          </w:tcPr>
          <w:p w14:paraId="256AA2AE" w14:textId="77777777" w:rsidR="005A28EA" w:rsidRPr="00460E3D" w:rsidRDefault="00C244B3" w:rsidP="00C244B3">
            <w:pPr>
              <w:rPr>
                <w:rFonts w:ascii="Times New Roman" w:hAnsi="Times New Roman"/>
                <w:sz w:val="22"/>
              </w:rPr>
            </w:pPr>
            <w:r>
              <w:rPr>
                <w:sz w:val="22"/>
              </w:rPr>
              <w:t>D</w:t>
            </w:r>
            <w:r w:rsidR="005A28EA" w:rsidRPr="00460E3D">
              <w:rPr>
                <w:sz w:val="22"/>
              </w:rPr>
              <w:t xml:space="preserve">es mécanismes de suivi des opérations </w:t>
            </w:r>
            <w:r>
              <w:rPr>
                <w:sz w:val="22"/>
              </w:rPr>
              <w:t>sont mis en place</w:t>
            </w:r>
            <w:r w:rsidR="005A28EA" w:rsidRPr="00460E3D">
              <w:rPr>
                <w:sz w:val="22"/>
              </w:rPr>
              <w:t xml:space="preserve"> pour prévenir, détecter et bloquer les opérations de paiement </w:t>
            </w:r>
            <w:r>
              <w:rPr>
                <w:sz w:val="22"/>
              </w:rPr>
              <w:t>suspectes</w:t>
            </w:r>
            <w:r w:rsidRPr="00460E3D">
              <w:rPr>
                <w:sz w:val="22"/>
              </w:rPr>
              <w:t xml:space="preserve"> </w:t>
            </w:r>
            <w:r>
              <w:rPr>
                <w:sz w:val="22"/>
              </w:rPr>
              <w:t xml:space="preserve">en amont de </w:t>
            </w:r>
            <w:r w:rsidRPr="00460E3D">
              <w:rPr>
                <w:sz w:val="22"/>
              </w:rPr>
              <w:t>l</w:t>
            </w:r>
            <w:r>
              <w:rPr>
                <w:sz w:val="22"/>
              </w:rPr>
              <w:t xml:space="preserve">eur </w:t>
            </w:r>
            <w:r w:rsidRPr="00460E3D">
              <w:rPr>
                <w:sz w:val="22"/>
              </w:rPr>
              <w:t>autorisation</w:t>
            </w:r>
            <w:r w:rsidR="005A28EA" w:rsidRPr="00460E3D">
              <w:rPr>
                <w:sz w:val="22"/>
              </w:rPr>
              <w:t>.</w:t>
            </w:r>
          </w:p>
        </w:tc>
        <w:tc>
          <w:tcPr>
            <w:tcW w:w="1418" w:type="dxa"/>
            <w:vAlign w:val="center"/>
          </w:tcPr>
          <w:p w14:paraId="06EFB8F8" w14:textId="77777777" w:rsidR="005A28EA" w:rsidRPr="00460E3D" w:rsidRDefault="005A28EA" w:rsidP="005A28EA">
            <w:pPr>
              <w:jc w:val="center"/>
              <w:rPr>
                <w:rFonts w:ascii="Times New Roman" w:hAnsi="Times New Roman"/>
                <w:color w:val="000000"/>
                <w:sz w:val="22"/>
              </w:rPr>
            </w:pPr>
            <w:r w:rsidRPr="00C0062E">
              <w:rPr>
                <w:color w:val="000000"/>
                <w:sz w:val="22"/>
              </w:rPr>
              <w:t>ABE</w:t>
            </w:r>
          </w:p>
        </w:tc>
        <w:tc>
          <w:tcPr>
            <w:tcW w:w="1559" w:type="dxa"/>
          </w:tcPr>
          <w:p w14:paraId="3597A7B5" w14:textId="77777777" w:rsidR="005A28EA" w:rsidRPr="00460E3D" w:rsidRDefault="005A28EA" w:rsidP="005A28EA">
            <w:pPr>
              <w:jc w:val="left"/>
              <w:rPr>
                <w:rFonts w:ascii="Times New Roman" w:hAnsi="Times New Roman"/>
                <w:szCs w:val="24"/>
              </w:rPr>
            </w:pPr>
          </w:p>
        </w:tc>
        <w:tc>
          <w:tcPr>
            <w:tcW w:w="5245" w:type="dxa"/>
          </w:tcPr>
          <w:p w14:paraId="1609ABA4" w14:textId="77777777" w:rsidR="005A28EA" w:rsidRPr="00460E3D" w:rsidRDefault="005A28EA" w:rsidP="005A28EA">
            <w:pPr>
              <w:jc w:val="left"/>
              <w:rPr>
                <w:rFonts w:ascii="Times New Roman" w:hAnsi="Times New Roman"/>
                <w:szCs w:val="24"/>
              </w:rPr>
            </w:pPr>
          </w:p>
        </w:tc>
      </w:tr>
      <w:tr w:rsidR="00440972" w:rsidRPr="00C0062E" w14:paraId="7D16299B" w14:textId="77777777" w:rsidTr="005A28EA">
        <w:trPr>
          <w:cantSplit/>
        </w:trPr>
        <w:tc>
          <w:tcPr>
            <w:tcW w:w="6345" w:type="dxa"/>
          </w:tcPr>
          <w:p w14:paraId="052DE1F2" w14:textId="77777777" w:rsidR="00440972" w:rsidRPr="00C0062E" w:rsidRDefault="008633E7" w:rsidP="00C244B3">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w:t>
            </w:r>
            <w:r w:rsidR="00C244B3">
              <w:rPr>
                <w:sz w:val="22"/>
              </w:rPr>
              <w:t xml:space="preserve"> </w:t>
            </w:r>
            <w:r>
              <w:rPr>
                <w:sz w:val="22"/>
              </w:rPr>
              <w:t>et le test régulier</w:t>
            </w:r>
            <w:r w:rsidR="00C244B3">
              <w:rPr>
                <w:sz w:val="22"/>
              </w:rPr>
              <w:t xml:space="preserve"> des plans de réponse.</w:t>
            </w:r>
          </w:p>
        </w:tc>
        <w:tc>
          <w:tcPr>
            <w:tcW w:w="1418" w:type="dxa"/>
            <w:vAlign w:val="center"/>
          </w:tcPr>
          <w:p w14:paraId="4C41A5A1" w14:textId="77777777" w:rsidR="00440972" w:rsidRPr="00C0062E" w:rsidRDefault="00C244B3" w:rsidP="005A28EA">
            <w:pPr>
              <w:spacing w:after="200" w:line="276" w:lineRule="auto"/>
              <w:jc w:val="center"/>
              <w:rPr>
                <w:color w:val="000000"/>
                <w:sz w:val="22"/>
              </w:rPr>
            </w:pPr>
            <w:r>
              <w:rPr>
                <w:color w:val="000000"/>
                <w:sz w:val="22"/>
              </w:rPr>
              <w:t>ABE</w:t>
            </w:r>
          </w:p>
        </w:tc>
        <w:tc>
          <w:tcPr>
            <w:tcW w:w="1559" w:type="dxa"/>
          </w:tcPr>
          <w:p w14:paraId="0D7BEB7B" w14:textId="77777777" w:rsidR="00440972" w:rsidRPr="00460E3D" w:rsidRDefault="00440972" w:rsidP="005A28EA">
            <w:pPr>
              <w:jc w:val="left"/>
              <w:rPr>
                <w:szCs w:val="24"/>
              </w:rPr>
            </w:pPr>
          </w:p>
        </w:tc>
        <w:tc>
          <w:tcPr>
            <w:tcW w:w="5245" w:type="dxa"/>
          </w:tcPr>
          <w:p w14:paraId="660586ED" w14:textId="77777777" w:rsidR="00440972" w:rsidRPr="00460E3D" w:rsidRDefault="00440972" w:rsidP="005A28EA">
            <w:pPr>
              <w:jc w:val="left"/>
              <w:rPr>
                <w:szCs w:val="24"/>
              </w:rPr>
            </w:pPr>
          </w:p>
        </w:tc>
      </w:tr>
    </w:tbl>
    <w:p w14:paraId="564714A5"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p w14:paraId="7D587049" w14:textId="538E1693" w:rsidR="00983B9E" w:rsidRDefault="00E067C6">
      <w:pPr>
        <w:jc w:val="left"/>
        <w:rPr>
          <w:rFonts w:ascii="Calibri" w:eastAsia="Calibri" w:hAnsi="Calibri"/>
          <w:b/>
          <w:smallCaps/>
          <w:color w:val="1F497D"/>
          <w:sz w:val="28"/>
          <w:szCs w:val="22"/>
          <w:lang w:eastAsia="en-US"/>
        </w:rPr>
      </w:pPr>
      <w:r w:rsidRPr="00E067C6">
        <w:rPr>
          <w:rFonts w:ascii="Calibri" w:eastAsia="Calibri" w:hAnsi="Calibri"/>
          <w:b/>
          <w:smallCaps/>
          <w:color w:val="1F497D"/>
          <w:sz w:val="28"/>
          <w:szCs w:val="22"/>
          <w:lang w:eastAsia="en-US"/>
        </w:rPr>
        <w:t>IV – Rapport d’audit sur la mise en œuvre des mesures de sécurité inscrites dans les RTS (</w:t>
      </w:r>
      <w:r w:rsidRPr="00E067C6">
        <w:rPr>
          <w:rFonts w:ascii="Calibri" w:eastAsia="Calibri" w:hAnsi="Calibri"/>
          <w:b/>
          <w:i/>
          <w:smallCaps/>
          <w:color w:val="1F497D"/>
          <w:sz w:val="28"/>
          <w:szCs w:val="22"/>
          <w:lang w:eastAsia="en-US"/>
        </w:rPr>
        <w:t>regulatory technical standards</w:t>
      </w:r>
      <w:r w:rsidRPr="00E067C6">
        <w:rPr>
          <w:rFonts w:ascii="Calibri" w:eastAsia="Calibri" w:hAnsi="Calibri"/>
          <w:b/>
          <w:smallCaps/>
          <w:color w:val="1F497D"/>
          <w:sz w:val="28"/>
          <w:szCs w:val="22"/>
          <w:lang w:eastAsia="en-US"/>
        </w:rPr>
        <w:t>)</w:t>
      </w:r>
    </w:p>
    <w:p w14:paraId="18076901" w14:textId="1C9EB359" w:rsidR="00513033" w:rsidRPr="004320BA" w:rsidRDefault="004320BA" w:rsidP="00D3620E">
      <w:pPr>
        <w:rPr>
          <w:rFonts w:eastAsia="Calibri"/>
          <w:i/>
          <w:sz w:val="22"/>
          <w:szCs w:val="22"/>
          <w:lang w:eastAsia="en-US"/>
        </w:rPr>
      </w:pPr>
      <w:r>
        <w:rPr>
          <w:rFonts w:eastAsia="Calibri"/>
          <w:i/>
          <w:sz w:val="22"/>
          <w:szCs w:val="22"/>
          <w:lang w:eastAsia="en-US"/>
        </w:rPr>
        <w:t>Concernant la partie relative aux normes communes e</w:t>
      </w:r>
      <w:r w:rsidR="00513033">
        <w:rPr>
          <w:rFonts w:eastAsia="Calibri"/>
          <w:i/>
          <w:sz w:val="22"/>
          <w:szCs w:val="22"/>
          <w:lang w:eastAsia="en-US"/>
        </w:rPr>
        <w:t>t sécurisées de communication</w:t>
      </w:r>
      <w:r w:rsidR="00D3620E">
        <w:rPr>
          <w:rFonts w:eastAsia="Calibri"/>
          <w:i/>
          <w:sz w:val="22"/>
          <w:szCs w:val="22"/>
          <w:lang w:eastAsia="en-US"/>
        </w:rPr>
        <w:t>, l’établissement renseigne le questionnaire en fonction de la solution d’interface d’accès mise en place</w:t>
      </w:r>
      <w:r w:rsidR="000108D0">
        <w:rPr>
          <w:rFonts w:eastAsia="Calibri"/>
          <w:i/>
          <w:sz w:val="22"/>
          <w:szCs w:val="22"/>
          <w:lang w:eastAsia="en-US"/>
        </w:rPr>
        <w:t xml:space="preserve"> pour les PSP tiers</w:t>
      </w:r>
      <w:r w:rsidR="00D3620E">
        <w:rPr>
          <w:rFonts w:eastAsia="Calibri"/>
          <w:i/>
          <w:sz w:val="22"/>
          <w:szCs w:val="22"/>
          <w:lang w:eastAsia="en-US"/>
        </w:rPr>
        <w:t xml:space="preserve">. </w:t>
      </w:r>
    </w:p>
    <w:p w14:paraId="6440FF58" w14:textId="77777777" w:rsidR="00E067C6" w:rsidRDefault="00E067C6">
      <w:pPr>
        <w:jc w:val="left"/>
        <w:rPr>
          <w:rFonts w:eastAsia="Calibri"/>
          <w:sz w:val="22"/>
          <w:szCs w:val="22"/>
          <w:lang w:eastAsia="en-US"/>
        </w:rPr>
      </w:pPr>
    </w:p>
    <w:tbl>
      <w:tblPr>
        <w:tblStyle w:val="Grilledutableau"/>
        <w:tblW w:w="14737" w:type="dxa"/>
        <w:tblLook w:val="04A0" w:firstRow="1" w:lastRow="0" w:firstColumn="1" w:lastColumn="0" w:noHBand="0" w:noVBand="1"/>
      </w:tblPr>
      <w:tblGrid>
        <w:gridCol w:w="1595"/>
        <w:gridCol w:w="4979"/>
        <w:gridCol w:w="1465"/>
        <w:gridCol w:w="6698"/>
      </w:tblGrid>
      <w:tr w:rsidR="009C7DED" w14:paraId="15E8A182" w14:textId="77777777" w:rsidTr="00A36997">
        <w:tc>
          <w:tcPr>
            <w:tcW w:w="1595" w:type="dxa"/>
            <w:vMerge w:val="restart"/>
            <w:shd w:val="clear" w:color="auto" w:fill="D6E3BC" w:themeFill="accent3" w:themeFillTint="66"/>
          </w:tcPr>
          <w:p w14:paraId="1C9A4528" w14:textId="0CAD6F08" w:rsidR="009C7DED" w:rsidRPr="00CC1AEF" w:rsidRDefault="009C7DED" w:rsidP="009973F6">
            <w:pPr>
              <w:jc w:val="center"/>
              <w:rPr>
                <w:rFonts w:asciiTheme="minorHAnsi" w:hAnsiTheme="minorHAnsi" w:cstheme="minorHAnsi"/>
                <w:b/>
                <w:sz w:val="22"/>
              </w:rPr>
            </w:pPr>
            <w:r w:rsidRPr="00CC1AEF">
              <w:rPr>
                <w:rFonts w:asciiTheme="minorHAnsi" w:hAnsiTheme="minorHAnsi" w:cstheme="minorHAnsi"/>
                <w:b/>
                <w:sz w:val="22"/>
              </w:rPr>
              <w:t>Réf. Article</w:t>
            </w:r>
            <w:r w:rsidR="00C83C84">
              <w:rPr>
                <w:rFonts w:asciiTheme="minorHAnsi" w:hAnsiTheme="minorHAnsi" w:cstheme="minorHAnsi"/>
                <w:b/>
                <w:sz w:val="22"/>
              </w:rPr>
              <w:t>s</w:t>
            </w:r>
            <w:r w:rsidRPr="00CC1AEF">
              <w:rPr>
                <w:rFonts w:asciiTheme="minorHAnsi" w:hAnsiTheme="minorHAnsi" w:cstheme="minorHAnsi"/>
                <w:b/>
                <w:sz w:val="22"/>
              </w:rPr>
              <w:t xml:space="preserve"> Règlement (UE) 2018/389</w:t>
            </w:r>
          </w:p>
        </w:tc>
        <w:tc>
          <w:tcPr>
            <w:tcW w:w="4979" w:type="dxa"/>
            <w:vMerge w:val="restart"/>
            <w:shd w:val="clear" w:color="auto" w:fill="D6E3BC" w:themeFill="accent3" w:themeFillTint="66"/>
          </w:tcPr>
          <w:p w14:paraId="655BBEE2" w14:textId="05B18EB7" w:rsidR="009C7DED" w:rsidRPr="00CC1AEF" w:rsidRDefault="00633360" w:rsidP="009973F6">
            <w:pPr>
              <w:jc w:val="center"/>
              <w:rPr>
                <w:rFonts w:asciiTheme="minorHAnsi" w:hAnsiTheme="minorHAnsi" w:cstheme="minorHAnsi"/>
                <w:b/>
                <w:sz w:val="22"/>
              </w:rPr>
            </w:pPr>
            <w:r w:rsidRPr="00CC1AEF">
              <w:rPr>
                <w:rFonts w:asciiTheme="minorHAnsi" w:hAnsiTheme="minorHAnsi" w:cstheme="minorHAnsi"/>
                <w:b/>
                <w:sz w:val="22"/>
              </w:rPr>
              <w:t>Questions posées au PSP</w:t>
            </w:r>
          </w:p>
        </w:tc>
        <w:tc>
          <w:tcPr>
            <w:tcW w:w="8163" w:type="dxa"/>
            <w:gridSpan w:val="2"/>
            <w:shd w:val="clear" w:color="auto" w:fill="D6E3BC" w:themeFill="accent3" w:themeFillTint="66"/>
          </w:tcPr>
          <w:p w14:paraId="01366376" w14:textId="721D653E" w:rsidR="009C7DED" w:rsidRPr="00CC1AEF" w:rsidRDefault="00934DD8" w:rsidP="009C7DED">
            <w:pPr>
              <w:jc w:val="center"/>
              <w:rPr>
                <w:rFonts w:asciiTheme="minorHAnsi" w:eastAsia="Calibri" w:hAnsiTheme="minorHAnsi" w:cstheme="minorHAnsi"/>
                <w:b/>
                <w:sz w:val="22"/>
                <w:szCs w:val="22"/>
                <w:lang w:eastAsia="en-US"/>
              </w:rPr>
            </w:pPr>
            <w:r w:rsidRPr="00CC1AEF">
              <w:rPr>
                <w:rFonts w:asciiTheme="minorHAnsi" w:hAnsiTheme="minorHAnsi" w:cstheme="minorHAnsi"/>
                <w:b/>
                <w:sz w:val="22"/>
              </w:rPr>
              <w:t xml:space="preserve">Évaluation de la conformité </w:t>
            </w:r>
          </w:p>
        </w:tc>
      </w:tr>
      <w:tr w:rsidR="009C7DED" w14:paraId="68EA16ED" w14:textId="77777777" w:rsidTr="00A36997">
        <w:tc>
          <w:tcPr>
            <w:tcW w:w="1595" w:type="dxa"/>
            <w:vMerge/>
            <w:shd w:val="clear" w:color="auto" w:fill="D6E3BC" w:themeFill="accent3" w:themeFillTint="66"/>
          </w:tcPr>
          <w:p w14:paraId="105E80FE" w14:textId="77777777" w:rsidR="009C7DED" w:rsidRPr="00CC1AEF" w:rsidRDefault="009C7DED" w:rsidP="009973F6">
            <w:pPr>
              <w:jc w:val="center"/>
              <w:rPr>
                <w:rFonts w:asciiTheme="minorHAnsi" w:hAnsiTheme="minorHAnsi" w:cstheme="minorHAnsi"/>
                <w:b/>
                <w:sz w:val="22"/>
              </w:rPr>
            </w:pPr>
          </w:p>
        </w:tc>
        <w:tc>
          <w:tcPr>
            <w:tcW w:w="4979" w:type="dxa"/>
            <w:vMerge/>
            <w:shd w:val="clear" w:color="auto" w:fill="D6E3BC" w:themeFill="accent3" w:themeFillTint="66"/>
          </w:tcPr>
          <w:p w14:paraId="14873943" w14:textId="77777777" w:rsidR="009C7DED" w:rsidRPr="00CC1AEF" w:rsidRDefault="009C7DED" w:rsidP="009973F6">
            <w:pPr>
              <w:jc w:val="center"/>
              <w:rPr>
                <w:rFonts w:asciiTheme="minorHAnsi" w:hAnsiTheme="minorHAnsi" w:cstheme="minorHAnsi"/>
                <w:b/>
                <w:sz w:val="22"/>
              </w:rPr>
            </w:pPr>
          </w:p>
        </w:tc>
        <w:tc>
          <w:tcPr>
            <w:tcW w:w="1465" w:type="dxa"/>
            <w:shd w:val="clear" w:color="auto" w:fill="D6E3BC" w:themeFill="accent3" w:themeFillTint="66"/>
          </w:tcPr>
          <w:p w14:paraId="22AC8088" w14:textId="5302CC69" w:rsidR="009C7DED" w:rsidRPr="00CC1AEF" w:rsidRDefault="009C7DED" w:rsidP="009C7DED">
            <w:pPr>
              <w:jc w:val="center"/>
              <w:rPr>
                <w:rFonts w:asciiTheme="minorHAnsi" w:hAnsiTheme="minorHAnsi" w:cstheme="minorHAnsi"/>
                <w:b/>
                <w:sz w:val="22"/>
              </w:rPr>
            </w:pPr>
            <w:r w:rsidRPr="00CC1AEF">
              <w:rPr>
                <w:rFonts w:asciiTheme="minorHAnsi" w:eastAsia="Calibri" w:hAnsiTheme="minorHAnsi" w:cstheme="minorHAnsi"/>
                <w:b/>
                <w:sz w:val="22"/>
                <w:szCs w:val="22"/>
                <w:lang w:eastAsia="en-US"/>
              </w:rPr>
              <w:t>oui / partielle</w:t>
            </w:r>
            <w:r w:rsidR="00633360" w:rsidRPr="00CC1AEF">
              <w:rPr>
                <w:rFonts w:asciiTheme="minorHAnsi" w:eastAsia="Calibri" w:hAnsiTheme="minorHAnsi" w:cstheme="minorHAnsi"/>
                <w:b/>
                <w:sz w:val="22"/>
                <w:szCs w:val="22"/>
                <w:lang w:eastAsia="en-US"/>
              </w:rPr>
              <w:t>ment</w:t>
            </w:r>
            <w:r w:rsidRPr="00CC1AEF">
              <w:rPr>
                <w:rFonts w:asciiTheme="minorHAnsi" w:eastAsia="Calibri" w:hAnsiTheme="minorHAnsi" w:cstheme="minorHAnsi"/>
                <w:b/>
                <w:sz w:val="22"/>
                <w:szCs w:val="22"/>
                <w:lang w:eastAsia="en-US"/>
              </w:rPr>
              <w:t xml:space="preserve"> / non/NC)</w:t>
            </w:r>
          </w:p>
        </w:tc>
        <w:tc>
          <w:tcPr>
            <w:tcW w:w="6698" w:type="dxa"/>
            <w:shd w:val="clear" w:color="auto" w:fill="D6E3BC" w:themeFill="accent3" w:themeFillTint="66"/>
          </w:tcPr>
          <w:p w14:paraId="4ECB95EE" w14:textId="40046F48" w:rsidR="009C7DED" w:rsidRPr="00CC1AEF" w:rsidRDefault="00713EF7" w:rsidP="00683723">
            <w:pPr>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 xml:space="preserve">Pour chacune des mesures de sécurité, </w:t>
            </w:r>
            <w:r w:rsidR="006D576A" w:rsidRPr="00CC1AEF">
              <w:rPr>
                <w:rFonts w:asciiTheme="minorHAnsi" w:eastAsia="Calibri" w:hAnsiTheme="minorHAnsi" w:cstheme="minorHAnsi"/>
                <w:b/>
                <w:sz w:val="22"/>
                <w:szCs w:val="22"/>
                <w:lang w:eastAsia="en-US"/>
              </w:rPr>
              <w:t xml:space="preserve">préciser les modalités de mise en œuvre. En cas de non-conformité ou conformité partielle, </w:t>
            </w:r>
            <w:r w:rsidR="00D8780D">
              <w:rPr>
                <w:rFonts w:asciiTheme="minorHAnsi" w:eastAsia="Calibri" w:hAnsiTheme="minorHAnsi" w:cstheme="minorHAnsi"/>
                <w:b/>
                <w:sz w:val="22"/>
                <w:szCs w:val="22"/>
                <w:lang w:eastAsia="en-US"/>
              </w:rPr>
              <w:t>présenter</w:t>
            </w:r>
            <w:r w:rsidR="006D576A" w:rsidRPr="00CC1AEF">
              <w:rPr>
                <w:rFonts w:asciiTheme="minorHAnsi" w:eastAsia="Calibri" w:hAnsiTheme="minorHAnsi" w:cstheme="minorHAnsi"/>
                <w:b/>
                <w:sz w:val="22"/>
                <w:szCs w:val="22"/>
                <w:lang w:eastAsia="en-US"/>
              </w:rPr>
              <w:t xml:space="preserve"> le plan d’action prévu</w:t>
            </w:r>
            <w:r w:rsidR="00943C86">
              <w:rPr>
                <w:rFonts w:asciiTheme="minorHAnsi" w:eastAsia="Calibri" w:hAnsiTheme="minorHAnsi" w:cstheme="minorHAnsi"/>
                <w:b/>
                <w:sz w:val="22"/>
                <w:szCs w:val="22"/>
                <w:lang w:eastAsia="en-US"/>
              </w:rPr>
              <w:t xml:space="preserve"> avec les échéances de mise en </w:t>
            </w:r>
            <w:r w:rsidR="00D8780D">
              <w:rPr>
                <w:rFonts w:asciiTheme="minorHAnsi" w:eastAsia="Calibri" w:hAnsiTheme="minorHAnsi" w:cstheme="minorHAnsi"/>
                <w:b/>
                <w:sz w:val="22"/>
                <w:szCs w:val="22"/>
                <w:lang w:eastAsia="en-US"/>
              </w:rPr>
              <w:t>œuvre</w:t>
            </w:r>
            <w:r w:rsidR="000F1568">
              <w:rPr>
                <w:rFonts w:asciiTheme="minorHAnsi" w:eastAsia="Calibri" w:hAnsiTheme="minorHAnsi" w:cstheme="minorHAnsi"/>
                <w:b/>
                <w:sz w:val="22"/>
                <w:szCs w:val="22"/>
                <w:lang w:eastAsia="en-US"/>
              </w:rPr>
              <w:t>. Si le PSP n’est pas concerné (NC) par la mesure de sécurité, le justifier</w:t>
            </w:r>
          </w:p>
        </w:tc>
      </w:tr>
      <w:tr w:rsidR="00DE44F8" w:rsidRPr="00CC1AEF" w14:paraId="5D18FF2B" w14:textId="77777777" w:rsidTr="00A36997">
        <w:tc>
          <w:tcPr>
            <w:tcW w:w="14737" w:type="dxa"/>
            <w:gridSpan w:val="4"/>
            <w:shd w:val="clear" w:color="auto" w:fill="8DB3E2" w:themeFill="text2" w:themeFillTint="66"/>
          </w:tcPr>
          <w:p w14:paraId="45FB848D" w14:textId="12D42871" w:rsidR="00DE44F8" w:rsidRPr="00CC1AEF" w:rsidRDefault="00DE44F8">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Mesures de sécurité pour l’application de la procédure d’authentification forte du client</w:t>
            </w:r>
          </w:p>
        </w:tc>
      </w:tr>
      <w:tr w:rsidR="00DE44F8" w:rsidRPr="00CC1AEF" w14:paraId="0ADFD53F" w14:textId="77777777" w:rsidTr="006B6ABB">
        <w:tc>
          <w:tcPr>
            <w:tcW w:w="14737" w:type="dxa"/>
            <w:gridSpan w:val="4"/>
            <w:shd w:val="clear" w:color="auto" w:fill="FBD4B4" w:themeFill="accent6" w:themeFillTint="66"/>
          </w:tcPr>
          <w:p w14:paraId="107C47EC" w14:textId="5BD73B29" w:rsidR="00DE44F8" w:rsidRPr="00CC1AEF" w:rsidRDefault="00DE44F8">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Code d’authentification</w:t>
            </w:r>
          </w:p>
        </w:tc>
      </w:tr>
      <w:tr w:rsidR="00683E60" w:rsidRPr="00D46CE0" w14:paraId="752AEFF4" w14:textId="77777777" w:rsidTr="00683E60">
        <w:tc>
          <w:tcPr>
            <w:tcW w:w="1595" w:type="dxa"/>
            <w:vMerge w:val="restart"/>
          </w:tcPr>
          <w:p w14:paraId="723E92A0" w14:textId="75695D15" w:rsidR="00683E60" w:rsidRPr="00CC1AEF" w:rsidRDefault="00683E60" w:rsidP="009973F6">
            <w:pPr>
              <w:jc w:val="center"/>
              <w:rPr>
                <w:rFonts w:asciiTheme="minorHAnsi" w:hAnsiTheme="minorHAnsi" w:cstheme="minorHAnsi"/>
                <w:b/>
                <w:sz w:val="22"/>
                <w:szCs w:val="22"/>
              </w:rPr>
            </w:pPr>
            <w:r w:rsidRPr="00CC1AEF">
              <w:rPr>
                <w:rFonts w:asciiTheme="minorHAnsi" w:hAnsiTheme="minorHAnsi" w:cstheme="minorHAnsi"/>
                <w:b/>
                <w:sz w:val="22"/>
                <w:szCs w:val="22"/>
              </w:rPr>
              <w:t>4</w:t>
            </w:r>
          </w:p>
        </w:tc>
        <w:tc>
          <w:tcPr>
            <w:tcW w:w="4979" w:type="dxa"/>
          </w:tcPr>
          <w:p w14:paraId="658BFCC2" w14:textId="11282C17" w:rsidR="00683E60" w:rsidRPr="00A46A69" w:rsidRDefault="00683E60" w:rsidP="009C7DED">
            <w:pPr>
              <w:rPr>
                <w:rFonts w:asciiTheme="minorHAnsi" w:hAnsiTheme="minorHAnsi" w:cstheme="minorHAnsi"/>
                <w:sz w:val="16"/>
                <w:szCs w:val="16"/>
              </w:rPr>
            </w:pPr>
            <w:r w:rsidRPr="00CC1AEF">
              <w:rPr>
                <w:rFonts w:asciiTheme="minorHAnsi" w:hAnsiTheme="minorHAnsi" w:cstheme="minorHAnsi"/>
                <w:sz w:val="22"/>
                <w:szCs w:val="22"/>
              </w:rPr>
              <w:t>Lorsque le PSP applique la procédure d'authentification forte du client</w:t>
            </w:r>
            <w:r w:rsidR="00D731E1" w:rsidRPr="00CC1AEF">
              <w:rPr>
                <w:rFonts w:asciiTheme="minorHAnsi" w:hAnsiTheme="minorHAnsi" w:cstheme="minorHAnsi"/>
                <w:sz w:val="22"/>
                <w:szCs w:val="22"/>
              </w:rPr>
              <w:t>,</w:t>
            </w:r>
            <w:r w:rsidRPr="00CC1AEF">
              <w:rPr>
                <w:rFonts w:asciiTheme="minorHAnsi" w:hAnsiTheme="minorHAnsi" w:cstheme="minorHAnsi"/>
                <w:sz w:val="22"/>
                <w:szCs w:val="22"/>
              </w:rPr>
              <w:t xml:space="preserve"> celle-ci est-elle </w:t>
            </w:r>
            <w:r w:rsidR="00D731E1" w:rsidRPr="00CC1AEF">
              <w:rPr>
                <w:rFonts w:asciiTheme="minorHAnsi" w:hAnsiTheme="minorHAnsi" w:cstheme="minorHAnsi"/>
                <w:sz w:val="22"/>
                <w:szCs w:val="22"/>
              </w:rPr>
              <w:t xml:space="preserve">bien </w:t>
            </w:r>
            <w:r w:rsidRPr="00CC1AEF">
              <w:rPr>
                <w:rFonts w:asciiTheme="minorHAnsi" w:hAnsiTheme="minorHAnsi" w:cstheme="minorHAnsi"/>
                <w:sz w:val="22"/>
                <w:szCs w:val="22"/>
              </w:rPr>
              <w:t>fondée sur deux ou plusieurs éléments appartenant aux catégories « connaissance», «possession» et «inhérence», et donne-t-elle lieu à la génération d'un code d'authentification ?</w:t>
            </w:r>
          </w:p>
        </w:tc>
        <w:tc>
          <w:tcPr>
            <w:tcW w:w="1465" w:type="dxa"/>
          </w:tcPr>
          <w:p w14:paraId="466C8966" w14:textId="77777777" w:rsidR="00683E60" w:rsidRPr="00D46CE0" w:rsidRDefault="00683E60" w:rsidP="009973F6">
            <w:pPr>
              <w:jc w:val="center"/>
              <w:rPr>
                <w:b/>
                <w:sz w:val="22"/>
                <w:szCs w:val="22"/>
              </w:rPr>
            </w:pPr>
          </w:p>
        </w:tc>
        <w:tc>
          <w:tcPr>
            <w:tcW w:w="6698" w:type="dxa"/>
          </w:tcPr>
          <w:p w14:paraId="4CDFEF9C" w14:textId="77777777" w:rsidR="00683E60" w:rsidRPr="00D46CE0" w:rsidRDefault="00683E60">
            <w:pPr>
              <w:jc w:val="left"/>
              <w:rPr>
                <w:rFonts w:ascii="Calibri" w:eastAsia="Calibri" w:hAnsi="Calibri"/>
                <w:b/>
                <w:sz w:val="22"/>
                <w:szCs w:val="22"/>
                <w:lang w:eastAsia="en-US"/>
              </w:rPr>
            </w:pPr>
          </w:p>
        </w:tc>
      </w:tr>
      <w:tr w:rsidR="00683E60" w:rsidRPr="00D46CE0" w14:paraId="10D40BFE" w14:textId="77777777" w:rsidTr="00683E60">
        <w:tc>
          <w:tcPr>
            <w:tcW w:w="1595" w:type="dxa"/>
            <w:vMerge/>
          </w:tcPr>
          <w:p w14:paraId="53C4C303" w14:textId="77777777" w:rsidR="00683E60" w:rsidRPr="00CC1AEF" w:rsidRDefault="00683E60" w:rsidP="009973F6">
            <w:pPr>
              <w:jc w:val="center"/>
              <w:rPr>
                <w:rFonts w:asciiTheme="minorHAnsi" w:hAnsiTheme="minorHAnsi" w:cstheme="minorHAnsi"/>
                <w:b/>
                <w:sz w:val="22"/>
                <w:szCs w:val="22"/>
              </w:rPr>
            </w:pPr>
          </w:p>
        </w:tc>
        <w:tc>
          <w:tcPr>
            <w:tcW w:w="4979" w:type="dxa"/>
          </w:tcPr>
          <w:p w14:paraId="662DCAD7" w14:textId="293ED24A" w:rsidR="00683E60" w:rsidRPr="00CC1AEF" w:rsidRDefault="00683E60" w:rsidP="00992823">
            <w:pPr>
              <w:rPr>
                <w:rFonts w:asciiTheme="minorHAnsi" w:hAnsiTheme="minorHAnsi" w:cstheme="minorHAnsi"/>
                <w:sz w:val="22"/>
                <w:szCs w:val="22"/>
              </w:rPr>
            </w:pPr>
            <w:r w:rsidRPr="00CC1AEF">
              <w:rPr>
                <w:rFonts w:asciiTheme="minorHAnsi" w:hAnsiTheme="minorHAnsi" w:cstheme="minorHAnsi"/>
                <w:sz w:val="22"/>
                <w:szCs w:val="22"/>
              </w:rPr>
              <w:t>Le code d'authentification est bien accepté qu'une seule fois par le PSP lorsque le payeur utilise ce code </w:t>
            </w:r>
            <w:r w:rsidR="00692F38" w:rsidRPr="00CC1AEF">
              <w:rPr>
                <w:rFonts w:asciiTheme="minorHAnsi" w:hAnsiTheme="minorHAnsi" w:cstheme="minorHAnsi"/>
                <w:sz w:val="22"/>
                <w:szCs w:val="22"/>
              </w:rPr>
              <w:t>dans les situations listées ci-après ?</w:t>
            </w:r>
          </w:p>
          <w:p w14:paraId="7604657E" w14:textId="71650BEC" w:rsidR="00683E60" w:rsidRPr="00CC1AEF" w:rsidRDefault="00683E60" w:rsidP="00D26F95">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pour accéder à s</w:t>
            </w:r>
            <w:r w:rsidR="00692F38" w:rsidRPr="00CC1AEF">
              <w:rPr>
                <w:rFonts w:asciiTheme="minorHAnsi" w:hAnsiTheme="minorHAnsi" w:cstheme="minorHAnsi"/>
                <w:szCs w:val="22"/>
              </w:rPr>
              <w:t>on compte de paiement en ligne ;</w:t>
            </w:r>
          </w:p>
          <w:p w14:paraId="235E7C77" w14:textId="1D86DB42" w:rsidR="00683E60" w:rsidRPr="00CC1AEF" w:rsidRDefault="00683E60" w:rsidP="00D26F95">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pour initier une opér</w:t>
            </w:r>
            <w:r w:rsidR="00692F38" w:rsidRPr="00CC1AEF">
              <w:rPr>
                <w:rFonts w:asciiTheme="minorHAnsi" w:hAnsiTheme="minorHAnsi" w:cstheme="minorHAnsi"/>
                <w:szCs w:val="22"/>
              </w:rPr>
              <w:t>ation de paiement électronique ;</w:t>
            </w:r>
          </w:p>
          <w:p w14:paraId="3E7A2E7F" w14:textId="4D3034CA" w:rsidR="00683E60" w:rsidRPr="00A85C3C" w:rsidRDefault="00683E60" w:rsidP="00A85C3C">
            <w:pPr>
              <w:pStyle w:val="Paragraphedeliste"/>
              <w:numPr>
                <w:ilvl w:val="0"/>
                <w:numId w:val="118"/>
              </w:numPr>
              <w:rPr>
                <w:rFonts w:asciiTheme="minorHAnsi" w:hAnsiTheme="minorHAnsi" w:cstheme="minorHAnsi"/>
                <w:sz w:val="16"/>
                <w:szCs w:val="16"/>
              </w:rPr>
            </w:pPr>
            <w:r w:rsidRPr="00CC1AEF">
              <w:rPr>
                <w:rFonts w:asciiTheme="minorHAnsi" w:hAnsiTheme="minorHAnsi" w:cstheme="minorHAnsi"/>
                <w:szCs w:val="22"/>
              </w:rPr>
              <w:t>pour exécuter une action, grâce à un moyen de communication à distance, susceptible de comporter un risque de fraude en matière de paiement ou de t</w:t>
            </w:r>
            <w:r w:rsidR="00237305">
              <w:rPr>
                <w:rFonts w:asciiTheme="minorHAnsi" w:hAnsiTheme="minorHAnsi" w:cstheme="minorHAnsi"/>
                <w:szCs w:val="22"/>
              </w:rPr>
              <w:t>oute autre utilisation abusive.</w:t>
            </w:r>
          </w:p>
        </w:tc>
        <w:tc>
          <w:tcPr>
            <w:tcW w:w="1465" w:type="dxa"/>
          </w:tcPr>
          <w:p w14:paraId="705680E5" w14:textId="77777777" w:rsidR="00683E60" w:rsidRPr="00D46CE0" w:rsidRDefault="00683E60" w:rsidP="009973F6">
            <w:pPr>
              <w:jc w:val="center"/>
              <w:rPr>
                <w:b/>
                <w:sz w:val="22"/>
                <w:szCs w:val="22"/>
              </w:rPr>
            </w:pPr>
          </w:p>
        </w:tc>
        <w:tc>
          <w:tcPr>
            <w:tcW w:w="6698" w:type="dxa"/>
          </w:tcPr>
          <w:p w14:paraId="419BCB53" w14:textId="77777777" w:rsidR="00683E60" w:rsidRPr="00D46CE0" w:rsidRDefault="00683E60">
            <w:pPr>
              <w:jc w:val="left"/>
              <w:rPr>
                <w:rFonts w:ascii="Calibri" w:eastAsia="Calibri" w:hAnsi="Calibri"/>
                <w:b/>
                <w:sz w:val="22"/>
                <w:szCs w:val="22"/>
                <w:lang w:eastAsia="en-US"/>
              </w:rPr>
            </w:pPr>
          </w:p>
        </w:tc>
      </w:tr>
      <w:tr w:rsidR="00683E60" w:rsidRPr="00CC1AEF" w14:paraId="383F606C" w14:textId="77777777" w:rsidTr="00683E60">
        <w:tc>
          <w:tcPr>
            <w:tcW w:w="1595" w:type="dxa"/>
            <w:vMerge/>
          </w:tcPr>
          <w:p w14:paraId="6498DB4A" w14:textId="77777777" w:rsidR="00683E60" w:rsidRPr="00CC1AEF" w:rsidRDefault="00683E60" w:rsidP="009973F6">
            <w:pPr>
              <w:jc w:val="center"/>
              <w:rPr>
                <w:rFonts w:asciiTheme="minorHAnsi" w:hAnsiTheme="minorHAnsi" w:cstheme="minorHAnsi"/>
                <w:b/>
                <w:sz w:val="22"/>
                <w:szCs w:val="22"/>
              </w:rPr>
            </w:pPr>
          </w:p>
        </w:tc>
        <w:tc>
          <w:tcPr>
            <w:tcW w:w="4979" w:type="dxa"/>
          </w:tcPr>
          <w:p w14:paraId="1356E701" w14:textId="3B641A40" w:rsidR="00683E60" w:rsidRPr="00CC1AEF" w:rsidRDefault="00683E60" w:rsidP="00FF7C35">
            <w:pPr>
              <w:rPr>
                <w:rFonts w:asciiTheme="minorHAnsi" w:hAnsiTheme="minorHAnsi" w:cstheme="minorHAnsi"/>
                <w:sz w:val="22"/>
                <w:szCs w:val="22"/>
              </w:rPr>
            </w:pPr>
            <w:r w:rsidRPr="00CC1AEF">
              <w:rPr>
                <w:rFonts w:asciiTheme="minorHAnsi" w:hAnsiTheme="minorHAnsi" w:cstheme="minorHAnsi"/>
                <w:sz w:val="22"/>
                <w:szCs w:val="22"/>
              </w:rPr>
              <w:t xml:space="preserve">Le PSP prévoit-t-il des mesures de sécurité garantissant le respect de chacune des exigences listées ci-après ? </w:t>
            </w:r>
          </w:p>
          <w:p w14:paraId="6551C198" w14:textId="7B7EBFDF" w:rsidR="00683E60" w:rsidRPr="00CC1AEF" w:rsidRDefault="00683E60" w:rsidP="00D26F95">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aucune information sur l'un des éléments appartenant aux catégories « connaissance », « possession » et « inhérence » ne peut être déduite de la divulgation du code d'authentification ;</w:t>
            </w:r>
          </w:p>
          <w:p w14:paraId="51E21057" w14:textId="20354128" w:rsidR="00683E60" w:rsidRPr="00CC1AEF" w:rsidRDefault="00683E60" w:rsidP="00D26F95">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il n’est pas possible de générer un nouveau code d’authentification en se basant sur un autre code d’authentification généré au préalable ;</w:t>
            </w:r>
          </w:p>
          <w:p w14:paraId="356123E7" w14:textId="42F5FA06" w:rsidR="00E71DDB" w:rsidRPr="00CC1AEF" w:rsidRDefault="00683E60" w:rsidP="005C786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 code d’authentification ne peut pas être falsifié.</w:t>
            </w:r>
          </w:p>
          <w:p w14:paraId="5721886A" w14:textId="75BF320E" w:rsidR="00683E60" w:rsidRPr="00295EB6" w:rsidRDefault="00683E60" w:rsidP="00F355FF">
            <w:pPr>
              <w:rPr>
                <w:sz w:val="16"/>
                <w:szCs w:val="16"/>
              </w:rPr>
            </w:pPr>
          </w:p>
        </w:tc>
        <w:tc>
          <w:tcPr>
            <w:tcW w:w="1465" w:type="dxa"/>
          </w:tcPr>
          <w:p w14:paraId="3C7B1EE1" w14:textId="77777777" w:rsidR="00683E60" w:rsidRPr="00CC1AEF" w:rsidRDefault="00683E60" w:rsidP="009973F6">
            <w:pPr>
              <w:jc w:val="center"/>
              <w:rPr>
                <w:rFonts w:asciiTheme="minorHAnsi" w:hAnsiTheme="minorHAnsi" w:cstheme="minorHAnsi"/>
                <w:b/>
                <w:sz w:val="22"/>
                <w:szCs w:val="22"/>
              </w:rPr>
            </w:pPr>
          </w:p>
        </w:tc>
        <w:tc>
          <w:tcPr>
            <w:tcW w:w="6698" w:type="dxa"/>
          </w:tcPr>
          <w:p w14:paraId="5A5C6572"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0EDDE265" w14:textId="77777777" w:rsidTr="00683E60">
        <w:tc>
          <w:tcPr>
            <w:tcW w:w="1595" w:type="dxa"/>
            <w:vMerge/>
          </w:tcPr>
          <w:p w14:paraId="73434201" w14:textId="77777777" w:rsidR="00683E60" w:rsidRPr="00CC1AEF" w:rsidRDefault="00683E60" w:rsidP="009973F6">
            <w:pPr>
              <w:jc w:val="center"/>
              <w:rPr>
                <w:rFonts w:asciiTheme="minorHAnsi" w:hAnsiTheme="minorHAnsi" w:cstheme="minorHAnsi"/>
                <w:b/>
                <w:sz w:val="22"/>
                <w:szCs w:val="22"/>
              </w:rPr>
            </w:pPr>
          </w:p>
        </w:tc>
        <w:tc>
          <w:tcPr>
            <w:tcW w:w="4979" w:type="dxa"/>
          </w:tcPr>
          <w:p w14:paraId="35B97D24" w14:textId="04F4A3C3" w:rsidR="00683E60" w:rsidRPr="00CC1AEF" w:rsidRDefault="00683E60" w:rsidP="00FF7C35">
            <w:pPr>
              <w:rPr>
                <w:rFonts w:asciiTheme="minorHAnsi" w:hAnsiTheme="minorHAnsi" w:cstheme="minorHAnsi"/>
                <w:sz w:val="22"/>
                <w:szCs w:val="22"/>
              </w:rPr>
            </w:pPr>
            <w:r w:rsidRPr="00CC1AEF">
              <w:rPr>
                <w:rFonts w:asciiTheme="minorHAnsi" w:hAnsiTheme="minorHAnsi" w:cstheme="minorHAnsi"/>
                <w:sz w:val="22"/>
                <w:szCs w:val="22"/>
              </w:rPr>
              <w:t>Le PSP veill</w:t>
            </w:r>
            <w:r w:rsidR="006F0521" w:rsidRPr="00CC1AEF">
              <w:rPr>
                <w:rFonts w:asciiTheme="minorHAnsi" w:hAnsiTheme="minorHAnsi" w:cstheme="minorHAnsi"/>
                <w:sz w:val="22"/>
                <w:szCs w:val="22"/>
              </w:rPr>
              <w:t>e-t-il</w:t>
            </w:r>
            <w:r w:rsidRPr="00CC1AEF">
              <w:rPr>
                <w:rFonts w:asciiTheme="minorHAnsi" w:hAnsiTheme="minorHAnsi" w:cstheme="minorHAnsi"/>
                <w:sz w:val="22"/>
                <w:szCs w:val="22"/>
              </w:rPr>
              <w:t xml:space="preserve"> à ce que l'authentification au moyen de la génération d'un code d'authentification intègre chacune des mesures listées ci-après ? </w:t>
            </w:r>
          </w:p>
          <w:p w14:paraId="43B6D63C" w14:textId="6B407C9A" w:rsidR="00683E60" w:rsidRPr="00CC1AEF" w:rsidRDefault="00683E60" w:rsidP="00D731E1">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lorsque l'authentification pour accès à distance, paiements électroniques à distance et toute autre action grâce à un moyen de communication à distance susceptible de comporter un risque de fraude en matière de paiement ou de toute autre utilisation abusive n'a pas généré de code d'authentification, il n'est pas possible de déterminer lequel des éléments (connaissance, possession et inhérence) était incorrect ;</w:t>
            </w:r>
          </w:p>
          <w:p w14:paraId="3D359509" w14:textId="28E5AE7B" w:rsidR="00683E60" w:rsidRPr="00CC1AEF" w:rsidRDefault="00683E60" w:rsidP="00CB654E">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le nombre de tentatives d'authentification infructueuses consécutives au bout duquel les actions prévues à l'article 97, paragraphe 1, de la directive (UE) 2015/2366 sont bloquées à titre temporaire ou permanent ne dépasse pas cinq au cours d'une période donnée ;</w:t>
            </w:r>
          </w:p>
          <w:p w14:paraId="5DD38036" w14:textId="539A1299" w:rsidR="00683E60" w:rsidRPr="00CC1AEF" w:rsidRDefault="00683E60" w:rsidP="00CB654E">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 xml:space="preserve">les sessions de communication sont protégées contre l'interception des données d'authentification communiquées durant l'authentification et contre la manipulation par des tiers non autorisés ; </w:t>
            </w:r>
          </w:p>
          <w:p w14:paraId="76480DAE" w14:textId="5C1B0473" w:rsidR="00683E60" w:rsidRPr="00A85C3C" w:rsidRDefault="00683E60" w:rsidP="00A85C3C">
            <w:pPr>
              <w:pStyle w:val="Paragraphedeliste"/>
              <w:numPr>
                <w:ilvl w:val="0"/>
                <w:numId w:val="118"/>
              </w:numPr>
              <w:rPr>
                <w:rFonts w:asciiTheme="minorHAnsi" w:hAnsiTheme="minorHAnsi" w:cstheme="minorHAnsi"/>
                <w:b/>
                <w:sz w:val="16"/>
                <w:szCs w:val="16"/>
              </w:rPr>
            </w:pPr>
            <w:r w:rsidRPr="00CC1AEF">
              <w:rPr>
                <w:rFonts w:asciiTheme="minorHAnsi" w:hAnsiTheme="minorHAnsi" w:cstheme="minorHAnsi"/>
                <w:szCs w:val="22"/>
              </w:rPr>
              <w:t>le délai maximal d'inactivité du payeur, une fois que celui-ci s'est authentifié pour accéder à son compte de paiement en ligne, ne dépasse pas cinq minutes.</w:t>
            </w:r>
          </w:p>
        </w:tc>
        <w:tc>
          <w:tcPr>
            <w:tcW w:w="1465" w:type="dxa"/>
          </w:tcPr>
          <w:p w14:paraId="4541CD03" w14:textId="77777777" w:rsidR="00683E60" w:rsidRPr="00CC1AEF" w:rsidRDefault="00683E60" w:rsidP="009973F6">
            <w:pPr>
              <w:jc w:val="center"/>
              <w:rPr>
                <w:rFonts w:asciiTheme="minorHAnsi" w:hAnsiTheme="minorHAnsi" w:cstheme="minorHAnsi"/>
                <w:b/>
                <w:sz w:val="22"/>
                <w:szCs w:val="22"/>
              </w:rPr>
            </w:pPr>
          </w:p>
        </w:tc>
        <w:tc>
          <w:tcPr>
            <w:tcW w:w="6698" w:type="dxa"/>
          </w:tcPr>
          <w:p w14:paraId="0862CF39"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407B0ED3" w14:textId="77777777" w:rsidTr="00683E60">
        <w:tc>
          <w:tcPr>
            <w:tcW w:w="1595" w:type="dxa"/>
            <w:vMerge/>
          </w:tcPr>
          <w:p w14:paraId="7142F9C1" w14:textId="77777777" w:rsidR="00683E60" w:rsidRPr="00CC1AEF" w:rsidRDefault="00683E60" w:rsidP="009973F6">
            <w:pPr>
              <w:jc w:val="center"/>
              <w:rPr>
                <w:rFonts w:asciiTheme="minorHAnsi" w:hAnsiTheme="minorHAnsi" w:cstheme="minorHAnsi"/>
                <w:b/>
                <w:sz w:val="22"/>
                <w:szCs w:val="22"/>
              </w:rPr>
            </w:pPr>
          </w:p>
        </w:tc>
        <w:tc>
          <w:tcPr>
            <w:tcW w:w="4979" w:type="dxa"/>
          </w:tcPr>
          <w:p w14:paraId="09552942" w14:textId="7DF5BACC" w:rsidR="00683E60" w:rsidRPr="00CC1AEF" w:rsidRDefault="00683E60" w:rsidP="00C81104">
            <w:pPr>
              <w:rPr>
                <w:rFonts w:asciiTheme="minorHAnsi" w:hAnsiTheme="minorHAnsi" w:cstheme="minorHAnsi"/>
                <w:sz w:val="22"/>
                <w:szCs w:val="22"/>
              </w:rPr>
            </w:pPr>
            <w:r w:rsidRPr="00CC1AEF">
              <w:rPr>
                <w:rFonts w:asciiTheme="minorHAnsi" w:hAnsiTheme="minorHAnsi" w:cstheme="minorHAnsi"/>
                <w:sz w:val="22"/>
                <w:szCs w:val="22"/>
              </w:rPr>
              <w:t>En cas de blocage temporaire suite à des tentatives d’authentification infructueuses, la durée de celui-ci et le nombre de nouveaux essais sont-ils fixés sur la base des caractéristiques du service fourni au payeur et de l'ensemble des risques correspondants qui y sont associés, en tenant compte, au minimum, des</w:t>
            </w:r>
            <w:r w:rsidR="00D731E1" w:rsidRPr="00CC1AEF">
              <w:rPr>
                <w:rFonts w:asciiTheme="minorHAnsi" w:hAnsiTheme="minorHAnsi" w:cstheme="minorHAnsi"/>
                <w:sz w:val="22"/>
                <w:szCs w:val="22"/>
              </w:rPr>
              <w:t xml:space="preserve"> facteurs énoncés à l'article 2 §</w:t>
            </w:r>
            <w:r w:rsidRPr="00CC1AEF">
              <w:rPr>
                <w:rFonts w:asciiTheme="minorHAnsi" w:hAnsiTheme="minorHAnsi" w:cstheme="minorHAnsi"/>
                <w:sz w:val="22"/>
                <w:szCs w:val="22"/>
              </w:rPr>
              <w:t xml:space="preserve"> 2</w:t>
            </w:r>
            <w:r w:rsidR="00D731E1" w:rsidRPr="00CC1AEF">
              <w:rPr>
                <w:rFonts w:asciiTheme="minorHAnsi" w:hAnsiTheme="minorHAnsi" w:cstheme="minorHAnsi"/>
                <w:sz w:val="22"/>
                <w:szCs w:val="22"/>
              </w:rPr>
              <w:t xml:space="preserve"> des RTS</w:t>
            </w:r>
            <w:r w:rsidRPr="00CC1AEF">
              <w:rPr>
                <w:rFonts w:asciiTheme="minorHAnsi" w:hAnsiTheme="minorHAnsi" w:cstheme="minorHAnsi"/>
                <w:sz w:val="22"/>
                <w:szCs w:val="22"/>
              </w:rPr>
              <w:t> ?</w:t>
            </w:r>
          </w:p>
          <w:p w14:paraId="317462BE" w14:textId="13869010" w:rsidR="00683E60" w:rsidRPr="00CC1AEF" w:rsidRDefault="00683E60" w:rsidP="00C81104">
            <w:pPr>
              <w:rPr>
                <w:rFonts w:asciiTheme="minorHAnsi" w:hAnsiTheme="minorHAnsi" w:cstheme="minorHAnsi"/>
                <w:b/>
                <w:sz w:val="22"/>
                <w:szCs w:val="22"/>
              </w:rPr>
            </w:pPr>
            <w:r w:rsidRPr="00CC1AEF">
              <w:rPr>
                <w:rFonts w:asciiTheme="minorHAnsi" w:hAnsiTheme="minorHAnsi" w:cstheme="minorHAnsi"/>
                <w:sz w:val="22"/>
                <w:szCs w:val="22"/>
              </w:rPr>
              <w:t xml:space="preserve">Le payeur est-il </w:t>
            </w:r>
            <w:r w:rsidR="00237305">
              <w:rPr>
                <w:rFonts w:asciiTheme="minorHAnsi" w:hAnsiTheme="minorHAnsi" w:cstheme="minorHAnsi"/>
                <w:sz w:val="22"/>
                <w:szCs w:val="22"/>
              </w:rPr>
              <w:t xml:space="preserve">bien </w:t>
            </w:r>
            <w:r w:rsidRPr="00CC1AEF">
              <w:rPr>
                <w:rFonts w:asciiTheme="minorHAnsi" w:hAnsiTheme="minorHAnsi" w:cstheme="minorHAnsi"/>
                <w:sz w:val="22"/>
                <w:szCs w:val="22"/>
              </w:rPr>
              <w:t>averti avant que le blocage ne devienne permanent ?</w:t>
            </w:r>
          </w:p>
        </w:tc>
        <w:tc>
          <w:tcPr>
            <w:tcW w:w="1465" w:type="dxa"/>
          </w:tcPr>
          <w:p w14:paraId="58FCCFCA" w14:textId="77777777" w:rsidR="00683E60" w:rsidRPr="00CC1AEF" w:rsidRDefault="00683E60" w:rsidP="009973F6">
            <w:pPr>
              <w:jc w:val="center"/>
              <w:rPr>
                <w:rFonts w:asciiTheme="minorHAnsi" w:hAnsiTheme="minorHAnsi" w:cstheme="minorHAnsi"/>
                <w:b/>
                <w:sz w:val="22"/>
                <w:szCs w:val="22"/>
              </w:rPr>
            </w:pPr>
          </w:p>
        </w:tc>
        <w:tc>
          <w:tcPr>
            <w:tcW w:w="6698" w:type="dxa"/>
          </w:tcPr>
          <w:p w14:paraId="75BC5E22"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6E529D44" w14:textId="77777777" w:rsidTr="00683E60">
        <w:tc>
          <w:tcPr>
            <w:tcW w:w="1595" w:type="dxa"/>
            <w:vMerge/>
          </w:tcPr>
          <w:p w14:paraId="4BF48BCB" w14:textId="77777777" w:rsidR="00683E60" w:rsidRPr="00CC1AEF" w:rsidRDefault="00683E60" w:rsidP="009973F6">
            <w:pPr>
              <w:jc w:val="center"/>
              <w:rPr>
                <w:rFonts w:asciiTheme="minorHAnsi" w:hAnsiTheme="minorHAnsi" w:cstheme="minorHAnsi"/>
                <w:b/>
                <w:sz w:val="22"/>
                <w:szCs w:val="22"/>
              </w:rPr>
            </w:pPr>
          </w:p>
        </w:tc>
        <w:tc>
          <w:tcPr>
            <w:tcW w:w="4979" w:type="dxa"/>
          </w:tcPr>
          <w:p w14:paraId="7FA3CE19" w14:textId="2C5178F3" w:rsidR="00683E60" w:rsidRPr="00CC1AEF" w:rsidRDefault="00683E60" w:rsidP="00C81104">
            <w:pPr>
              <w:rPr>
                <w:rFonts w:asciiTheme="minorHAnsi" w:hAnsiTheme="minorHAnsi" w:cstheme="minorHAnsi"/>
                <w:b/>
                <w:sz w:val="22"/>
                <w:szCs w:val="22"/>
              </w:rPr>
            </w:pPr>
            <w:r w:rsidRPr="00CC1AEF">
              <w:rPr>
                <w:rFonts w:asciiTheme="minorHAnsi" w:hAnsiTheme="minorHAnsi" w:cstheme="minorHAnsi"/>
                <w:sz w:val="22"/>
                <w:szCs w:val="22"/>
              </w:rPr>
              <w:t>En cas de blocage permanent, une procédure sécurisée est-elle mise en place pour permettre au payeur d'utiliser à nouveau les instruments de paiement électronique bloqués ?</w:t>
            </w:r>
          </w:p>
        </w:tc>
        <w:tc>
          <w:tcPr>
            <w:tcW w:w="1465" w:type="dxa"/>
          </w:tcPr>
          <w:p w14:paraId="4A268FBD" w14:textId="77777777" w:rsidR="00683E60" w:rsidRPr="00CC1AEF" w:rsidRDefault="00683E60" w:rsidP="009973F6">
            <w:pPr>
              <w:jc w:val="center"/>
              <w:rPr>
                <w:rFonts w:asciiTheme="minorHAnsi" w:hAnsiTheme="minorHAnsi" w:cstheme="minorHAnsi"/>
                <w:b/>
                <w:sz w:val="22"/>
                <w:szCs w:val="22"/>
              </w:rPr>
            </w:pPr>
          </w:p>
        </w:tc>
        <w:tc>
          <w:tcPr>
            <w:tcW w:w="6698" w:type="dxa"/>
          </w:tcPr>
          <w:p w14:paraId="44652CD6" w14:textId="77777777" w:rsidR="00683E60" w:rsidRPr="00CC1AEF" w:rsidRDefault="00683E60">
            <w:pPr>
              <w:jc w:val="left"/>
              <w:rPr>
                <w:rFonts w:asciiTheme="minorHAnsi" w:eastAsia="Calibri" w:hAnsiTheme="minorHAnsi" w:cstheme="minorHAnsi"/>
                <w:b/>
                <w:sz w:val="22"/>
                <w:szCs w:val="22"/>
                <w:lang w:eastAsia="en-US"/>
              </w:rPr>
            </w:pPr>
          </w:p>
        </w:tc>
      </w:tr>
      <w:tr w:rsidR="00CB654E" w:rsidRPr="00CC1AEF" w14:paraId="5FEE7A9E" w14:textId="77777777" w:rsidTr="006B6ABB">
        <w:tc>
          <w:tcPr>
            <w:tcW w:w="14737" w:type="dxa"/>
            <w:gridSpan w:val="4"/>
            <w:shd w:val="clear" w:color="auto" w:fill="FBD4B4" w:themeFill="accent6" w:themeFillTint="66"/>
          </w:tcPr>
          <w:p w14:paraId="4E08674D" w14:textId="1195D7AE" w:rsidR="00CB654E" w:rsidRPr="00CC1AEF" w:rsidRDefault="00CB654E">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Établissement d’un lien dynamique</w:t>
            </w:r>
          </w:p>
        </w:tc>
      </w:tr>
      <w:tr w:rsidR="009973F6" w:rsidRPr="00CC1AEF" w14:paraId="7E080630" w14:textId="77777777" w:rsidTr="00683E60">
        <w:tc>
          <w:tcPr>
            <w:tcW w:w="1595" w:type="dxa"/>
          </w:tcPr>
          <w:p w14:paraId="5AE2F3E9" w14:textId="02505931" w:rsidR="009973F6" w:rsidRPr="00CC1AEF" w:rsidRDefault="00CB654E" w:rsidP="009973F6">
            <w:pPr>
              <w:jc w:val="center"/>
              <w:rPr>
                <w:rFonts w:asciiTheme="minorHAnsi" w:hAnsiTheme="minorHAnsi" w:cstheme="minorHAnsi"/>
                <w:b/>
                <w:sz w:val="22"/>
                <w:szCs w:val="22"/>
              </w:rPr>
            </w:pPr>
            <w:r w:rsidRPr="00CC1AEF">
              <w:rPr>
                <w:rFonts w:asciiTheme="minorHAnsi" w:hAnsiTheme="minorHAnsi" w:cstheme="minorHAnsi"/>
                <w:b/>
                <w:sz w:val="22"/>
                <w:szCs w:val="22"/>
              </w:rPr>
              <w:t>5</w:t>
            </w:r>
          </w:p>
        </w:tc>
        <w:tc>
          <w:tcPr>
            <w:tcW w:w="4979" w:type="dxa"/>
          </w:tcPr>
          <w:p w14:paraId="1A9BD7E9" w14:textId="717BBC54" w:rsidR="009973F6" w:rsidRPr="00CC1AEF" w:rsidRDefault="00CB654E" w:rsidP="00CB654E">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(conformément à l'article 97</w:t>
            </w:r>
            <w:r w:rsidR="00237305">
              <w:rPr>
                <w:rFonts w:asciiTheme="minorHAnsi" w:hAnsiTheme="minorHAnsi" w:cstheme="minorHAnsi"/>
                <w:sz w:val="22"/>
                <w:szCs w:val="22"/>
              </w:rPr>
              <w:t xml:space="preserve"> § 2 </w:t>
            </w:r>
            <w:r w:rsidRPr="00CC1AEF">
              <w:rPr>
                <w:rFonts w:asciiTheme="minorHAnsi" w:hAnsiTheme="minorHAnsi" w:cstheme="minorHAnsi"/>
                <w:sz w:val="22"/>
                <w:szCs w:val="22"/>
              </w:rPr>
              <w:t>de la directive (UE) 2015/2366) respecte-t-il les exigences listées ci-après ?</w:t>
            </w:r>
          </w:p>
          <w:p w14:paraId="6E6A3A6E"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payeur est informé du montant de l'opération de paiement et du bénéficiaire ;</w:t>
            </w:r>
          </w:p>
          <w:p w14:paraId="7BAF5CF8"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code d'authentification généré est spécifique au montant de l'opération de paiement et au bénéficiaire approuvé par le payeur lors de l'initiation de l'opération ;</w:t>
            </w:r>
          </w:p>
          <w:p w14:paraId="659BCF6F"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code d'authentification accepté par le prestataire de services de paiement correspond au montant spécifique initial de l'opération de paiement et à l'identité du bénéficiaire approuvé par le payeur ;</w:t>
            </w:r>
          </w:p>
          <w:p w14:paraId="4FB41CCB" w14:textId="4C99D286" w:rsidR="00CB654E" w:rsidRPr="00A85C3C" w:rsidRDefault="00CB654E" w:rsidP="00A85C3C">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toute modification du montant ou du bénéficiaire entraîne l'invalidation du code d'authentification généré.</w:t>
            </w:r>
          </w:p>
        </w:tc>
        <w:tc>
          <w:tcPr>
            <w:tcW w:w="1465" w:type="dxa"/>
          </w:tcPr>
          <w:p w14:paraId="4BC167D8" w14:textId="77777777" w:rsidR="009973F6" w:rsidRPr="00CC1AEF" w:rsidRDefault="009973F6" w:rsidP="009973F6">
            <w:pPr>
              <w:jc w:val="center"/>
              <w:rPr>
                <w:rFonts w:asciiTheme="minorHAnsi" w:hAnsiTheme="minorHAnsi" w:cstheme="minorHAnsi"/>
                <w:b/>
                <w:sz w:val="22"/>
                <w:szCs w:val="22"/>
              </w:rPr>
            </w:pPr>
          </w:p>
        </w:tc>
        <w:tc>
          <w:tcPr>
            <w:tcW w:w="6698" w:type="dxa"/>
          </w:tcPr>
          <w:p w14:paraId="55B9A9FA" w14:textId="77777777" w:rsidR="009973F6" w:rsidRPr="00CC1AEF" w:rsidRDefault="009973F6">
            <w:pPr>
              <w:jc w:val="left"/>
              <w:rPr>
                <w:rFonts w:asciiTheme="minorHAnsi" w:eastAsia="Calibri" w:hAnsiTheme="minorHAnsi" w:cstheme="minorHAnsi"/>
                <w:b/>
                <w:sz w:val="22"/>
                <w:szCs w:val="22"/>
                <w:lang w:eastAsia="en-US"/>
              </w:rPr>
            </w:pPr>
          </w:p>
        </w:tc>
      </w:tr>
      <w:tr w:rsidR="009973F6" w:rsidRPr="00CC1AEF" w14:paraId="100837DA" w14:textId="77777777" w:rsidTr="00683E60">
        <w:tc>
          <w:tcPr>
            <w:tcW w:w="1595" w:type="dxa"/>
          </w:tcPr>
          <w:p w14:paraId="14E24B1D" w14:textId="77777777" w:rsidR="009973F6" w:rsidRPr="00CC1AEF" w:rsidRDefault="009973F6" w:rsidP="009973F6">
            <w:pPr>
              <w:jc w:val="center"/>
              <w:rPr>
                <w:rFonts w:asciiTheme="minorHAnsi" w:hAnsiTheme="minorHAnsi" w:cstheme="minorHAnsi"/>
                <w:b/>
                <w:sz w:val="22"/>
                <w:szCs w:val="22"/>
              </w:rPr>
            </w:pPr>
          </w:p>
        </w:tc>
        <w:tc>
          <w:tcPr>
            <w:tcW w:w="4979" w:type="dxa"/>
          </w:tcPr>
          <w:p w14:paraId="6FDA3928" w14:textId="740D56DB" w:rsidR="00D46CE0" w:rsidRPr="00CC1AEF" w:rsidRDefault="00D46CE0" w:rsidP="00D46CE0">
            <w:pPr>
              <w:rPr>
                <w:rFonts w:asciiTheme="minorHAnsi" w:hAnsiTheme="minorHAnsi" w:cstheme="minorHAnsi"/>
                <w:sz w:val="22"/>
                <w:szCs w:val="22"/>
              </w:rPr>
            </w:pPr>
            <w:r w:rsidRPr="00CC1AEF">
              <w:rPr>
                <w:rFonts w:asciiTheme="minorHAnsi" w:hAnsiTheme="minorHAnsi" w:cstheme="minorHAnsi"/>
                <w:sz w:val="22"/>
                <w:szCs w:val="22"/>
              </w:rPr>
              <w:t>Le PSP applique-t-il des mesures de sécurité garantissant la confidentialité, l’authenticité et l'intégrité de chacun des éléments listés ci-après ?</w:t>
            </w:r>
          </w:p>
          <w:p w14:paraId="2858C01C" w14:textId="245569C6" w:rsidR="00D46CE0" w:rsidRPr="00CC1AEF" w:rsidRDefault="00D46CE0" w:rsidP="00D46CE0">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 montant de l'opération et le bénéficiaire durant l'ensemble des phases de l'authentification ;</w:t>
            </w:r>
          </w:p>
          <w:p w14:paraId="48684BC3" w14:textId="442E4D20" w:rsidR="001345AA" w:rsidRPr="00A85C3C" w:rsidRDefault="006028DC"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w:t>
            </w:r>
            <w:r w:rsidR="00D46CE0" w:rsidRPr="00CC1AEF">
              <w:rPr>
                <w:rFonts w:asciiTheme="minorHAnsi" w:hAnsiTheme="minorHAnsi" w:cstheme="minorHAnsi"/>
                <w:szCs w:val="22"/>
              </w:rPr>
              <w:t>es informations qui s'affichent pour le payeur durant l'ensemble des phases de l'authentification, y compris la génération, la transmission et l'utilisation du code d'authentification.</w:t>
            </w:r>
          </w:p>
        </w:tc>
        <w:tc>
          <w:tcPr>
            <w:tcW w:w="1465" w:type="dxa"/>
          </w:tcPr>
          <w:p w14:paraId="642F4277" w14:textId="77777777" w:rsidR="009973F6" w:rsidRPr="00CC1AEF" w:rsidRDefault="009973F6" w:rsidP="009973F6">
            <w:pPr>
              <w:jc w:val="center"/>
              <w:rPr>
                <w:rFonts w:asciiTheme="minorHAnsi" w:hAnsiTheme="minorHAnsi" w:cstheme="minorHAnsi"/>
                <w:b/>
                <w:sz w:val="22"/>
                <w:szCs w:val="22"/>
              </w:rPr>
            </w:pPr>
          </w:p>
        </w:tc>
        <w:tc>
          <w:tcPr>
            <w:tcW w:w="6698" w:type="dxa"/>
          </w:tcPr>
          <w:p w14:paraId="0415CC24" w14:textId="77777777" w:rsidR="009973F6" w:rsidRPr="00CC1AEF" w:rsidRDefault="009973F6">
            <w:pPr>
              <w:jc w:val="left"/>
              <w:rPr>
                <w:rFonts w:asciiTheme="minorHAnsi" w:eastAsia="Calibri" w:hAnsiTheme="minorHAnsi" w:cstheme="minorHAnsi"/>
                <w:b/>
                <w:sz w:val="22"/>
                <w:szCs w:val="22"/>
                <w:lang w:eastAsia="en-US"/>
              </w:rPr>
            </w:pPr>
          </w:p>
        </w:tc>
      </w:tr>
      <w:tr w:rsidR="009973F6" w:rsidRPr="00CC1AEF" w14:paraId="0390871A" w14:textId="77777777" w:rsidTr="00683E60">
        <w:tc>
          <w:tcPr>
            <w:tcW w:w="1595" w:type="dxa"/>
          </w:tcPr>
          <w:p w14:paraId="26534D16" w14:textId="77777777" w:rsidR="009973F6" w:rsidRPr="00CC1AEF" w:rsidRDefault="009973F6" w:rsidP="009973F6">
            <w:pPr>
              <w:jc w:val="center"/>
              <w:rPr>
                <w:rFonts w:asciiTheme="minorHAnsi" w:hAnsiTheme="minorHAnsi" w:cstheme="minorHAnsi"/>
                <w:b/>
                <w:sz w:val="22"/>
                <w:szCs w:val="22"/>
              </w:rPr>
            </w:pPr>
          </w:p>
        </w:tc>
        <w:tc>
          <w:tcPr>
            <w:tcW w:w="4979" w:type="dxa"/>
          </w:tcPr>
          <w:p w14:paraId="4228A29D" w14:textId="1C71874E" w:rsidR="00970454" w:rsidRPr="00CC1AEF" w:rsidRDefault="00970454" w:rsidP="00970454">
            <w:pPr>
              <w:rPr>
                <w:rFonts w:asciiTheme="minorHAnsi" w:hAnsiTheme="minorHAnsi" w:cstheme="minorHAnsi"/>
                <w:sz w:val="22"/>
                <w:szCs w:val="22"/>
              </w:rPr>
            </w:pPr>
            <w:r w:rsidRPr="00CC1AEF">
              <w:rPr>
                <w:rFonts w:asciiTheme="minorHAnsi" w:hAnsiTheme="minorHAnsi" w:cstheme="minorHAnsi"/>
                <w:sz w:val="22"/>
                <w:szCs w:val="22"/>
              </w:rPr>
              <w:t>L</w:t>
            </w:r>
            <w:r w:rsidR="00D46CE0" w:rsidRPr="00CC1AEF">
              <w:rPr>
                <w:rFonts w:asciiTheme="minorHAnsi" w:hAnsiTheme="minorHAnsi" w:cstheme="minorHAnsi"/>
                <w:sz w:val="22"/>
                <w:szCs w:val="22"/>
              </w:rPr>
              <w:t>orsque le</w:t>
            </w:r>
            <w:r w:rsidRPr="00CC1AEF">
              <w:rPr>
                <w:rFonts w:asciiTheme="minorHAnsi" w:hAnsiTheme="minorHAnsi" w:cstheme="minorHAnsi"/>
                <w:sz w:val="22"/>
                <w:szCs w:val="22"/>
              </w:rPr>
              <w:t xml:space="preserve"> PSP </w:t>
            </w:r>
            <w:r w:rsidR="00D46CE0" w:rsidRPr="00CC1AEF">
              <w:rPr>
                <w:rFonts w:asciiTheme="minorHAnsi" w:hAnsiTheme="minorHAnsi" w:cstheme="minorHAnsi"/>
                <w:sz w:val="22"/>
                <w:szCs w:val="22"/>
              </w:rPr>
              <w:t>applique l'authentification forte du cli</w:t>
            </w:r>
            <w:r w:rsidR="00237305">
              <w:rPr>
                <w:rFonts w:asciiTheme="minorHAnsi" w:hAnsiTheme="minorHAnsi" w:cstheme="minorHAnsi"/>
                <w:sz w:val="22"/>
                <w:szCs w:val="22"/>
              </w:rPr>
              <w:t>ent (conformément à l'article 97 §</w:t>
            </w:r>
            <w:r w:rsidR="00D46CE0" w:rsidRPr="00CC1AEF">
              <w:rPr>
                <w:rFonts w:asciiTheme="minorHAnsi" w:hAnsiTheme="minorHAnsi" w:cstheme="minorHAnsi"/>
                <w:sz w:val="22"/>
                <w:szCs w:val="22"/>
              </w:rPr>
              <w:t xml:space="preserve"> 2 de la directive (UE) 2015/2366</w:t>
            </w:r>
            <w:r w:rsidR="00237305">
              <w:rPr>
                <w:rFonts w:asciiTheme="minorHAnsi" w:hAnsiTheme="minorHAnsi" w:cstheme="minorHAnsi"/>
                <w:sz w:val="22"/>
                <w:szCs w:val="22"/>
              </w:rPr>
              <w:t>)</w:t>
            </w:r>
            <w:r w:rsidRPr="00CC1AEF">
              <w:rPr>
                <w:rFonts w:asciiTheme="minorHAnsi" w:hAnsiTheme="minorHAnsi" w:cstheme="minorHAnsi"/>
                <w:sz w:val="22"/>
                <w:szCs w:val="22"/>
              </w:rPr>
              <w:t xml:space="preserve"> respecte-t-il </w:t>
            </w:r>
            <w:r w:rsidR="00D46CE0" w:rsidRPr="00CC1AEF">
              <w:rPr>
                <w:rFonts w:asciiTheme="minorHAnsi" w:hAnsiTheme="minorHAnsi" w:cstheme="minorHAnsi"/>
                <w:sz w:val="22"/>
                <w:szCs w:val="22"/>
              </w:rPr>
              <w:t xml:space="preserve">les exigences </w:t>
            </w:r>
            <w:r w:rsidRPr="00CC1AEF">
              <w:rPr>
                <w:rFonts w:asciiTheme="minorHAnsi" w:hAnsiTheme="minorHAnsi" w:cstheme="minorHAnsi"/>
                <w:sz w:val="22"/>
                <w:szCs w:val="22"/>
              </w:rPr>
              <w:t>listées ci-après ?</w:t>
            </w:r>
          </w:p>
          <w:p w14:paraId="5379A457" w14:textId="460E858D" w:rsidR="00970454" w:rsidRPr="00CC1AEF" w:rsidRDefault="00970454" w:rsidP="00970454">
            <w:pPr>
              <w:rPr>
                <w:rFonts w:asciiTheme="minorHAnsi" w:hAnsiTheme="minorHAnsi" w:cstheme="minorHAnsi"/>
                <w:sz w:val="22"/>
                <w:szCs w:val="22"/>
              </w:rPr>
            </w:pPr>
            <w:r w:rsidRPr="00CC1AEF">
              <w:rPr>
                <w:rFonts w:asciiTheme="minorHAnsi" w:hAnsiTheme="minorHAnsi" w:cstheme="minorHAnsi"/>
                <w:sz w:val="22"/>
                <w:szCs w:val="22"/>
              </w:rPr>
              <w:t>-</w:t>
            </w:r>
            <w:r w:rsidR="00D46CE0" w:rsidRPr="00CC1AEF">
              <w:rPr>
                <w:rFonts w:asciiTheme="minorHAnsi" w:hAnsiTheme="minorHAnsi" w:cstheme="minorHAnsi"/>
                <w:sz w:val="22"/>
                <w:szCs w:val="22"/>
              </w:rPr>
              <w:t xml:space="preserve"> en ce qui concerne les opérations de paiement liées à une carte pour lesquelles le payeur a donné son consentement quant au montant exact des fonds à bloquer en vertu de l'article 75</w:t>
            </w:r>
            <w:r w:rsidR="00880D31">
              <w:rPr>
                <w:rFonts w:asciiTheme="minorHAnsi" w:hAnsiTheme="minorHAnsi" w:cstheme="minorHAnsi"/>
                <w:sz w:val="22"/>
                <w:szCs w:val="22"/>
              </w:rPr>
              <w:t xml:space="preserve"> §</w:t>
            </w:r>
            <w:r w:rsidR="00D46CE0" w:rsidRPr="00CC1AEF">
              <w:rPr>
                <w:rFonts w:asciiTheme="minorHAnsi" w:hAnsiTheme="minorHAnsi" w:cstheme="minorHAnsi"/>
                <w:sz w:val="22"/>
                <w:szCs w:val="22"/>
              </w:rPr>
              <w:t xml:space="preserve"> 1 de ladite directive, le code d'authentification est spécifique au montant au blocage duquel le payeur a donné son consentement et que le payeur a approuvé lors de l'initiation de l'opération</w:t>
            </w:r>
            <w:r w:rsidR="00880D31">
              <w:rPr>
                <w:rFonts w:asciiTheme="minorHAnsi" w:hAnsiTheme="minorHAnsi" w:cstheme="minorHAnsi"/>
                <w:sz w:val="22"/>
                <w:szCs w:val="22"/>
              </w:rPr>
              <w:t xml:space="preserve"> </w:t>
            </w:r>
            <w:r w:rsidR="00D46CE0" w:rsidRPr="00CC1AEF">
              <w:rPr>
                <w:rFonts w:asciiTheme="minorHAnsi" w:hAnsiTheme="minorHAnsi" w:cstheme="minorHAnsi"/>
                <w:sz w:val="22"/>
                <w:szCs w:val="22"/>
              </w:rPr>
              <w:t xml:space="preserve">; </w:t>
            </w:r>
          </w:p>
          <w:p w14:paraId="64C102E2" w14:textId="3F51946D" w:rsidR="001345AA" w:rsidRPr="00CC1AEF" w:rsidRDefault="00970454" w:rsidP="00970454">
            <w:pPr>
              <w:rPr>
                <w:rFonts w:asciiTheme="minorHAnsi" w:hAnsiTheme="minorHAnsi" w:cstheme="minorHAnsi"/>
                <w:b/>
                <w:sz w:val="22"/>
                <w:szCs w:val="22"/>
              </w:rPr>
            </w:pPr>
            <w:r w:rsidRPr="00CC1AEF">
              <w:rPr>
                <w:rFonts w:asciiTheme="minorHAnsi" w:hAnsiTheme="minorHAnsi" w:cstheme="minorHAnsi"/>
                <w:sz w:val="22"/>
                <w:szCs w:val="22"/>
              </w:rPr>
              <w:t>-</w:t>
            </w:r>
            <w:r w:rsidR="00D46CE0" w:rsidRPr="00CC1AEF">
              <w:rPr>
                <w:rFonts w:asciiTheme="minorHAnsi" w:hAnsiTheme="minorHAnsi" w:cstheme="minorHAnsi"/>
                <w:sz w:val="22"/>
                <w:szCs w:val="22"/>
              </w:rPr>
              <w:t xml:space="preserve"> en ce qui concerne les opérations de paiement pour lesquelles le payeur a donné son consentement à l'exécution d'une série d'opérations de paiement électronique à distance en faveur d'un ou de plusieurs bénéficiaires, le code d'authentification est spécifique au montant total de la série d'opérations de paiement et aux bénéficiaires désignés</w:t>
            </w:r>
            <w:r w:rsidR="00880D31">
              <w:rPr>
                <w:rFonts w:asciiTheme="minorHAnsi" w:hAnsiTheme="minorHAnsi" w:cstheme="minorHAnsi"/>
                <w:sz w:val="22"/>
                <w:szCs w:val="22"/>
              </w:rPr>
              <w:t>.</w:t>
            </w:r>
          </w:p>
        </w:tc>
        <w:tc>
          <w:tcPr>
            <w:tcW w:w="1465" w:type="dxa"/>
          </w:tcPr>
          <w:p w14:paraId="5B98734A" w14:textId="77777777" w:rsidR="009973F6" w:rsidRPr="00CC1AEF" w:rsidRDefault="009973F6" w:rsidP="009973F6">
            <w:pPr>
              <w:jc w:val="center"/>
              <w:rPr>
                <w:rFonts w:asciiTheme="minorHAnsi" w:hAnsiTheme="minorHAnsi" w:cstheme="minorHAnsi"/>
                <w:b/>
                <w:sz w:val="22"/>
                <w:szCs w:val="22"/>
              </w:rPr>
            </w:pPr>
          </w:p>
        </w:tc>
        <w:tc>
          <w:tcPr>
            <w:tcW w:w="6698" w:type="dxa"/>
          </w:tcPr>
          <w:p w14:paraId="028BB9E6" w14:textId="77777777" w:rsidR="009973F6" w:rsidRPr="00CC1AEF" w:rsidRDefault="009973F6">
            <w:pPr>
              <w:jc w:val="left"/>
              <w:rPr>
                <w:rFonts w:asciiTheme="minorHAnsi" w:eastAsia="Calibri" w:hAnsiTheme="minorHAnsi" w:cstheme="minorHAnsi"/>
                <w:b/>
                <w:sz w:val="22"/>
                <w:szCs w:val="22"/>
                <w:lang w:eastAsia="en-US"/>
              </w:rPr>
            </w:pPr>
          </w:p>
        </w:tc>
      </w:tr>
      <w:tr w:rsidR="00257D84" w:rsidRPr="00CC1AEF" w14:paraId="50CBB549" w14:textId="77777777" w:rsidTr="006B6ABB">
        <w:tc>
          <w:tcPr>
            <w:tcW w:w="14737" w:type="dxa"/>
            <w:gridSpan w:val="4"/>
            <w:shd w:val="clear" w:color="auto" w:fill="FBD4B4" w:themeFill="accent6" w:themeFillTint="66"/>
          </w:tcPr>
          <w:p w14:paraId="1E4133A3" w14:textId="740E180C" w:rsidR="00257D84" w:rsidRPr="00CC1AEF" w:rsidRDefault="00257D84">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 connaissance »</w:t>
            </w:r>
          </w:p>
        </w:tc>
      </w:tr>
      <w:tr w:rsidR="00257D84" w:rsidRPr="00CC1AEF" w14:paraId="46C5DAA7" w14:textId="77777777" w:rsidTr="00683E60">
        <w:tc>
          <w:tcPr>
            <w:tcW w:w="1595" w:type="dxa"/>
            <w:vMerge w:val="restart"/>
          </w:tcPr>
          <w:p w14:paraId="31F6964D" w14:textId="6FBE5D23" w:rsidR="00257D84" w:rsidRPr="00CC1AEF" w:rsidRDefault="00257D84" w:rsidP="009973F6">
            <w:pPr>
              <w:jc w:val="center"/>
              <w:rPr>
                <w:rFonts w:asciiTheme="minorHAnsi" w:hAnsiTheme="minorHAnsi" w:cstheme="minorHAnsi"/>
                <w:b/>
                <w:sz w:val="22"/>
                <w:szCs w:val="22"/>
              </w:rPr>
            </w:pPr>
            <w:r w:rsidRPr="00CC1AEF">
              <w:rPr>
                <w:rFonts w:asciiTheme="minorHAnsi" w:hAnsiTheme="minorHAnsi" w:cstheme="minorHAnsi"/>
                <w:b/>
                <w:sz w:val="22"/>
                <w:szCs w:val="22"/>
              </w:rPr>
              <w:t>6</w:t>
            </w:r>
          </w:p>
        </w:tc>
        <w:tc>
          <w:tcPr>
            <w:tcW w:w="4979" w:type="dxa"/>
          </w:tcPr>
          <w:p w14:paraId="5BF0C736" w14:textId="37B7DE3C" w:rsidR="001345AA" w:rsidRPr="00CC1AEF" w:rsidRDefault="00257D84" w:rsidP="00257D84">
            <w:pPr>
              <w:rPr>
                <w:rFonts w:asciiTheme="minorHAnsi" w:hAnsiTheme="minorHAnsi" w:cstheme="minorHAnsi"/>
                <w:b/>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w:t>
            </w:r>
            <w:r w:rsidR="004A2D15" w:rsidRPr="00CC1AEF">
              <w:rPr>
                <w:rFonts w:asciiTheme="minorHAnsi" w:hAnsiTheme="minorHAnsi" w:cstheme="minorHAnsi"/>
                <w:sz w:val="22"/>
                <w:szCs w:val="22"/>
              </w:rPr>
              <w:t xml:space="preserve"> « connaissance »</w:t>
            </w:r>
            <w:r w:rsidRPr="00CC1AEF">
              <w:rPr>
                <w:rFonts w:asciiTheme="minorHAnsi" w:hAnsiTheme="minorHAnsi" w:cstheme="minorHAnsi"/>
                <w:sz w:val="22"/>
                <w:szCs w:val="22"/>
              </w:rPr>
              <w:t xml:space="preserve"> ne soient mis au jour par des tiers non autorisés ou divulgués à ceux-ci ?</w:t>
            </w:r>
          </w:p>
        </w:tc>
        <w:tc>
          <w:tcPr>
            <w:tcW w:w="1465" w:type="dxa"/>
          </w:tcPr>
          <w:p w14:paraId="3F174825" w14:textId="77777777" w:rsidR="00257D84" w:rsidRPr="00CC1AEF" w:rsidRDefault="00257D84" w:rsidP="009973F6">
            <w:pPr>
              <w:jc w:val="center"/>
              <w:rPr>
                <w:rFonts w:asciiTheme="minorHAnsi" w:hAnsiTheme="minorHAnsi" w:cstheme="minorHAnsi"/>
                <w:b/>
                <w:sz w:val="22"/>
                <w:szCs w:val="22"/>
              </w:rPr>
            </w:pPr>
          </w:p>
        </w:tc>
        <w:tc>
          <w:tcPr>
            <w:tcW w:w="6698" w:type="dxa"/>
          </w:tcPr>
          <w:p w14:paraId="7B3791FF" w14:textId="77777777" w:rsidR="00257D84" w:rsidRPr="00CC1AEF" w:rsidRDefault="00257D84">
            <w:pPr>
              <w:jc w:val="left"/>
              <w:rPr>
                <w:rFonts w:asciiTheme="minorHAnsi" w:eastAsia="Calibri" w:hAnsiTheme="minorHAnsi" w:cstheme="minorHAnsi"/>
                <w:b/>
                <w:sz w:val="22"/>
                <w:szCs w:val="22"/>
                <w:lang w:eastAsia="en-US"/>
              </w:rPr>
            </w:pPr>
          </w:p>
        </w:tc>
      </w:tr>
      <w:tr w:rsidR="00257D84" w:rsidRPr="00CC1AEF" w14:paraId="0FB25D8F" w14:textId="77777777" w:rsidTr="00683E60">
        <w:tc>
          <w:tcPr>
            <w:tcW w:w="1595" w:type="dxa"/>
            <w:vMerge/>
          </w:tcPr>
          <w:p w14:paraId="454C5DC2" w14:textId="77777777" w:rsidR="00257D84" w:rsidRPr="00CC1AEF" w:rsidRDefault="00257D84" w:rsidP="009973F6">
            <w:pPr>
              <w:jc w:val="center"/>
              <w:rPr>
                <w:rFonts w:asciiTheme="minorHAnsi" w:hAnsiTheme="minorHAnsi" w:cstheme="minorHAnsi"/>
                <w:b/>
                <w:sz w:val="22"/>
                <w:szCs w:val="22"/>
              </w:rPr>
            </w:pPr>
          </w:p>
        </w:tc>
        <w:tc>
          <w:tcPr>
            <w:tcW w:w="4979" w:type="dxa"/>
          </w:tcPr>
          <w:p w14:paraId="1DB5AF2D" w14:textId="23D565F6" w:rsidR="001345AA" w:rsidRPr="00CC1AEF" w:rsidRDefault="00257D84" w:rsidP="00257D84">
            <w:pPr>
              <w:rPr>
                <w:rFonts w:asciiTheme="minorHAnsi" w:hAnsiTheme="minorHAnsi" w:cstheme="minorHAnsi"/>
                <w:b/>
                <w:sz w:val="22"/>
                <w:szCs w:val="22"/>
              </w:rPr>
            </w:pPr>
            <w:r w:rsidRPr="00CC1AEF">
              <w:rPr>
                <w:rFonts w:asciiTheme="minorHAnsi" w:hAnsiTheme="minorHAnsi" w:cstheme="minorHAnsi"/>
                <w:sz w:val="22"/>
                <w:szCs w:val="22"/>
              </w:rPr>
              <w:t>L'utilisation par le payeur des éléments d'authentification forte appartenant à la catégorie</w:t>
            </w:r>
            <w:r w:rsidR="004A2D15" w:rsidRPr="00CC1AEF">
              <w:rPr>
                <w:rFonts w:asciiTheme="minorHAnsi" w:hAnsiTheme="minorHAnsi" w:cstheme="minorHAnsi"/>
                <w:sz w:val="22"/>
                <w:szCs w:val="22"/>
              </w:rPr>
              <w:t xml:space="preserve"> « connaissance »</w:t>
            </w:r>
            <w:r w:rsidRPr="00CC1AEF">
              <w:rPr>
                <w:rFonts w:asciiTheme="minorHAnsi" w:hAnsiTheme="minorHAnsi" w:cstheme="minorHAnsi"/>
                <w:sz w:val="22"/>
                <w:szCs w:val="22"/>
              </w:rPr>
              <w:t xml:space="preserve"> fait-elle l'objet de mesures d'atténuation des risques visant à éviter leur divulgation à des tiers non autorisés ?</w:t>
            </w:r>
          </w:p>
        </w:tc>
        <w:tc>
          <w:tcPr>
            <w:tcW w:w="1465" w:type="dxa"/>
          </w:tcPr>
          <w:p w14:paraId="5E0E00B3" w14:textId="77777777" w:rsidR="00257D84" w:rsidRPr="00CC1AEF" w:rsidRDefault="00257D84" w:rsidP="009973F6">
            <w:pPr>
              <w:jc w:val="center"/>
              <w:rPr>
                <w:rFonts w:asciiTheme="minorHAnsi" w:hAnsiTheme="minorHAnsi" w:cstheme="minorHAnsi"/>
                <w:b/>
                <w:sz w:val="22"/>
                <w:szCs w:val="22"/>
              </w:rPr>
            </w:pPr>
          </w:p>
        </w:tc>
        <w:tc>
          <w:tcPr>
            <w:tcW w:w="6698" w:type="dxa"/>
          </w:tcPr>
          <w:p w14:paraId="5A3DCB70" w14:textId="77777777" w:rsidR="00257D84" w:rsidRPr="00CC1AEF" w:rsidRDefault="00257D84">
            <w:pPr>
              <w:jc w:val="left"/>
              <w:rPr>
                <w:rFonts w:asciiTheme="minorHAnsi" w:eastAsia="Calibri" w:hAnsiTheme="minorHAnsi" w:cstheme="minorHAnsi"/>
                <w:b/>
                <w:sz w:val="22"/>
                <w:szCs w:val="22"/>
                <w:lang w:eastAsia="en-US"/>
              </w:rPr>
            </w:pPr>
          </w:p>
        </w:tc>
      </w:tr>
      <w:tr w:rsidR="00257D84" w:rsidRPr="00CC1AEF" w14:paraId="78B868D0" w14:textId="77777777" w:rsidTr="006B6ABB">
        <w:tc>
          <w:tcPr>
            <w:tcW w:w="14737" w:type="dxa"/>
            <w:gridSpan w:val="4"/>
            <w:shd w:val="clear" w:color="auto" w:fill="FBD4B4" w:themeFill="accent6" w:themeFillTint="66"/>
          </w:tcPr>
          <w:p w14:paraId="7346A86E" w14:textId="6EF77D4B" w:rsidR="00257D84" w:rsidRPr="00CC1AEF" w:rsidRDefault="00257D84">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«possession»</w:t>
            </w:r>
          </w:p>
        </w:tc>
      </w:tr>
      <w:tr w:rsidR="006028DC" w:rsidRPr="00CC1AEF" w14:paraId="7DCF2E3D" w14:textId="77777777" w:rsidTr="00683E60">
        <w:tc>
          <w:tcPr>
            <w:tcW w:w="1595" w:type="dxa"/>
            <w:vMerge w:val="restart"/>
          </w:tcPr>
          <w:p w14:paraId="657B9C82" w14:textId="6C8C1C96" w:rsidR="006028DC" w:rsidRPr="00CC1AEF" w:rsidRDefault="006028DC" w:rsidP="009973F6">
            <w:pPr>
              <w:jc w:val="center"/>
              <w:rPr>
                <w:rFonts w:asciiTheme="minorHAnsi" w:hAnsiTheme="minorHAnsi" w:cstheme="minorHAnsi"/>
                <w:b/>
                <w:sz w:val="22"/>
                <w:szCs w:val="22"/>
              </w:rPr>
            </w:pPr>
            <w:r w:rsidRPr="00CC1AEF">
              <w:rPr>
                <w:rFonts w:asciiTheme="minorHAnsi" w:hAnsiTheme="minorHAnsi" w:cstheme="minorHAnsi"/>
                <w:b/>
                <w:sz w:val="22"/>
                <w:szCs w:val="22"/>
              </w:rPr>
              <w:t>7</w:t>
            </w:r>
          </w:p>
        </w:tc>
        <w:tc>
          <w:tcPr>
            <w:tcW w:w="4979" w:type="dxa"/>
          </w:tcPr>
          <w:p w14:paraId="52300EDA" w14:textId="4CB550C1" w:rsidR="001345AA" w:rsidRPr="00CC1AEF" w:rsidRDefault="006028DC" w:rsidP="006028DC">
            <w:pPr>
              <w:rPr>
                <w:rFonts w:asciiTheme="minorHAnsi" w:hAnsiTheme="minorHAnsi" w:cstheme="minorHAnsi"/>
                <w:b/>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w:t>
            </w:r>
            <w:r w:rsidR="004A2D15" w:rsidRPr="00CC1AEF">
              <w:rPr>
                <w:rFonts w:asciiTheme="minorHAnsi" w:hAnsiTheme="minorHAnsi" w:cstheme="minorHAnsi"/>
                <w:sz w:val="22"/>
                <w:szCs w:val="22"/>
              </w:rPr>
              <w:t xml:space="preserve"> « possession »</w:t>
            </w:r>
            <w:r w:rsidRPr="00CC1AEF">
              <w:rPr>
                <w:rFonts w:asciiTheme="minorHAnsi" w:hAnsiTheme="minorHAnsi" w:cstheme="minorHAnsi"/>
                <w:sz w:val="22"/>
                <w:szCs w:val="22"/>
              </w:rPr>
              <w:t xml:space="preserve"> ne soient utilisés par des tiers non autorisés ?</w:t>
            </w:r>
          </w:p>
        </w:tc>
        <w:tc>
          <w:tcPr>
            <w:tcW w:w="1465" w:type="dxa"/>
          </w:tcPr>
          <w:p w14:paraId="18B6A30E" w14:textId="77777777" w:rsidR="006028DC" w:rsidRPr="00CC1AEF" w:rsidRDefault="006028DC" w:rsidP="009973F6">
            <w:pPr>
              <w:jc w:val="center"/>
              <w:rPr>
                <w:rFonts w:asciiTheme="minorHAnsi" w:hAnsiTheme="minorHAnsi" w:cstheme="minorHAnsi"/>
                <w:b/>
                <w:sz w:val="22"/>
                <w:szCs w:val="22"/>
              </w:rPr>
            </w:pPr>
          </w:p>
        </w:tc>
        <w:tc>
          <w:tcPr>
            <w:tcW w:w="6698" w:type="dxa"/>
          </w:tcPr>
          <w:p w14:paraId="319A0C1B"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131C431F" w14:textId="77777777" w:rsidTr="00683E60">
        <w:tc>
          <w:tcPr>
            <w:tcW w:w="1595" w:type="dxa"/>
            <w:vMerge/>
          </w:tcPr>
          <w:p w14:paraId="102DD07A" w14:textId="77777777" w:rsidR="006028DC" w:rsidRPr="00CC1AEF" w:rsidRDefault="006028DC" w:rsidP="009973F6">
            <w:pPr>
              <w:jc w:val="center"/>
              <w:rPr>
                <w:rFonts w:asciiTheme="minorHAnsi" w:hAnsiTheme="minorHAnsi" w:cstheme="minorHAnsi"/>
                <w:b/>
                <w:sz w:val="22"/>
                <w:szCs w:val="22"/>
              </w:rPr>
            </w:pPr>
          </w:p>
        </w:tc>
        <w:tc>
          <w:tcPr>
            <w:tcW w:w="4979" w:type="dxa"/>
          </w:tcPr>
          <w:p w14:paraId="48A3849A" w14:textId="62E7D367" w:rsidR="001345AA" w:rsidRPr="00CC1AEF" w:rsidRDefault="006028DC" w:rsidP="00945FE7">
            <w:pPr>
              <w:rPr>
                <w:rFonts w:asciiTheme="minorHAnsi" w:hAnsiTheme="minorHAnsi" w:cstheme="minorHAnsi"/>
                <w:b/>
                <w:sz w:val="22"/>
                <w:szCs w:val="22"/>
              </w:rPr>
            </w:pPr>
            <w:r w:rsidRPr="00CC1AEF">
              <w:rPr>
                <w:rFonts w:asciiTheme="minorHAnsi" w:hAnsiTheme="minorHAnsi" w:cstheme="minorHAnsi"/>
                <w:sz w:val="22"/>
                <w:szCs w:val="22"/>
              </w:rPr>
              <w:t>L'utilisation par le payeur de</w:t>
            </w:r>
            <w:r w:rsidR="00945FE7" w:rsidRPr="00CC1AEF">
              <w:rPr>
                <w:rFonts w:asciiTheme="minorHAnsi" w:hAnsiTheme="minorHAnsi" w:cstheme="minorHAnsi"/>
                <w:sz w:val="22"/>
                <w:szCs w:val="22"/>
              </w:rPr>
              <w:t xml:space="preserve">s </w:t>
            </w:r>
            <w:r w:rsidRPr="00CC1AEF">
              <w:rPr>
                <w:rFonts w:asciiTheme="minorHAnsi" w:hAnsiTheme="minorHAnsi" w:cstheme="minorHAnsi"/>
                <w:sz w:val="22"/>
                <w:szCs w:val="22"/>
              </w:rPr>
              <w:t>éléments d'authentification forte appartenant à la catégorie</w:t>
            </w:r>
            <w:r w:rsidR="004A2D15" w:rsidRPr="00CC1AEF">
              <w:rPr>
                <w:rFonts w:asciiTheme="minorHAnsi" w:hAnsiTheme="minorHAnsi" w:cstheme="minorHAnsi"/>
                <w:sz w:val="22"/>
                <w:szCs w:val="22"/>
              </w:rPr>
              <w:t xml:space="preserve"> « possession »</w:t>
            </w:r>
            <w:r w:rsidRPr="00CC1AEF">
              <w:rPr>
                <w:rFonts w:asciiTheme="minorHAnsi" w:hAnsiTheme="minorHAnsi" w:cstheme="minorHAnsi"/>
                <w:sz w:val="22"/>
                <w:szCs w:val="22"/>
              </w:rPr>
              <w:t xml:space="preserve"> fait</w:t>
            </w:r>
            <w:r w:rsidR="00945FE7" w:rsidRPr="00CC1AEF">
              <w:rPr>
                <w:rFonts w:asciiTheme="minorHAnsi" w:hAnsiTheme="minorHAnsi" w:cstheme="minorHAnsi"/>
                <w:sz w:val="22"/>
                <w:szCs w:val="22"/>
              </w:rPr>
              <w:t>-elle</w:t>
            </w:r>
            <w:r w:rsidRPr="00CC1AEF">
              <w:rPr>
                <w:rFonts w:asciiTheme="minorHAnsi" w:hAnsiTheme="minorHAnsi" w:cstheme="minorHAnsi"/>
                <w:sz w:val="22"/>
                <w:szCs w:val="22"/>
              </w:rPr>
              <w:t xml:space="preserve"> l'objet de mesures visant à éviter leur copie ?</w:t>
            </w:r>
          </w:p>
        </w:tc>
        <w:tc>
          <w:tcPr>
            <w:tcW w:w="1465" w:type="dxa"/>
          </w:tcPr>
          <w:p w14:paraId="4422EF32" w14:textId="77777777" w:rsidR="006028DC" w:rsidRPr="00CC1AEF" w:rsidRDefault="006028DC" w:rsidP="009973F6">
            <w:pPr>
              <w:jc w:val="center"/>
              <w:rPr>
                <w:rFonts w:asciiTheme="minorHAnsi" w:hAnsiTheme="minorHAnsi" w:cstheme="minorHAnsi"/>
                <w:b/>
                <w:sz w:val="22"/>
                <w:szCs w:val="22"/>
              </w:rPr>
            </w:pPr>
          </w:p>
        </w:tc>
        <w:tc>
          <w:tcPr>
            <w:tcW w:w="6698" w:type="dxa"/>
          </w:tcPr>
          <w:p w14:paraId="0B3F368C"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45EFA321" w14:textId="77777777" w:rsidTr="006B6ABB">
        <w:tc>
          <w:tcPr>
            <w:tcW w:w="14737" w:type="dxa"/>
            <w:gridSpan w:val="4"/>
            <w:shd w:val="clear" w:color="auto" w:fill="FBD4B4" w:themeFill="accent6" w:themeFillTint="66"/>
          </w:tcPr>
          <w:p w14:paraId="339DC086" w14:textId="5926E436" w:rsidR="006028DC" w:rsidRPr="00CC1AEF" w:rsidRDefault="006028DC">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dispositifs et logiciels associés à des éléments appartenant à la catégorie «inhérence»</w:t>
            </w:r>
          </w:p>
        </w:tc>
      </w:tr>
      <w:tr w:rsidR="006028DC" w:rsidRPr="00CC1AEF" w14:paraId="0718785C" w14:textId="77777777" w:rsidTr="00683E60">
        <w:tc>
          <w:tcPr>
            <w:tcW w:w="1595" w:type="dxa"/>
            <w:vMerge w:val="restart"/>
          </w:tcPr>
          <w:p w14:paraId="155209A6" w14:textId="1A0C6FB9" w:rsidR="006028DC" w:rsidRPr="00CC1AEF" w:rsidRDefault="006028DC" w:rsidP="009973F6">
            <w:pPr>
              <w:jc w:val="center"/>
              <w:rPr>
                <w:rFonts w:asciiTheme="minorHAnsi" w:hAnsiTheme="minorHAnsi" w:cstheme="minorHAnsi"/>
                <w:b/>
                <w:sz w:val="22"/>
                <w:szCs w:val="22"/>
              </w:rPr>
            </w:pPr>
            <w:r w:rsidRPr="00CC1AEF">
              <w:rPr>
                <w:rFonts w:asciiTheme="minorHAnsi" w:hAnsiTheme="minorHAnsi" w:cstheme="minorHAnsi"/>
                <w:b/>
                <w:sz w:val="22"/>
                <w:szCs w:val="22"/>
              </w:rPr>
              <w:t>8</w:t>
            </w:r>
          </w:p>
        </w:tc>
        <w:tc>
          <w:tcPr>
            <w:tcW w:w="4979" w:type="dxa"/>
          </w:tcPr>
          <w:p w14:paraId="1FFAFFE1" w14:textId="1A12EA53" w:rsidR="003B1165" w:rsidRPr="00CC1AEF" w:rsidRDefault="006028DC" w:rsidP="003B1165">
            <w:pPr>
              <w:rPr>
                <w:rFonts w:asciiTheme="minorHAnsi" w:hAnsiTheme="minorHAnsi" w:cstheme="minorHAnsi"/>
                <w:sz w:val="22"/>
                <w:szCs w:val="22"/>
              </w:rPr>
            </w:pPr>
            <w:r w:rsidRPr="00CC1AEF">
              <w:rPr>
                <w:rFonts w:asciiTheme="minorHAnsi" w:hAnsiTheme="minorHAnsi" w:cstheme="minorHAnsi"/>
                <w:sz w:val="22"/>
                <w:szCs w:val="22"/>
              </w:rPr>
              <w:t>Le</w:t>
            </w:r>
            <w:r w:rsidR="003B1165" w:rsidRPr="00CC1AEF">
              <w:rPr>
                <w:rFonts w:asciiTheme="minorHAnsi" w:hAnsiTheme="minorHAnsi" w:cstheme="minorHAnsi"/>
                <w:sz w:val="22"/>
                <w:szCs w:val="22"/>
              </w:rPr>
              <w:t xml:space="preserve"> PSP a-t-il mis en place des </w:t>
            </w:r>
            <w:r w:rsidRPr="00CC1AEF">
              <w:rPr>
                <w:rFonts w:asciiTheme="minorHAnsi" w:hAnsiTheme="minorHAnsi" w:cstheme="minorHAnsi"/>
                <w:sz w:val="22"/>
                <w:szCs w:val="22"/>
              </w:rPr>
              <w:t>mesures pour atténuer le risque que des éléments d'authentification appartenant à la catégorie</w:t>
            </w:r>
            <w:r w:rsidR="004A2D15" w:rsidRPr="00CC1AEF">
              <w:rPr>
                <w:rFonts w:asciiTheme="minorHAnsi" w:hAnsiTheme="minorHAnsi" w:cstheme="minorHAnsi"/>
                <w:sz w:val="22"/>
                <w:szCs w:val="22"/>
              </w:rPr>
              <w:t xml:space="preserve"> « inhérence »</w:t>
            </w:r>
            <w:r w:rsidRPr="00CC1AEF">
              <w:rPr>
                <w:rFonts w:asciiTheme="minorHAnsi" w:hAnsiTheme="minorHAnsi" w:cstheme="minorHAnsi"/>
                <w:sz w:val="22"/>
                <w:szCs w:val="22"/>
              </w:rPr>
              <w:t xml:space="preserve"> qui sont lus par des dispositifs et des logiciels d'accès fournis au payeur ne soient mis au jour par des tiers non autorisés</w:t>
            </w:r>
            <w:r w:rsidR="003B1165" w:rsidRPr="00CC1AEF">
              <w:rPr>
                <w:rFonts w:asciiTheme="minorHAnsi" w:hAnsiTheme="minorHAnsi" w:cstheme="minorHAnsi"/>
                <w:sz w:val="22"/>
                <w:szCs w:val="22"/>
              </w:rPr>
              <w:t> ?</w:t>
            </w:r>
            <w:r w:rsidRPr="00CC1AEF">
              <w:rPr>
                <w:rFonts w:asciiTheme="minorHAnsi" w:hAnsiTheme="minorHAnsi" w:cstheme="minorHAnsi"/>
                <w:sz w:val="22"/>
                <w:szCs w:val="22"/>
              </w:rPr>
              <w:t xml:space="preserve"> </w:t>
            </w:r>
          </w:p>
          <w:p w14:paraId="0748E4EC" w14:textId="72A607B5" w:rsidR="001345AA" w:rsidRPr="00CC1AEF" w:rsidRDefault="006028DC" w:rsidP="003B1165">
            <w:pPr>
              <w:rPr>
                <w:rFonts w:asciiTheme="minorHAnsi" w:hAnsiTheme="minorHAnsi" w:cstheme="minorHAnsi"/>
                <w:sz w:val="22"/>
                <w:szCs w:val="22"/>
              </w:rPr>
            </w:pPr>
            <w:r w:rsidRPr="00CC1AEF">
              <w:rPr>
                <w:rFonts w:asciiTheme="minorHAnsi" w:hAnsiTheme="minorHAnsi" w:cstheme="minorHAnsi"/>
                <w:sz w:val="22"/>
                <w:szCs w:val="22"/>
              </w:rPr>
              <w:t>Au minimum, le</w:t>
            </w:r>
            <w:r w:rsidR="003B1165" w:rsidRPr="00CC1AEF">
              <w:rPr>
                <w:rFonts w:asciiTheme="minorHAnsi" w:hAnsiTheme="minorHAnsi" w:cstheme="minorHAnsi"/>
                <w:sz w:val="22"/>
                <w:szCs w:val="22"/>
              </w:rPr>
              <w:t xml:space="preserve"> PSP veille-t-il </w:t>
            </w:r>
            <w:r w:rsidRPr="00CC1AEF">
              <w:rPr>
                <w:rFonts w:asciiTheme="minorHAnsi" w:hAnsiTheme="minorHAnsi" w:cstheme="minorHAnsi"/>
                <w:sz w:val="22"/>
                <w:szCs w:val="22"/>
              </w:rPr>
              <w:t>à ce qu'il soit très peu probable, avec ces dispositifs et logiciels d'accès, qu'un tiers non autorisé soit authentifié comme étant le payeur</w:t>
            </w:r>
            <w:r w:rsidR="003B1165" w:rsidRPr="00CC1AEF">
              <w:rPr>
                <w:rFonts w:asciiTheme="minorHAnsi" w:hAnsiTheme="minorHAnsi" w:cstheme="minorHAnsi"/>
                <w:sz w:val="22"/>
                <w:szCs w:val="22"/>
              </w:rPr>
              <w:t> ?</w:t>
            </w:r>
          </w:p>
        </w:tc>
        <w:tc>
          <w:tcPr>
            <w:tcW w:w="1465" w:type="dxa"/>
          </w:tcPr>
          <w:p w14:paraId="1282ED61" w14:textId="77777777" w:rsidR="006028DC" w:rsidRPr="00CC1AEF" w:rsidRDefault="006028DC" w:rsidP="009973F6">
            <w:pPr>
              <w:jc w:val="center"/>
              <w:rPr>
                <w:rFonts w:asciiTheme="minorHAnsi" w:hAnsiTheme="minorHAnsi" w:cstheme="minorHAnsi"/>
                <w:b/>
                <w:sz w:val="22"/>
                <w:szCs w:val="22"/>
              </w:rPr>
            </w:pPr>
          </w:p>
        </w:tc>
        <w:tc>
          <w:tcPr>
            <w:tcW w:w="6698" w:type="dxa"/>
          </w:tcPr>
          <w:p w14:paraId="43D96C31"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78E1BAE2" w14:textId="77777777" w:rsidTr="00683E60">
        <w:tc>
          <w:tcPr>
            <w:tcW w:w="1595" w:type="dxa"/>
            <w:vMerge/>
          </w:tcPr>
          <w:p w14:paraId="67D2E7A2" w14:textId="77777777" w:rsidR="006028DC" w:rsidRPr="00CC1AEF" w:rsidRDefault="006028DC" w:rsidP="009973F6">
            <w:pPr>
              <w:jc w:val="center"/>
              <w:rPr>
                <w:rFonts w:asciiTheme="minorHAnsi" w:hAnsiTheme="minorHAnsi" w:cstheme="minorHAnsi"/>
                <w:b/>
                <w:sz w:val="22"/>
                <w:szCs w:val="22"/>
              </w:rPr>
            </w:pPr>
          </w:p>
        </w:tc>
        <w:tc>
          <w:tcPr>
            <w:tcW w:w="4979" w:type="dxa"/>
          </w:tcPr>
          <w:p w14:paraId="210D222C" w14:textId="66829D2B" w:rsidR="001345AA" w:rsidRPr="00CC1AEF" w:rsidRDefault="006028DC" w:rsidP="006028DC">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w:t>
            </w:r>
            <w:r w:rsidR="00BE7328" w:rsidRPr="00CC1AEF">
              <w:rPr>
                <w:rFonts w:asciiTheme="minorHAnsi" w:hAnsiTheme="minorHAnsi" w:cstheme="minorHAnsi"/>
                <w:sz w:val="22"/>
                <w:szCs w:val="22"/>
              </w:rPr>
              <w:t xml:space="preserve"> d'authentification appartenant à la catégorie « inhérence » </w:t>
            </w:r>
            <w:r w:rsidRPr="00CC1AEF">
              <w:rPr>
                <w:rFonts w:asciiTheme="minorHAnsi" w:hAnsiTheme="minorHAnsi" w:cstheme="minorHAnsi"/>
                <w:sz w:val="22"/>
                <w:szCs w:val="22"/>
              </w:rPr>
              <w:t xml:space="preserve"> fait</w:t>
            </w:r>
            <w:r w:rsidR="00945FE7" w:rsidRPr="00CC1AEF">
              <w:rPr>
                <w:rFonts w:asciiTheme="minorHAnsi" w:hAnsiTheme="minorHAnsi" w:cstheme="minorHAnsi"/>
                <w:sz w:val="22"/>
                <w:szCs w:val="22"/>
              </w:rPr>
              <w:t>-il</w:t>
            </w:r>
            <w:r w:rsidRPr="00CC1AEF">
              <w:rPr>
                <w:rFonts w:asciiTheme="minorHAnsi" w:hAnsiTheme="minorHAnsi" w:cstheme="minorHAnsi"/>
                <w:sz w:val="22"/>
                <w:szCs w:val="22"/>
              </w:rPr>
              <w:t xml:space="preserve"> l'objet de mesures garantissant que ces dispositifs et logiciels empêchent toute utilisation non autorisée desdits éléments qui passerait par un accès a</w:t>
            </w:r>
            <w:r w:rsidR="00945FE7" w:rsidRPr="00CC1AEF">
              <w:rPr>
                <w:rFonts w:asciiTheme="minorHAnsi" w:hAnsiTheme="minorHAnsi" w:cstheme="minorHAnsi"/>
                <w:sz w:val="22"/>
                <w:szCs w:val="22"/>
              </w:rPr>
              <w:t>uxdits dispositifs et logiciels ?</w:t>
            </w:r>
          </w:p>
        </w:tc>
        <w:tc>
          <w:tcPr>
            <w:tcW w:w="1465" w:type="dxa"/>
          </w:tcPr>
          <w:p w14:paraId="0FE4B02E" w14:textId="77777777" w:rsidR="006028DC" w:rsidRPr="00CC1AEF" w:rsidRDefault="006028DC" w:rsidP="009973F6">
            <w:pPr>
              <w:jc w:val="center"/>
              <w:rPr>
                <w:rFonts w:asciiTheme="minorHAnsi" w:hAnsiTheme="minorHAnsi" w:cstheme="minorHAnsi"/>
                <w:b/>
                <w:sz w:val="22"/>
                <w:szCs w:val="22"/>
              </w:rPr>
            </w:pPr>
          </w:p>
        </w:tc>
        <w:tc>
          <w:tcPr>
            <w:tcW w:w="6698" w:type="dxa"/>
          </w:tcPr>
          <w:p w14:paraId="53477F0B" w14:textId="77777777" w:rsidR="006028DC" w:rsidRPr="00CC1AEF" w:rsidRDefault="006028DC">
            <w:pPr>
              <w:jc w:val="left"/>
              <w:rPr>
                <w:rFonts w:asciiTheme="minorHAnsi" w:eastAsia="Calibri" w:hAnsiTheme="minorHAnsi" w:cstheme="minorHAnsi"/>
                <w:b/>
                <w:sz w:val="22"/>
                <w:szCs w:val="22"/>
                <w:lang w:eastAsia="en-US"/>
              </w:rPr>
            </w:pPr>
          </w:p>
        </w:tc>
      </w:tr>
      <w:tr w:rsidR="003B1165" w:rsidRPr="00CC1AEF" w14:paraId="48CF124B" w14:textId="77777777" w:rsidTr="006B6ABB">
        <w:tc>
          <w:tcPr>
            <w:tcW w:w="14737" w:type="dxa"/>
            <w:gridSpan w:val="4"/>
            <w:shd w:val="clear" w:color="auto" w:fill="FBD4B4" w:themeFill="accent6" w:themeFillTint="66"/>
          </w:tcPr>
          <w:p w14:paraId="2CC2D0C0" w14:textId="46B35669" w:rsidR="003B1165" w:rsidRPr="00CC1AEF" w:rsidRDefault="003B1165">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Indépendance des éléments</w:t>
            </w:r>
          </w:p>
        </w:tc>
      </w:tr>
      <w:tr w:rsidR="006028DC" w:rsidRPr="00CC1AEF" w14:paraId="5A773622" w14:textId="77777777" w:rsidTr="00683E60">
        <w:tc>
          <w:tcPr>
            <w:tcW w:w="1595" w:type="dxa"/>
          </w:tcPr>
          <w:p w14:paraId="7817392F" w14:textId="2D95715D" w:rsidR="006028DC" w:rsidRPr="00CC1AEF" w:rsidRDefault="003B1165" w:rsidP="009973F6">
            <w:pPr>
              <w:jc w:val="center"/>
              <w:rPr>
                <w:rFonts w:asciiTheme="minorHAnsi" w:hAnsiTheme="minorHAnsi" w:cstheme="minorHAnsi"/>
                <w:b/>
                <w:sz w:val="22"/>
                <w:szCs w:val="22"/>
              </w:rPr>
            </w:pPr>
            <w:r w:rsidRPr="00CC1AEF">
              <w:rPr>
                <w:rFonts w:asciiTheme="minorHAnsi" w:hAnsiTheme="minorHAnsi" w:cstheme="minorHAnsi"/>
                <w:b/>
                <w:sz w:val="22"/>
                <w:szCs w:val="22"/>
              </w:rPr>
              <w:t>9</w:t>
            </w:r>
          </w:p>
        </w:tc>
        <w:tc>
          <w:tcPr>
            <w:tcW w:w="4979" w:type="dxa"/>
          </w:tcPr>
          <w:p w14:paraId="2DF9BF4E" w14:textId="3BD4628C" w:rsidR="001345AA" w:rsidRPr="00CC1AEF" w:rsidRDefault="00280CD2" w:rsidP="00280CD2">
            <w:pPr>
              <w:rPr>
                <w:rFonts w:asciiTheme="minorHAnsi" w:hAnsiTheme="minorHAnsi" w:cstheme="minorHAnsi"/>
                <w:sz w:val="22"/>
                <w:szCs w:val="22"/>
              </w:rPr>
            </w:pPr>
            <w:r w:rsidRPr="00CC1AEF">
              <w:rPr>
                <w:rFonts w:asciiTheme="minorHAnsi" w:hAnsiTheme="minorHAnsi" w:cstheme="minorHAnsi"/>
                <w:sz w:val="22"/>
                <w:szCs w:val="22"/>
              </w:rPr>
              <w:t>Le PSP veille-t-il à ce que l'utilisation des éléments d'authentification forte du client des catégories « possession », « connaissance » et « inhérence </w:t>
            </w:r>
            <w:r w:rsidR="0098552F" w:rsidRPr="00CC1AEF">
              <w:rPr>
                <w:rFonts w:asciiTheme="minorHAnsi" w:hAnsiTheme="minorHAnsi" w:cstheme="minorHAnsi"/>
                <w:sz w:val="22"/>
                <w:szCs w:val="22"/>
              </w:rPr>
              <w:t>», fasse</w:t>
            </w:r>
            <w:r w:rsidRPr="00CC1AEF">
              <w:rPr>
                <w:rFonts w:asciiTheme="minorHAnsi" w:hAnsiTheme="minorHAnsi" w:cstheme="minorHAnsi"/>
                <w:sz w:val="22"/>
                <w:szCs w:val="22"/>
              </w:rPr>
              <w:t xml:space="preserve"> l'objet de mesures garantissant que, sur le plan de la technologie, des algorithmes et des paramètres, la compromission d'un des éléments ne remet pas en question la fiabilité des autres ?</w:t>
            </w:r>
          </w:p>
        </w:tc>
        <w:tc>
          <w:tcPr>
            <w:tcW w:w="1465" w:type="dxa"/>
          </w:tcPr>
          <w:p w14:paraId="612CD74B" w14:textId="77777777" w:rsidR="006028DC" w:rsidRPr="00CC1AEF" w:rsidRDefault="006028DC" w:rsidP="009973F6">
            <w:pPr>
              <w:jc w:val="center"/>
              <w:rPr>
                <w:rFonts w:asciiTheme="minorHAnsi" w:hAnsiTheme="minorHAnsi" w:cstheme="minorHAnsi"/>
                <w:b/>
                <w:sz w:val="22"/>
                <w:szCs w:val="22"/>
              </w:rPr>
            </w:pPr>
          </w:p>
        </w:tc>
        <w:tc>
          <w:tcPr>
            <w:tcW w:w="6698" w:type="dxa"/>
          </w:tcPr>
          <w:p w14:paraId="104C4EC9"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5D75074A" w14:textId="77777777" w:rsidTr="00683E60">
        <w:tc>
          <w:tcPr>
            <w:tcW w:w="1595" w:type="dxa"/>
          </w:tcPr>
          <w:p w14:paraId="2A648A46" w14:textId="77777777" w:rsidR="006028DC" w:rsidRPr="00CC1AEF" w:rsidRDefault="006028DC" w:rsidP="009973F6">
            <w:pPr>
              <w:jc w:val="center"/>
              <w:rPr>
                <w:rFonts w:asciiTheme="minorHAnsi" w:hAnsiTheme="minorHAnsi" w:cstheme="minorHAnsi"/>
                <w:b/>
                <w:sz w:val="22"/>
                <w:szCs w:val="22"/>
              </w:rPr>
            </w:pPr>
          </w:p>
        </w:tc>
        <w:tc>
          <w:tcPr>
            <w:tcW w:w="4979" w:type="dxa"/>
          </w:tcPr>
          <w:p w14:paraId="014BC67E" w14:textId="78338A46" w:rsidR="006028DC" w:rsidRPr="00CC1AEF" w:rsidRDefault="00280CD2" w:rsidP="00280CD2">
            <w:pPr>
              <w:rPr>
                <w:rFonts w:asciiTheme="minorHAnsi" w:hAnsiTheme="minorHAnsi" w:cstheme="minorHAnsi"/>
                <w:sz w:val="22"/>
                <w:szCs w:val="22"/>
              </w:rPr>
            </w:pPr>
            <w:r w:rsidRPr="00CC1AEF">
              <w:rPr>
                <w:rFonts w:asciiTheme="minorHAnsi" w:hAnsiTheme="minorHAnsi" w:cstheme="minorHAnsi"/>
                <w:sz w:val="22"/>
                <w:szCs w:val="22"/>
              </w:rPr>
              <w:t>Lorsque l’un des éléments d’authentification forte du client ou le code d’authentification proprement dit est utilisé au travers d'un dispositif multifonctionnel, le PSP a-t-il mis en place des mesures de sécurité pour réduire le risque qui découlerait de l'altération de ce dispositif multifonctionnel</w:t>
            </w:r>
            <w:r w:rsidR="00BE7328">
              <w:rPr>
                <w:rFonts w:asciiTheme="minorHAnsi" w:hAnsiTheme="minorHAnsi" w:cstheme="minorHAnsi"/>
                <w:sz w:val="22"/>
                <w:szCs w:val="22"/>
              </w:rPr>
              <w:t xml:space="preserve"> et ce</w:t>
            </w:r>
            <w:r w:rsidR="009F7FD9" w:rsidRPr="00CC1AEF">
              <w:rPr>
                <w:rFonts w:asciiTheme="minorHAnsi" w:hAnsiTheme="minorHAnsi" w:cstheme="minorHAnsi"/>
                <w:sz w:val="22"/>
                <w:szCs w:val="22"/>
              </w:rPr>
              <w:t xml:space="preserve">s mesures d’atténuation prévoient-elles </w:t>
            </w:r>
            <w:r w:rsidR="00BE7328">
              <w:rPr>
                <w:rFonts w:asciiTheme="minorHAnsi" w:hAnsiTheme="minorHAnsi" w:cstheme="minorHAnsi"/>
                <w:sz w:val="22"/>
                <w:szCs w:val="22"/>
              </w:rPr>
              <w:t xml:space="preserve">bien </w:t>
            </w:r>
            <w:r w:rsidR="009F7FD9" w:rsidRPr="00CC1AEF">
              <w:rPr>
                <w:rFonts w:asciiTheme="minorHAnsi" w:hAnsiTheme="minorHAnsi" w:cstheme="minorHAnsi"/>
                <w:sz w:val="22"/>
                <w:szCs w:val="22"/>
              </w:rPr>
              <w:t>chacu</w:t>
            </w:r>
            <w:r w:rsidR="00BE7328">
              <w:rPr>
                <w:rFonts w:asciiTheme="minorHAnsi" w:hAnsiTheme="minorHAnsi" w:cstheme="minorHAnsi"/>
                <w:sz w:val="22"/>
                <w:szCs w:val="22"/>
              </w:rPr>
              <w:t>n des éléments listés ci-après ?</w:t>
            </w:r>
          </w:p>
          <w:p w14:paraId="17E1C7C4" w14:textId="4B0B7C09" w:rsidR="009F7FD9" w:rsidRPr="00CC1AEF" w:rsidRDefault="009F7FD9" w:rsidP="009F7FD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l'utilisation d'environnements d'exécution sécurisés distincts grâce au logiciel installé sur le dispositif multifonctionnel ;</w:t>
            </w:r>
          </w:p>
          <w:p w14:paraId="0E2AE8D9" w14:textId="77777777" w:rsidR="009F7FD9" w:rsidRPr="00CC1AEF" w:rsidRDefault="009F7FD9" w:rsidP="009F7FD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permettant de garantir que le logiciel ou le dispositif n'a pas été altéré par le payeur ou par un tiers ;</w:t>
            </w:r>
          </w:p>
          <w:p w14:paraId="6E1963B0" w14:textId="5DD56C39" w:rsidR="009F7FD9" w:rsidRPr="00A85C3C" w:rsidRDefault="009F7FD9" w:rsidP="00A85C3C">
            <w:pPr>
              <w:pStyle w:val="Paragraphedeliste"/>
              <w:numPr>
                <w:ilvl w:val="0"/>
                <w:numId w:val="119"/>
              </w:numPr>
              <w:rPr>
                <w:rFonts w:asciiTheme="minorHAnsi" w:hAnsiTheme="minorHAnsi" w:cstheme="minorHAnsi"/>
                <w:szCs w:val="22"/>
              </w:rPr>
            </w:pPr>
            <w:r w:rsidRPr="00D84D7E">
              <w:rPr>
                <w:rFonts w:asciiTheme="minorHAnsi" w:hAnsiTheme="minorHAnsi" w:cstheme="minorHAnsi"/>
                <w:szCs w:val="22"/>
              </w:rPr>
              <w:t>en cas d'altérations, des mécanismes permettant de réduire les conséquences de celles-ci.</w:t>
            </w:r>
          </w:p>
        </w:tc>
        <w:tc>
          <w:tcPr>
            <w:tcW w:w="1465" w:type="dxa"/>
          </w:tcPr>
          <w:p w14:paraId="5F1242FC" w14:textId="77777777" w:rsidR="006028DC" w:rsidRPr="00CC1AEF" w:rsidRDefault="006028DC" w:rsidP="009973F6">
            <w:pPr>
              <w:jc w:val="center"/>
              <w:rPr>
                <w:rFonts w:asciiTheme="minorHAnsi" w:hAnsiTheme="minorHAnsi" w:cstheme="minorHAnsi"/>
                <w:b/>
                <w:sz w:val="22"/>
                <w:szCs w:val="22"/>
              </w:rPr>
            </w:pPr>
          </w:p>
        </w:tc>
        <w:tc>
          <w:tcPr>
            <w:tcW w:w="6698" w:type="dxa"/>
          </w:tcPr>
          <w:p w14:paraId="5AA094B0" w14:textId="77777777" w:rsidR="006028DC" w:rsidRPr="00CC1AEF" w:rsidRDefault="006028DC">
            <w:pPr>
              <w:jc w:val="left"/>
              <w:rPr>
                <w:rFonts w:asciiTheme="minorHAnsi" w:eastAsia="Calibri" w:hAnsiTheme="minorHAnsi" w:cstheme="minorHAnsi"/>
                <w:b/>
                <w:sz w:val="22"/>
                <w:szCs w:val="22"/>
                <w:lang w:eastAsia="en-US"/>
              </w:rPr>
            </w:pPr>
          </w:p>
        </w:tc>
      </w:tr>
      <w:tr w:rsidR="001345AA" w:rsidRPr="00CC1AEF" w14:paraId="3C063B5B" w14:textId="77777777" w:rsidTr="00A36997">
        <w:tc>
          <w:tcPr>
            <w:tcW w:w="14737" w:type="dxa"/>
            <w:gridSpan w:val="4"/>
            <w:shd w:val="clear" w:color="auto" w:fill="8DB3E2" w:themeFill="text2" w:themeFillTint="66"/>
          </w:tcPr>
          <w:p w14:paraId="0D1D6707" w14:textId="564254AC" w:rsidR="001345AA" w:rsidRPr="00CC1AEF" w:rsidRDefault="001345AA">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DÉROGATIONS À L'OBLIGATION D'AUTHENTIFICATION FORTE DU CLIENT</w:t>
            </w:r>
          </w:p>
        </w:tc>
      </w:tr>
      <w:tr w:rsidR="001345AA" w:rsidRPr="00CC1AEF" w14:paraId="20246E3D" w14:textId="77777777" w:rsidTr="006B6ABB">
        <w:tc>
          <w:tcPr>
            <w:tcW w:w="14737" w:type="dxa"/>
            <w:gridSpan w:val="4"/>
            <w:shd w:val="clear" w:color="auto" w:fill="FBD4B4" w:themeFill="accent6" w:themeFillTint="66"/>
          </w:tcPr>
          <w:p w14:paraId="1CC3D739" w14:textId="2BDFDEDD" w:rsidR="001345AA" w:rsidRPr="00CC1AEF" w:rsidRDefault="001345AA">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Analyse des risques liés à l'opération</w:t>
            </w:r>
          </w:p>
        </w:tc>
      </w:tr>
      <w:tr w:rsidR="006028DC" w:rsidRPr="00CC1AEF" w14:paraId="1EE3DDCD" w14:textId="77777777" w:rsidTr="00683E60">
        <w:tc>
          <w:tcPr>
            <w:tcW w:w="1595" w:type="dxa"/>
          </w:tcPr>
          <w:p w14:paraId="6DDB22F0" w14:textId="3BC6906E" w:rsidR="006028DC" w:rsidRPr="00CC1AEF" w:rsidRDefault="001345A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18</w:t>
            </w:r>
          </w:p>
        </w:tc>
        <w:tc>
          <w:tcPr>
            <w:tcW w:w="4979" w:type="dxa"/>
          </w:tcPr>
          <w:p w14:paraId="286248CE" w14:textId="74DBCF54" w:rsidR="000955A0" w:rsidRPr="00CC1AEF" w:rsidRDefault="00D84D7E" w:rsidP="006028DC">
            <w:pPr>
              <w:rPr>
                <w:rFonts w:asciiTheme="minorHAnsi" w:hAnsiTheme="minorHAnsi" w:cstheme="minorHAnsi"/>
                <w:sz w:val="22"/>
                <w:szCs w:val="22"/>
              </w:rPr>
            </w:pPr>
            <w:r>
              <w:rPr>
                <w:rFonts w:asciiTheme="minorHAnsi" w:hAnsiTheme="minorHAnsi" w:cstheme="minorHAnsi"/>
                <w:sz w:val="22"/>
                <w:szCs w:val="22"/>
              </w:rPr>
              <w:t xml:space="preserve">En cas d’usage </w:t>
            </w:r>
            <w:r w:rsidR="005D3389">
              <w:rPr>
                <w:rFonts w:asciiTheme="minorHAnsi" w:hAnsiTheme="minorHAnsi" w:cstheme="minorHAnsi"/>
                <w:sz w:val="22"/>
                <w:szCs w:val="22"/>
              </w:rPr>
              <w:t>de l’exemption au titre de l’analyse des risques</w:t>
            </w:r>
            <w:r>
              <w:rPr>
                <w:rFonts w:asciiTheme="minorHAnsi" w:hAnsiTheme="minorHAnsi" w:cstheme="minorHAnsi"/>
                <w:sz w:val="22"/>
                <w:szCs w:val="22"/>
              </w:rPr>
              <w:t>, le PSP</w:t>
            </w:r>
            <w:r w:rsidR="005D3389">
              <w:rPr>
                <w:rFonts w:asciiTheme="minorHAnsi" w:hAnsiTheme="minorHAnsi" w:cstheme="minorHAnsi"/>
                <w:sz w:val="22"/>
                <w:szCs w:val="22"/>
              </w:rPr>
              <w:t xml:space="preserve"> respecte</w:t>
            </w:r>
            <w:r>
              <w:rPr>
                <w:rFonts w:asciiTheme="minorHAnsi" w:hAnsiTheme="minorHAnsi" w:cstheme="minorHAnsi"/>
                <w:sz w:val="22"/>
                <w:szCs w:val="22"/>
              </w:rPr>
              <w:t>-t-il</w:t>
            </w:r>
            <w:r w:rsidR="005D3389">
              <w:rPr>
                <w:rFonts w:asciiTheme="minorHAnsi" w:hAnsiTheme="minorHAnsi" w:cstheme="minorHAnsi"/>
                <w:sz w:val="22"/>
                <w:szCs w:val="22"/>
              </w:rPr>
              <w:t xml:space="preserve"> bien les exigences listées </w:t>
            </w:r>
            <w:r w:rsidR="00C15E39" w:rsidRPr="00CC1AEF">
              <w:rPr>
                <w:rFonts w:asciiTheme="minorHAnsi" w:hAnsiTheme="minorHAnsi" w:cstheme="minorHAnsi"/>
                <w:sz w:val="22"/>
                <w:szCs w:val="22"/>
              </w:rPr>
              <w:t>ci-après</w:t>
            </w:r>
            <w:r w:rsidR="00C17676" w:rsidRPr="00CC1AEF">
              <w:rPr>
                <w:rFonts w:asciiTheme="minorHAnsi" w:hAnsiTheme="minorHAnsi" w:cstheme="minorHAnsi"/>
                <w:sz w:val="22"/>
                <w:szCs w:val="22"/>
              </w:rPr>
              <w:t> ?</w:t>
            </w:r>
          </w:p>
          <w:p w14:paraId="66050DF0" w14:textId="475D377D" w:rsidR="00C15E39" w:rsidRPr="00CC1AEF" w:rsidRDefault="00C15E39" w:rsidP="00C15E3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 taux de fraude pour ce type d'opération est équivalent ou inférieur aux taux de référence en matière de fraude mentionnés en annexe </w:t>
            </w:r>
            <w:r w:rsidR="00C17676" w:rsidRPr="00CC1AEF">
              <w:rPr>
                <w:rFonts w:asciiTheme="minorHAnsi" w:hAnsiTheme="minorHAnsi" w:cstheme="minorHAnsi"/>
                <w:szCs w:val="22"/>
              </w:rPr>
              <w:t xml:space="preserve">du règlement délégué 2018/389 </w:t>
            </w:r>
            <w:r w:rsidRPr="00CC1AEF">
              <w:rPr>
                <w:rFonts w:asciiTheme="minorHAnsi" w:hAnsiTheme="minorHAnsi" w:cstheme="minorHAnsi"/>
                <w:szCs w:val="22"/>
              </w:rPr>
              <w:t>pour les «paiements électroniques à distance liés à une carte» et les «virements électroniques à distance» respectivement ;</w:t>
            </w:r>
          </w:p>
          <w:p w14:paraId="2095B8F3" w14:textId="00B097C9" w:rsidR="00C15E39" w:rsidRPr="00CC1AEF" w:rsidRDefault="00C15E39" w:rsidP="00C15E3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 le montant de l'opération ne dépasse pas la valeur-seuil de dérogation correspondante mentionnée en annexe</w:t>
            </w:r>
            <w:r w:rsidR="00C17676" w:rsidRPr="00CC1AEF">
              <w:rPr>
                <w:rFonts w:asciiTheme="minorHAnsi" w:hAnsiTheme="minorHAnsi" w:cstheme="minorHAnsi"/>
                <w:szCs w:val="22"/>
              </w:rPr>
              <w:t xml:space="preserve"> du règlement délégué 2018/389</w:t>
            </w:r>
            <w:r w:rsidRPr="00CC1AEF">
              <w:rPr>
                <w:rFonts w:asciiTheme="minorHAnsi" w:hAnsiTheme="minorHAnsi" w:cstheme="minorHAnsi"/>
                <w:szCs w:val="22"/>
              </w:rPr>
              <w:t xml:space="preserve"> ; </w:t>
            </w:r>
          </w:p>
          <w:p w14:paraId="68D19EEA" w14:textId="38E7FA46" w:rsidR="00C17676" w:rsidRPr="00CC1AEF" w:rsidRDefault="00C17676" w:rsidP="00A36997">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w:t>
            </w:r>
            <w:r w:rsidR="00C15E39" w:rsidRPr="00CC1AEF">
              <w:rPr>
                <w:rFonts w:asciiTheme="minorHAnsi" w:hAnsiTheme="minorHAnsi" w:cstheme="minorHAnsi"/>
                <w:szCs w:val="22"/>
              </w:rPr>
              <w:t>e PSP n’a décelé aucun des éléments suivants à l'issue d'une analyse en temps réel des risques :</w:t>
            </w:r>
          </w:p>
          <w:p w14:paraId="16C38088" w14:textId="139405C8"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w:t>
            </w:r>
            <w:r w:rsidR="005270C9" w:rsidRPr="00CC1AEF">
              <w:rPr>
                <w:rFonts w:asciiTheme="minorHAnsi" w:hAnsiTheme="minorHAnsi" w:cstheme="minorHAnsi"/>
                <w:szCs w:val="22"/>
              </w:rPr>
              <w:t xml:space="preserve"> </w:t>
            </w:r>
            <w:r w:rsidRPr="00CC1AEF">
              <w:rPr>
                <w:rFonts w:asciiTheme="minorHAnsi" w:hAnsiTheme="minorHAnsi" w:cstheme="minorHAnsi"/>
                <w:szCs w:val="22"/>
              </w:rPr>
              <w:t>des dépenses anormales ou un type de comportement anormal du payeur ;</w:t>
            </w:r>
          </w:p>
          <w:p w14:paraId="5545D636" w14:textId="77777777"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des informations inhabituelles concernant l'utilisation du dispositif ou logiciel du payeur à des fins d'accès ;</w:t>
            </w:r>
          </w:p>
          <w:p w14:paraId="21945C60" w14:textId="043B7526"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iii) des signes d'infection par un logiciel malveillant lors d'une session de la procédure d'authentification</w:t>
            </w:r>
            <w:r w:rsidR="005270C9" w:rsidRPr="00CC1AEF">
              <w:rPr>
                <w:rFonts w:asciiTheme="minorHAnsi" w:hAnsiTheme="minorHAnsi" w:cstheme="minorHAnsi"/>
                <w:szCs w:val="22"/>
              </w:rPr>
              <w:t> ;</w:t>
            </w:r>
            <w:r w:rsidRPr="00CC1AEF">
              <w:rPr>
                <w:rFonts w:asciiTheme="minorHAnsi" w:hAnsiTheme="minorHAnsi" w:cstheme="minorHAnsi"/>
                <w:szCs w:val="22"/>
              </w:rPr>
              <w:t xml:space="preserve"> </w:t>
            </w:r>
          </w:p>
          <w:p w14:paraId="767DB173" w14:textId="105018D2"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iv) un scénario connu de fraude dans le cadre de la prestation de services de paiement ;</w:t>
            </w:r>
          </w:p>
          <w:p w14:paraId="10F9B2E9" w14:textId="1DBB419F"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v) une localisation anormale du payeur ;</w:t>
            </w:r>
          </w:p>
          <w:p w14:paraId="19945B71" w14:textId="65777E95"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vi) une localisation du bénéficiaire présentant des risques élevés.</w:t>
            </w:r>
          </w:p>
          <w:p w14:paraId="44937DA1" w14:textId="21798E7D" w:rsidR="000955A0" w:rsidRPr="00CC1AEF" w:rsidRDefault="00C17676" w:rsidP="00C17676">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A minima les facteurs liés aux risques listés ci-après sont pris en compte :</w:t>
            </w:r>
          </w:p>
          <w:p w14:paraId="0A7FDB56" w14:textId="77777777" w:rsidR="00C17676" w:rsidRPr="00CC1AEF" w:rsidRDefault="00C17676"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 les habitudes de dépenses antérieures de l'utilisateur individuel de services de paiement ; ii) l'historique des opérations de paiement de chacun des utilisateurs de services de paiement du prestataire de services de paiement ;</w:t>
            </w:r>
          </w:p>
          <w:p w14:paraId="0A780D91" w14:textId="77777777" w:rsidR="00C17676" w:rsidRPr="00CC1AEF" w:rsidRDefault="00C17676"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iii) la localisation du payeur et du bénéficiaire au moment de l'opération de paiement dans les cas où le dispositif d'accès ou le logiciel est fourni par le prestataire de services de paiement ;</w:t>
            </w:r>
          </w:p>
          <w:p w14:paraId="0AD84854" w14:textId="5FA5BEF7" w:rsidR="000955A0" w:rsidRPr="00A85C3C" w:rsidRDefault="00C17676" w:rsidP="00A85C3C">
            <w:pPr>
              <w:pStyle w:val="Paragraphedeliste"/>
              <w:ind w:left="567"/>
            </w:pPr>
            <w:r w:rsidRPr="00CC1AEF">
              <w:rPr>
                <w:rFonts w:asciiTheme="minorHAnsi" w:hAnsiTheme="minorHAnsi" w:cstheme="minorHAnsi"/>
                <w:szCs w:val="22"/>
              </w:rPr>
              <w:t>iv) l'identification de comportements de paiement anormaux de l'utilisateur de services de paiement par rapport à l'historique de ses opérations de paiement.</w:t>
            </w:r>
          </w:p>
        </w:tc>
        <w:tc>
          <w:tcPr>
            <w:tcW w:w="1465" w:type="dxa"/>
          </w:tcPr>
          <w:p w14:paraId="265B6ACD" w14:textId="77777777" w:rsidR="006028DC" w:rsidRPr="00CC1AEF" w:rsidRDefault="006028DC" w:rsidP="009973F6">
            <w:pPr>
              <w:jc w:val="center"/>
              <w:rPr>
                <w:rFonts w:asciiTheme="minorHAnsi" w:hAnsiTheme="minorHAnsi" w:cstheme="minorHAnsi"/>
                <w:b/>
                <w:sz w:val="22"/>
                <w:szCs w:val="22"/>
              </w:rPr>
            </w:pPr>
          </w:p>
        </w:tc>
        <w:tc>
          <w:tcPr>
            <w:tcW w:w="6698" w:type="dxa"/>
          </w:tcPr>
          <w:p w14:paraId="1C1CFB5D" w14:textId="77777777" w:rsidR="006028DC" w:rsidRPr="00CC1AEF" w:rsidRDefault="006028DC">
            <w:pPr>
              <w:jc w:val="left"/>
              <w:rPr>
                <w:rFonts w:asciiTheme="minorHAnsi" w:eastAsia="Calibri" w:hAnsiTheme="minorHAnsi" w:cstheme="minorHAnsi"/>
                <w:b/>
                <w:sz w:val="22"/>
                <w:szCs w:val="22"/>
                <w:lang w:eastAsia="en-US"/>
              </w:rPr>
            </w:pPr>
          </w:p>
        </w:tc>
      </w:tr>
      <w:tr w:rsidR="00C17676" w:rsidRPr="00CC1AEF" w14:paraId="3EBD10A0" w14:textId="77777777" w:rsidTr="006B6ABB">
        <w:tc>
          <w:tcPr>
            <w:tcW w:w="14737" w:type="dxa"/>
            <w:gridSpan w:val="4"/>
            <w:shd w:val="clear" w:color="auto" w:fill="FBD4B4" w:themeFill="accent6" w:themeFillTint="66"/>
          </w:tcPr>
          <w:p w14:paraId="308D7B39" w14:textId="59386DA9" w:rsidR="00C17676" w:rsidRPr="00CC1AEF" w:rsidRDefault="00C17676">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Calcul du taux de fraude</w:t>
            </w:r>
          </w:p>
        </w:tc>
      </w:tr>
      <w:tr w:rsidR="00277210" w:rsidRPr="00CC1AEF" w14:paraId="76E28031" w14:textId="77777777" w:rsidTr="00683E60">
        <w:tc>
          <w:tcPr>
            <w:tcW w:w="1595" w:type="dxa"/>
            <w:vMerge w:val="restart"/>
          </w:tcPr>
          <w:p w14:paraId="76339892" w14:textId="21FE84F6" w:rsidR="00277210" w:rsidRPr="00CC1AEF" w:rsidRDefault="00277210" w:rsidP="009973F6">
            <w:pPr>
              <w:jc w:val="center"/>
              <w:rPr>
                <w:rFonts w:asciiTheme="minorHAnsi" w:hAnsiTheme="minorHAnsi" w:cstheme="minorHAnsi"/>
                <w:b/>
                <w:sz w:val="22"/>
                <w:szCs w:val="22"/>
              </w:rPr>
            </w:pPr>
            <w:r w:rsidRPr="00CC1AEF">
              <w:rPr>
                <w:rFonts w:asciiTheme="minorHAnsi" w:hAnsiTheme="minorHAnsi" w:cstheme="minorHAnsi"/>
                <w:b/>
                <w:sz w:val="22"/>
                <w:szCs w:val="22"/>
              </w:rPr>
              <w:t>19</w:t>
            </w:r>
          </w:p>
        </w:tc>
        <w:tc>
          <w:tcPr>
            <w:tcW w:w="4979" w:type="dxa"/>
          </w:tcPr>
          <w:p w14:paraId="34712010" w14:textId="749BF806" w:rsidR="00277210" w:rsidRPr="00A85C3C" w:rsidRDefault="00277210" w:rsidP="00B90E53">
            <w:pPr>
              <w:rPr>
                <w:rFonts w:asciiTheme="minorHAnsi" w:hAnsiTheme="minorHAnsi" w:cstheme="minorHAnsi"/>
                <w:sz w:val="16"/>
                <w:szCs w:val="16"/>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le PSP veille-t-il à ce que les taux de fraude globaux </w:t>
            </w:r>
            <w:r w:rsidR="00370A27">
              <w:rPr>
                <w:rFonts w:asciiTheme="minorHAnsi" w:hAnsiTheme="minorHAnsi" w:cstheme="minorHAnsi"/>
                <w:sz w:val="22"/>
                <w:szCs w:val="22"/>
              </w:rPr>
              <w:t xml:space="preserve">mesurés </w:t>
            </w:r>
            <w:r>
              <w:rPr>
                <w:rFonts w:asciiTheme="minorHAnsi" w:hAnsiTheme="minorHAnsi" w:cstheme="minorHAnsi"/>
                <w:sz w:val="22"/>
                <w:szCs w:val="22"/>
              </w:rPr>
              <w:t xml:space="preserve">pour chacun des motifs d’exemption à l’authentification forte (visés aux art. 13 à 18) </w:t>
            </w:r>
            <w:r w:rsidRPr="00CC1AEF">
              <w:rPr>
                <w:rFonts w:asciiTheme="minorHAnsi" w:hAnsiTheme="minorHAnsi" w:cstheme="minorHAnsi"/>
                <w:sz w:val="22"/>
                <w:szCs w:val="22"/>
              </w:rPr>
              <w:t xml:space="preserve">soient équivalents ou inférieurs au taux </w:t>
            </w:r>
            <w:r w:rsidR="00370A27">
              <w:rPr>
                <w:rFonts w:asciiTheme="minorHAnsi" w:hAnsiTheme="minorHAnsi" w:cstheme="minorHAnsi"/>
                <w:sz w:val="22"/>
                <w:szCs w:val="22"/>
              </w:rPr>
              <w:t xml:space="preserve">maximal autorisé par </w:t>
            </w:r>
            <w:r>
              <w:rPr>
                <w:rFonts w:asciiTheme="minorHAnsi" w:hAnsiTheme="minorHAnsi" w:cstheme="minorHAnsi"/>
                <w:sz w:val="22"/>
                <w:szCs w:val="22"/>
              </w:rPr>
              <w:t xml:space="preserve">tranche de montant </w:t>
            </w:r>
            <w:r w:rsidR="00370A27">
              <w:rPr>
                <w:rFonts w:asciiTheme="minorHAnsi" w:hAnsiTheme="minorHAnsi" w:cstheme="minorHAnsi"/>
                <w:sz w:val="22"/>
                <w:szCs w:val="22"/>
              </w:rPr>
              <w:t xml:space="preserve">tel que fixé </w:t>
            </w:r>
            <w:r w:rsidR="00C54F2D">
              <w:rPr>
                <w:rFonts w:asciiTheme="minorHAnsi" w:hAnsiTheme="minorHAnsi" w:cstheme="minorHAnsi"/>
                <w:sz w:val="22"/>
                <w:szCs w:val="22"/>
              </w:rPr>
              <w:t>dans</w:t>
            </w:r>
            <w:r w:rsidR="00370A27">
              <w:rPr>
                <w:rFonts w:asciiTheme="minorHAnsi" w:hAnsiTheme="minorHAnsi" w:cstheme="minorHAnsi"/>
                <w:sz w:val="22"/>
                <w:szCs w:val="22"/>
              </w:rPr>
              <w:t xml:space="preserve"> l’annexe des </w:t>
            </w:r>
            <w:r w:rsidRPr="00CC1AEF">
              <w:rPr>
                <w:rFonts w:asciiTheme="minorHAnsi" w:hAnsiTheme="minorHAnsi" w:cstheme="minorHAnsi"/>
                <w:sz w:val="22"/>
                <w:szCs w:val="22"/>
              </w:rPr>
              <w:t>RTS ?</w:t>
            </w:r>
          </w:p>
        </w:tc>
        <w:tc>
          <w:tcPr>
            <w:tcW w:w="1465" w:type="dxa"/>
          </w:tcPr>
          <w:p w14:paraId="72E7C593" w14:textId="77777777" w:rsidR="00277210" w:rsidRPr="00CC1AEF" w:rsidRDefault="00277210" w:rsidP="009973F6">
            <w:pPr>
              <w:jc w:val="center"/>
              <w:rPr>
                <w:rFonts w:asciiTheme="minorHAnsi" w:hAnsiTheme="minorHAnsi" w:cstheme="minorHAnsi"/>
                <w:b/>
                <w:sz w:val="22"/>
                <w:szCs w:val="22"/>
              </w:rPr>
            </w:pPr>
          </w:p>
        </w:tc>
        <w:tc>
          <w:tcPr>
            <w:tcW w:w="6698" w:type="dxa"/>
          </w:tcPr>
          <w:p w14:paraId="40938858" w14:textId="77777777" w:rsidR="00277210" w:rsidRPr="00CC1AEF" w:rsidRDefault="00277210">
            <w:pPr>
              <w:jc w:val="left"/>
              <w:rPr>
                <w:rFonts w:asciiTheme="minorHAnsi" w:eastAsia="Calibri" w:hAnsiTheme="minorHAnsi" w:cstheme="minorHAnsi"/>
                <w:b/>
                <w:sz w:val="22"/>
                <w:szCs w:val="22"/>
                <w:lang w:eastAsia="en-US"/>
              </w:rPr>
            </w:pPr>
          </w:p>
        </w:tc>
      </w:tr>
      <w:tr w:rsidR="00277210" w:rsidRPr="00CC1AEF" w14:paraId="75902415" w14:textId="77777777" w:rsidTr="00683E60">
        <w:tc>
          <w:tcPr>
            <w:tcW w:w="1595" w:type="dxa"/>
            <w:vMerge/>
          </w:tcPr>
          <w:p w14:paraId="6A5CCB0A" w14:textId="77777777" w:rsidR="00277210" w:rsidRPr="00CC1AEF" w:rsidRDefault="00277210" w:rsidP="009973F6">
            <w:pPr>
              <w:jc w:val="center"/>
              <w:rPr>
                <w:rFonts w:asciiTheme="minorHAnsi" w:hAnsiTheme="minorHAnsi" w:cstheme="minorHAnsi"/>
                <w:b/>
                <w:sz w:val="22"/>
                <w:szCs w:val="22"/>
              </w:rPr>
            </w:pPr>
          </w:p>
        </w:tc>
        <w:tc>
          <w:tcPr>
            <w:tcW w:w="4979" w:type="dxa"/>
          </w:tcPr>
          <w:p w14:paraId="04556A0B" w14:textId="2A3FC05D" w:rsidR="00277210" w:rsidRDefault="00277210" w:rsidP="006028DC">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w:t>
            </w:r>
            <w:r>
              <w:rPr>
                <w:rFonts w:asciiTheme="minorHAnsi" w:hAnsiTheme="minorHAnsi" w:cstheme="minorHAnsi"/>
                <w:sz w:val="22"/>
                <w:szCs w:val="22"/>
              </w:rPr>
              <w:t xml:space="preserve">les taux de fraude pour chacun des motifs d’exemption à l’authentification forte (visés aux art. 13 à 18) sont bien calculés </w:t>
            </w:r>
            <w:r w:rsidR="00D44900">
              <w:rPr>
                <w:rFonts w:asciiTheme="minorHAnsi" w:hAnsiTheme="minorHAnsi" w:cstheme="minorHAnsi"/>
                <w:sz w:val="22"/>
                <w:szCs w:val="22"/>
              </w:rPr>
              <w:t xml:space="preserve">par le PSP </w:t>
            </w:r>
            <w:r>
              <w:rPr>
                <w:rFonts w:asciiTheme="minorHAnsi" w:hAnsiTheme="minorHAnsi" w:cstheme="minorHAnsi"/>
                <w:sz w:val="22"/>
                <w:szCs w:val="22"/>
              </w:rPr>
              <w:t>:</w:t>
            </w:r>
          </w:p>
          <w:p w14:paraId="35C39124" w14:textId="4E6BDE26" w:rsidR="00277210" w:rsidRDefault="00277210" w:rsidP="006028DC">
            <w:pPr>
              <w:rPr>
                <w:rFonts w:asciiTheme="minorHAnsi" w:hAnsiTheme="minorHAnsi" w:cstheme="minorHAnsi"/>
                <w:sz w:val="22"/>
                <w:szCs w:val="22"/>
              </w:rPr>
            </w:pPr>
            <w:r>
              <w:rPr>
                <w:rFonts w:asciiTheme="minorHAnsi" w:hAnsiTheme="minorHAnsi" w:cstheme="minorHAnsi"/>
                <w:sz w:val="22"/>
                <w:szCs w:val="22"/>
              </w:rPr>
              <w:t>- par le montant initial des opérations de paiement frauduleuses (approche « fraude brute ») divisé par la valeur totale de l’ensemble des opérations de paiement avec ou sans authentification forte ;</w:t>
            </w:r>
          </w:p>
          <w:p w14:paraId="04E62690" w14:textId="596B987A" w:rsidR="00E71DDB" w:rsidRPr="00F355FF" w:rsidRDefault="00277210" w:rsidP="006028DC">
            <w:pPr>
              <w:rPr>
                <w:rFonts w:asciiTheme="minorHAnsi" w:hAnsiTheme="minorHAnsi" w:cstheme="minorHAnsi"/>
                <w:sz w:val="22"/>
                <w:szCs w:val="22"/>
              </w:rPr>
            </w:pPr>
            <w:r>
              <w:rPr>
                <w:rFonts w:asciiTheme="minorHAnsi" w:hAnsiTheme="minorHAnsi" w:cstheme="minorHAnsi"/>
                <w:sz w:val="22"/>
                <w:szCs w:val="22"/>
              </w:rPr>
              <w:t>-</w:t>
            </w:r>
            <w:r w:rsidR="00C843F6">
              <w:rPr>
                <w:rFonts w:asciiTheme="minorHAnsi" w:hAnsiTheme="minorHAnsi" w:cstheme="minorHAnsi"/>
                <w:sz w:val="22"/>
                <w:szCs w:val="22"/>
              </w:rPr>
              <w:t xml:space="preserve"> et,</w:t>
            </w:r>
            <w:r>
              <w:rPr>
                <w:rFonts w:asciiTheme="minorHAnsi" w:hAnsiTheme="minorHAnsi" w:cstheme="minorHAnsi"/>
                <w:sz w:val="22"/>
                <w:szCs w:val="22"/>
              </w:rPr>
              <w:t xml:space="preserve"> sur une base trimestrielle glissante (90 jours).</w:t>
            </w:r>
          </w:p>
        </w:tc>
        <w:tc>
          <w:tcPr>
            <w:tcW w:w="1465" w:type="dxa"/>
          </w:tcPr>
          <w:p w14:paraId="0C621352" w14:textId="77777777" w:rsidR="00277210" w:rsidRPr="00CC1AEF" w:rsidRDefault="00277210" w:rsidP="009973F6">
            <w:pPr>
              <w:jc w:val="center"/>
              <w:rPr>
                <w:rFonts w:asciiTheme="minorHAnsi" w:hAnsiTheme="minorHAnsi" w:cstheme="minorHAnsi"/>
                <w:b/>
                <w:sz w:val="22"/>
                <w:szCs w:val="22"/>
              </w:rPr>
            </w:pPr>
          </w:p>
        </w:tc>
        <w:tc>
          <w:tcPr>
            <w:tcW w:w="6698" w:type="dxa"/>
          </w:tcPr>
          <w:p w14:paraId="298BDC53" w14:textId="77777777" w:rsidR="00277210" w:rsidRPr="00CC1AEF" w:rsidRDefault="00277210">
            <w:pPr>
              <w:jc w:val="left"/>
              <w:rPr>
                <w:rFonts w:asciiTheme="minorHAnsi" w:eastAsia="Calibri" w:hAnsiTheme="minorHAnsi" w:cstheme="minorHAnsi"/>
                <w:b/>
                <w:sz w:val="22"/>
                <w:szCs w:val="22"/>
                <w:lang w:eastAsia="en-US"/>
              </w:rPr>
            </w:pPr>
          </w:p>
        </w:tc>
      </w:tr>
      <w:tr w:rsidR="00277210" w:rsidRPr="00CC1AEF" w14:paraId="37FC52B8" w14:textId="77777777" w:rsidTr="00277210">
        <w:tc>
          <w:tcPr>
            <w:tcW w:w="14737" w:type="dxa"/>
            <w:gridSpan w:val="4"/>
            <w:shd w:val="clear" w:color="auto" w:fill="FBD4B4" w:themeFill="accent6" w:themeFillTint="66"/>
          </w:tcPr>
          <w:p w14:paraId="6DA6EDC3" w14:textId="1C11C780" w:rsidR="00277210" w:rsidRPr="00277210" w:rsidRDefault="00277210">
            <w:pPr>
              <w:jc w:val="left"/>
              <w:rPr>
                <w:rFonts w:asciiTheme="minorHAnsi" w:eastAsia="Calibri" w:hAnsiTheme="minorHAnsi" w:cstheme="minorHAnsi"/>
                <w:b/>
                <w:szCs w:val="24"/>
                <w:lang w:eastAsia="en-US"/>
              </w:rPr>
            </w:pPr>
            <w:r w:rsidRPr="00277210">
              <w:rPr>
                <w:rFonts w:asciiTheme="minorHAnsi" w:eastAsia="Calibri" w:hAnsiTheme="minorHAnsi" w:cstheme="minorHAnsi"/>
                <w:b/>
                <w:szCs w:val="24"/>
                <w:lang w:eastAsia="en-US"/>
              </w:rPr>
              <w:t>Suspension des dérogations sur la base de l'analyse des risques liés à l'opération</w:t>
            </w:r>
          </w:p>
        </w:tc>
      </w:tr>
      <w:tr w:rsidR="009606D4" w:rsidRPr="00CC1AEF" w14:paraId="2FBC9931" w14:textId="77777777" w:rsidTr="00683E60">
        <w:tc>
          <w:tcPr>
            <w:tcW w:w="1595" w:type="dxa"/>
            <w:vMerge w:val="restart"/>
          </w:tcPr>
          <w:p w14:paraId="5F108305" w14:textId="0414EDC4" w:rsidR="009606D4" w:rsidRPr="00CC1AEF" w:rsidRDefault="009606D4" w:rsidP="009973F6">
            <w:pPr>
              <w:jc w:val="center"/>
              <w:rPr>
                <w:rFonts w:asciiTheme="minorHAnsi" w:hAnsiTheme="minorHAnsi" w:cstheme="minorHAnsi"/>
                <w:b/>
                <w:sz w:val="22"/>
                <w:szCs w:val="22"/>
              </w:rPr>
            </w:pPr>
            <w:r>
              <w:rPr>
                <w:rFonts w:asciiTheme="minorHAnsi" w:hAnsiTheme="minorHAnsi" w:cstheme="minorHAnsi"/>
                <w:b/>
                <w:sz w:val="22"/>
                <w:szCs w:val="22"/>
              </w:rPr>
              <w:t>20</w:t>
            </w:r>
          </w:p>
        </w:tc>
        <w:tc>
          <w:tcPr>
            <w:tcW w:w="4979" w:type="dxa"/>
          </w:tcPr>
          <w:p w14:paraId="177F4514" w14:textId="3F65F231" w:rsidR="00E71DDB" w:rsidRPr="00F355FF" w:rsidRDefault="009606D4" w:rsidP="002143B5">
            <w:pPr>
              <w:rPr>
                <w:rFonts w:asciiTheme="minorHAnsi" w:hAnsiTheme="minorHAnsi" w:cstheme="minorHAnsi"/>
                <w:sz w:val="22"/>
                <w:szCs w:val="22"/>
              </w:rPr>
            </w:pPr>
            <w:r>
              <w:rPr>
                <w:rFonts w:asciiTheme="minorHAnsi" w:hAnsiTheme="minorHAnsi" w:cstheme="minorHAnsi"/>
                <w:sz w:val="22"/>
                <w:szCs w:val="22"/>
              </w:rPr>
              <w:t>En cas de recours à l’exemption au titre de l’analyse des risques (art. 18), le PSP dispose-t-il d’une procédure permettant de notifier immédiatement auprès de la Banque de France tout dépassement du taux de fraude maximal autorisé (tel que fixé par l’annexe des RTS) et pour fournir une</w:t>
            </w:r>
            <w:r w:rsidRPr="00277210">
              <w:rPr>
                <w:rFonts w:asciiTheme="minorHAnsi" w:hAnsiTheme="minorHAnsi" w:cstheme="minorHAnsi"/>
                <w:sz w:val="22"/>
                <w:szCs w:val="22"/>
              </w:rPr>
              <w:t xml:space="preserve"> description des mesures </w:t>
            </w:r>
            <w:r>
              <w:rPr>
                <w:rFonts w:asciiTheme="minorHAnsi" w:hAnsiTheme="minorHAnsi" w:cstheme="minorHAnsi"/>
                <w:sz w:val="22"/>
                <w:szCs w:val="22"/>
              </w:rPr>
              <w:t>envisagées po</w:t>
            </w:r>
            <w:r w:rsidRPr="00277210">
              <w:rPr>
                <w:rFonts w:asciiTheme="minorHAnsi" w:hAnsiTheme="minorHAnsi" w:cstheme="minorHAnsi"/>
                <w:sz w:val="22"/>
                <w:szCs w:val="22"/>
              </w:rPr>
              <w:t>ur rétablir la conformité du taux de fraude</w:t>
            </w:r>
            <w:r>
              <w:rPr>
                <w:rFonts w:asciiTheme="minorHAnsi" w:hAnsiTheme="minorHAnsi" w:cstheme="minorHAnsi"/>
                <w:sz w:val="22"/>
                <w:szCs w:val="22"/>
              </w:rPr>
              <w:t> ?</w:t>
            </w:r>
          </w:p>
        </w:tc>
        <w:tc>
          <w:tcPr>
            <w:tcW w:w="1465" w:type="dxa"/>
          </w:tcPr>
          <w:p w14:paraId="0889BB6E" w14:textId="77777777" w:rsidR="009606D4" w:rsidRPr="00CC1AEF" w:rsidRDefault="009606D4" w:rsidP="009973F6">
            <w:pPr>
              <w:jc w:val="center"/>
              <w:rPr>
                <w:rFonts w:asciiTheme="minorHAnsi" w:hAnsiTheme="minorHAnsi" w:cstheme="minorHAnsi"/>
                <w:b/>
                <w:sz w:val="22"/>
                <w:szCs w:val="22"/>
              </w:rPr>
            </w:pPr>
          </w:p>
        </w:tc>
        <w:tc>
          <w:tcPr>
            <w:tcW w:w="6698" w:type="dxa"/>
          </w:tcPr>
          <w:p w14:paraId="26E8100D" w14:textId="77777777" w:rsidR="009606D4" w:rsidRPr="00CC1AEF" w:rsidRDefault="009606D4">
            <w:pPr>
              <w:jc w:val="left"/>
              <w:rPr>
                <w:rFonts w:asciiTheme="minorHAnsi" w:eastAsia="Calibri" w:hAnsiTheme="minorHAnsi" w:cstheme="minorHAnsi"/>
                <w:b/>
                <w:sz w:val="22"/>
                <w:szCs w:val="22"/>
                <w:lang w:eastAsia="en-US"/>
              </w:rPr>
            </w:pPr>
          </w:p>
        </w:tc>
      </w:tr>
      <w:tr w:rsidR="009606D4" w:rsidRPr="00CC1AEF" w14:paraId="21357B2F" w14:textId="77777777" w:rsidTr="00683E60">
        <w:tc>
          <w:tcPr>
            <w:tcW w:w="1595" w:type="dxa"/>
            <w:vMerge/>
          </w:tcPr>
          <w:p w14:paraId="48110C51" w14:textId="77777777" w:rsidR="009606D4" w:rsidRDefault="009606D4" w:rsidP="009973F6">
            <w:pPr>
              <w:jc w:val="center"/>
              <w:rPr>
                <w:rFonts w:asciiTheme="minorHAnsi" w:hAnsiTheme="minorHAnsi" w:cstheme="minorHAnsi"/>
                <w:b/>
                <w:sz w:val="22"/>
                <w:szCs w:val="22"/>
              </w:rPr>
            </w:pPr>
          </w:p>
        </w:tc>
        <w:tc>
          <w:tcPr>
            <w:tcW w:w="4979" w:type="dxa"/>
          </w:tcPr>
          <w:p w14:paraId="5112658D" w14:textId="64D80638" w:rsidR="00E71DDB" w:rsidRPr="00F355FF" w:rsidRDefault="009606D4" w:rsidP="00FD08EF">
            <w:pPr>
              <w:rPr>
                <w:rFonts w:asciiTheme="minorHAnsi" w:hAnsiTheme="minorHAnsi" w:cstheme="minorHAnsi"/>
                <w:sz w:val="22"/>
                <w:szCs w:val="22"/>
              </w:rPr>
            </w:pPr>
            <w:r w:rsidRPr="00FD08EF">
              <w:rPr>
                <w:rFonts w:asciiTheme="minorHAnsi" w:hAnsiTheme="minorHAnsi" w:cstheme="minorHAnsi"/>
                <w:sz w:val="22"/>
                <w:szCs w:val="22"/>
              </w:rPr>
              <w:t>Le PSP a-t-il bien</w:t>
            </w:r>
            <w:r>
              <w:rPr>
                <w:rFonts w:asciiTheme="minorHAnsi" w:hAnsiTheme="minorHAnsi" w:cstheme="minorHAnsi"/>
                <w:sz w:val="22"/>
                <w:szCs w:val="22"/>
              </w:rPr>
              <w:t xml:space="preserve"> prévu de suspendre </w:t>
            </w:r>
            <w:r w:rsidRPr="00FD08EF">
              <w:rPr>
                <w:rFonts w:asciiTheme="minorHAnsi" w:hAnsiTheme="minorHAnsi" w:cstheme="minorHAnsi"/>
                <w:sz w:val="22"/>
                <w:szCs w:val="22"/>
              </w:rPr>
              <w:t xml:space="preserve">immédiatement </w:t>
            </w:r>
            <w:r>
              <w:rPr>
                <w:rFonts w:asciiTheme="minorHAnsi" w:hAnsiTheme="minorHAnsi" w:cstheme="minorHAnsi"/>
                <w:sz w:val="22"/>
                <w:szCs w:val="22"/>
              </w:rPr>
              <w:t xml:space="preserve">la mise en œuvre de </w:t>
            </w:r>
            <w:r w:rsidRPr="00FD08EF">
              <w:rPr>
                <w:rFonts w:asciiTheme="minorHAnsi" w:hAnsiTheme="minorHAnsi" w:cstheme="minorHAnsi"/>
                <w:sz w:val="22"/>
                <w:szCs w:val="22"/>
              </w:rPr>
              <w:t xml:space="preserve">la dérogation </w:t>
            </w:r>
            <w:r>
              <w:rPr>
                <w:rFonts w:asciiTheme="minorHAnsi" w:hAnsiTheme="minorHAnsi" w:cstheme="minorHAnsi"/>
                <w:sz w:val="22"/>
                <w:szCs w:val="22"/>
              </w:rPr>
              <w:t>au titre de l’analyse des risques (</w:t>
            </w:r>
            <w:r w:rsidRPr="00FD08EF">
              <w:rPr>
                <w:rFonts w:asciiTheme="minorHAnsi" w:hAnsiTheme="minorHAnsi" w:cstheme="minorHAnsi"/>
                <w:sz w:val="22"/>
                <w:szCs w:val="22"/>
              </w:rPr>
              <w:t>art</w:t>
            </w:r>
            <w:r>
              <w:rPr>
                <w:rFonts w:asciiTheme="minorHAnsi" w:hAnsiTheme="minorHAnsi" w:cstheme="minorHAnsi"/>
                <w:sz w:val="22"/>
                <w:szCs w:val="22"/>
              </w:rPr>
              <w:t>.</w:t>
            </w:r>
            <w:r w:rsidRPr="00FD08EF">
              <w:rPr>
                <w:rFonts w:asciiTheme="minorHAnsi" w:hAnsiTheme="minorHAnsi" w:cstheme="minorHAnsi"/>
                <w:sz w:val="22"/>
                <w:szCs w:val="22"/>
              </w:rPr>
              <w:t xml:space="preserve"> 18</w:t>
            </w:r>
            <w:r>
              <w:rPr>
                <w:rFonts w:asciiTheme="minorHAnsi" w:hAnsiTheme="minorHAnsi" w:cstheme="minorHAnsi"/>
                <w:sz w:val="22"/>
                <w:szCs w:val="22"/>
              </w:rPr>
              <w:t>)</w:t>
            </w:r>
            <w:r w:rsidRPr="00FD08EF">
              <w:rPr>
                <w:rFonts w:asciiTheme="minorHAnsi" w:hAnsiTheme="minorHAnsi" w:cstheme="minorHAnsi"/>
                <w:sz w:val="22"/>
                <w:szCs w:val="22"/>
              </w:rPr>
              <w:t xml:space="preserve"> </w:t>
            </w:r>
            <w:r>
              <w:rPr>
                <w:rFonts w:asciiTheme="minorHAnsi" w:hAnsiTheme="minorHAnsi" w:cstheme="minorHAnsi"/>
                <w:sz w:val="22"/>
                <w:szCs w:val="22"/>
              </w:rPr>
              <w:t>en cas de dépassement du taux maximal autorisé p</w:t>
            </w:r>
            <w:r w:rsidRPr="00FD08EF">
              <w:rPr>
                <w:rFonts w:asciiTheme="minorHAnsi" w:hAnsiTheme="minorHAnsi" w:cstheme="minorHAnsi"/>
                <w:sz w:val="22"/>
                <w:szCs w:val="22"/>
              </w:rPr>
              <w:t>endant deux trimestres consécutifs</w:t>
            </w:r>
            <w:r>
              <w:rPr>
                <w:rFonts w:asciiTheme="minorHAnsi" w:hAnsiTheme="minorHAnsi" w:cstheme="minorHAnsi"/>
                <w:sz w:val="22"/>
                <w:szCs w:val="22"/>
              </w:rPr>
              <w:t> ?</w:t>
            </w:r>
          </w:p>
        </w:tc>
        <w:tc>
          <w:tcPr>
            <w:tcW w:w="1465" w:type="dxa"/>
          </w:tcPr>
          <w:p w14:paraId="49CEC22A" w14:textId="77777777" w:rsidR="009606D4" w:rsidRPr="00CC1AEF" w:rsidRDefault="009606D4" w:rsidP="009973F6">
            <w:pPr>
              <w:jc w:val="center"/>
              <w:rPr>
                <w:rFonts w:asciiTheme="minorHAnsi" w:hAnsiTheme="minorHAnsi" w:cstheme="minorHAnsi"/>
                <w:b/>
                <w:sz w:val="22"/>
                <w:szCs w:val="22"/>
              </w:rPr>
            </w:pPr>
          </w:p>
        </w:tc>
        <w:tc>
          <w:tcPr>
            <w:tcW w:w="6698" w:type="dxa"/>
          </w:tcPr>
          <w:p w14:paraId="1BFBAD56" w14:textId="77777777" w:rsidR="009606D4" w:rsidRPr="00CC1AEF" w:rsidRDefault="009606D4">
            <w:pPr>
              <w:jc w:val="left"/>
              <w:rPr>
                <w:rFonts w:asciiTheme="minorHAnsi" w:eastAsia="Calibri" w:hAnsiTheme="minorHAnsi" w:cstheme="minorHAnsi"/>
                <w:b/>
                <w:sz w:val="22"/>
                <w:szCs w:val="22"/>
                <w:lang w:eastAsia="en-US"/>
              </w:rPr>
            </w:pPr>
          </w:p>
        </w:tc>
      </w:tr>
      <w:tr w:rsidR="009606D4" w:rsidRPr="00CC1AEF" w14:paraId="459F1482" w14:textId="77777777" w:rsidTr="00683E60">
        <w:tc>
          <w:tcPr>
            <w:tcW w:w="1595" w:type="dxa"/>
            <w:vMerge/>
          </w:tcPr>
          <w:p w14:paraId="0FCE3BEF" w14:textId="77777777" w:rsidR="009606D4" w:rsidRDefault="009606D4" w:rsidP="009973F6">
            <w:pPr>
              <w:jc w:val="center"/>
              <w:rPr>
                <w:rFonts w:asciiTheme="minorHAnsi" w:hAnsiTheme="minorHAnsi" w:cstheme="minorHAnsi"/>
                <w:b/>
                <w:sz w:val="22"/>
                <w:szCs w:val="22"/>
              </w:rPr>
            </w:pPr>
          </w:p>
        </w:tc>
        <w:tc>
          <w:tcPr>
            <w:tcW w:w="4979" w:type="dxa"/>
          </w:tcPr>
          <w:p w14:paraId="75DE0548" w14:textId="3D9C2414" w:rsidR="00E71DDB" w:rsidRPr="00F355FF" w:rsidRDefault="009606D4" w:rsidP="00F476A2">
            <w:pPr>
              <w:rPr>
                <w:rFonts w:asciiTheme="minorHAnsi" w:hAnsiTheme="minorHAnsi" w:cstheme="minorHAnsi"/>
                <w:sz w:val="22"/>
                <w:szCs w:val="22"/>
              </w:rPr>
            </w:pPr>
            <w:r>
              <w:rPr>
                <w:rFonts w:asciiTheme="minorHAnsi" w:hAnsiTheme="minorHAnsi" w:cstheme="minorHAnsi"/>
                <w:sz w:val="22"/>
                <w:szCs w:val="22"/>
              </w:rPr>
              <w:t xml:space="preserve">Après la suspension, le PSP a-t-il bien prévu de faire usage à nouveau de la dérogation au titre de l’analyse des risques (art. 18) que lorsque le taux de fraude calculé est resté égal ou inférieur au taux maximal autorisé pendant un trimestre et, dispose-t-il d’une procédure prévoyant d’en informer dans ce cas la Banque de France en communiquant les éléments attestant que le taux de fraude est redevenu conforme au taux maximal autorisé ? </w:t>
            </w:r>
          </w:p>
        </w:tc>
        <w:tc>
          <w:tcPr>
            <w:tcW w:w="1465" w:type="dxa"/>
          </w:tcPr>
          <w:p w14:paraId="617D839B" w14:textId="77777777" w:rsidR="009606D4" w:rsidRPr="00CC1AEF" w:rsidRDefault="009606D4" w:rsidP="009973F6">
            <w:pPr>
              <w:jc w:val="center"/>
              <w:rPr>
                <w:rFonts w:asciiTheme="minorHAnsi" w:hAnsiTheme="minorHAnsi" w:cstheme="minorHAnsi"/>
                <w:b/>
                <w:sz w:val="22"/>
                <w:szCs w:val="22"/>
              </w:rPr>
            </w:pPr>
          </w:p>
        </w:tc>
        <w:tc>
          <w:tcPr>
            <w:tcW w:w="6698" w:type="dxa"/>
          </w:tcPr>
          <w:p w14:paraId="272EB33E" w14:textId="77777777" w:rsidR="009606D4" w:rsidRPr="00CC1AEF" w:rsidRDefault="009606D4">
            <w:pPr>
              <w:jc w:val="left"/>
              <w:rPr>
                <w:rFonts w:asciiTheme="minorHAnsi" w:eastAsia="Calibri" w:hAnsiTheme="minorHAnsi" w:cstheme="minorHAnsi"/>
                <w:b/>
                <w:sz w:val="22"/>
                <w:szCs w:val="22"/>
                <w:lang w:eastAsia="en-US"/>
              </w:rPr>
            </w:pPr>
          </w:p>
        </w:tc>
      </w:tr>
      <w:tr w:rsidR="00277210" w:rsidRPr="00CC1AEF" w14:paraId="69C80170" w14:textId="77777777" w:rsidTr="00277210">
        <w:tc>
          <w:tcPr>
            <w:tcW w:w="14737" w:type="dxa"/>
            <w:gridSpan w:val="4"/>
            <w:shd w:val="clear" w:color="auto" w:fill="FBD4B4" w:themeFill="accent6" w:themeFillTint="66"/>
          </w:tcPr>
          <w:p w14:paraId="636661EF" w14:textId="0563BEC4" w:rsidR="00277210" w:rsidRPr="00CC1AEF" w:rsidRDefault="00277210">
            <w:pPr>
              <w:jc w:val="left"/>
              <w:rPr>
                <w:rFonts w:asciiTheme="minorHAnsi" w:eastAsia="Calibri" w:hAnsiTheme="minorHAnsi" w:cstheme="minorHAnsi"/>
                <w:b/>
                <w:sz w:val="22"/>
                <w:szCs w:val="22"/>
                <w:lang w:eastAsia="en-US"/>
              </w:rPr>
            </w:pPr>
            <w:r w:rsidRPr="00277210">
              <w:rPr>
                <w:rFonts w:asciiTheme="minorHAnsi" w:eastAsia="Calibri" w:hAnsiTheme="minorHAnsi" w:cstheme="minorHAnsi"/>
                <w:b/>
                <w:szCs w:val="24"/>
                <w:lang w:eastAsia="en-US"/>
              </w:rPr>
              <w:t>Contrôle</w:t>
            </w:r>
          </w:p>
        </w:tc>
      </w:tr>
      <w:tr w:rsidR="00277210" w:rsidRPr="00CC1AEF" w14:paraId="02842D48" w14:textId="77777777" w:rsidTr="00683E60">
        <w:tc>
          <w:tcPr>
            <w:tcW w:w="1595" w:type="dxa"/>
          </w:tcPr>
          <w:p w14:paraId="38EC09F1" w14:textId="52BA6D6B" w:rsidR="00277210" w:rsidRDefault="00277210" w:rsidP="009973F6">
            <w:pPr>
              <w:jc w:val="center"/>
              <w:rPr>
                <w:rFonts w:asciiTheme="minorHAnsi" w:hAnsiTheme="minorHAnsi" w:cstheme="minorHAnsi"/>
                <w:b/>
                <w:sz w:val="22"/>
                <w:szCs w:val="22"/>
              </w:rPr>
            </w:pPr>
            <w:r>
              <w:rPr>
                <w:rFonts w:asciiTheme="minorHAnsi" w:hAnsiTheme="minorHAnsi" w:cstheme="minorHAnsi"/>
                <w:b/>
                <w:sz w:val="22"/>
                <w:szCs w:val="22"/>
              </w:rPr>
              <w:t>21</w:t>
            </w:r>
          </w:p>
        </w:tc>
        <w:tc>
          <w:tcPr>
            <w:tcW w:w="4979" w:type="dxa"/>
          </w:tcPr>
          <w:p w14:paraId="24E314E4" w14:textId="77777777" w:rsidR="00277210" w:rsidRDefault="0007431B" w:rsidP="0007431B">
            <w:pPr>
              <w:rPr>
                <w:rFonts w:asciiTheme="minorHAnsi" w:hAnsiTheme="minorHAnsi" w:cstheme="minorHAnsi"/>
                <w:sz w:val="22"/>
                <w:szCs w:val="22"/>
              </w:rPr>
            </w:pPr>
            <w:r>
              <w:rPr>
                <w:rFonts w:asciiTheme="minorHAnsi" w:hAnsiTheme="minorHAnsi" w:cstheme="minorHAnsi"/>
                <w:sz w:val="22"/>
                <w:szCs w:val="22"/>
              </w:rPr>
              <w:t>En cas d’usage des dérogations à l’authentification forte (art. 10 à 18), l</w:t>
            </w:r>
            <w:r w:rsidR="00C843F6">
              <w:rPr>
                <w:rFonts w:asciiTheme="minorHAnsi" w:hAnsiTheme="minorHAnsi" w:cstheme="minorHAnsi"/>
                <w:sz w:val="22"/>
                <w:szCs w:val="22"/>
              </w:rPr>
              <w:t xml:space="preserve">e PSP a-t-il mis en place un dispositif pour </w:t>
            </w:r>
            <w:r>
              <w:rPr>
                <w:rFonts w:asciiTheme="minorHAnsi" w:hAnsiTheme="minorHAnsi" w:cstheme="minorHAnsi"/>
                <w:sz w:val="22"/>
                <w:szCs w:val="22"/>
              </w:rPr>
              <w:t>enregistrer et contrôler, pour chaque type d’opérations de paiement et sur une base au moins trimestrielle, les données listées ci-après ?</w:t>
            </w:r>
          </w:p>
          <w:p w14:paraId="0005094C" w14:textId="77777777" w:rsidR="0050160F" w:rsidRDefault="0050160F" w:rsidP="0050160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la valeur totale des opérations de paiement non autorisées ou frauduleuses, la valeur totale de l'ensemble des opérations de paiement et le taux de fraude qui en découle,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66CE65EC" w14:textId="77777777" w:rsidR="0050160F" w:rsidRDefault="0050160F" w:rsidP="0050160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la valeur moyenne des opérations,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52463DBD" w14:textId="64207C67" w:rsidR="00E71DDB" w:rsidRPr="00F355FF" w:rsidRDefault="0050160F" w:rsidP="00F355F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le nombre d'opérations de paiement pour lesquelles chacune des dérogations a été appliquée et le pourcentage qu'elles représentent par rapport au nombre total d'opérations de paiement.</w:t>
            </w:r>
          </w:p>
        </w:tc>
        <w:tc>
          <w:tcPr>
            <w:tcW w:w="1465" w:type="dxa"/>
          </w:tcPr>
          <w:p w14:paraId="6BBB57AB" w14:textId="77777777" w:rsidR="00277210" w:rsidRPr="00CC1AEF" w:rsidRDefault="00277210" w:rsidP="009973F6">
            <w:pPr>
              <w:jc w:val="center"/>
              <w:rPr>
                <w:rFonts w:asciiTheme="minorHAnsi" w:hAnsiTheme="minorHAnsi" w:cstheme="minorHAnsi"/>
                <w:b/>
                <w:sz w:val="22"/>
                <w:szCs w:val="22"/>
              </w:rPr>
            </w:pPr>
          </w:p>
        </w:tc>
        <w:tc>
          <w:tcPr>
            <w:tcW w:w="6698" w:type="dxa"/>
          </w:tcPr>
          <w:p w14:paraId="0D1F3D6D" w14:textId="77777777" w:rsidR="00277210" w:rsidRPr="00CC1AEF" w:rsidRDefault="00277210">
            <w:pPr>
              <w:jc w:val="left"/>
              <w:rPr>
                <w:rFonts w:asciiTheme="minorHAnsi" w:eastAsia="Calibri" w:hAnsiTheme="minorHAnsi" w:cstheme="minorHAnsi"/>
                <w:b/>
                <w:sz w:val="22"/>
                <w:szCs w:val="22"/>
                <w:lang w:eastAsia="en-US"/>
              </w:rPr>
            </w:pPr>
          </w:p>
        </w:tc>
      </w:tr>
      <w:tr w:rsidR="003B1156" w:rsidRPr="005E52C6" w14:paraId="18465759" w14:textId="77777777" w:rsidTr="003C4D7C">
        <w:tc>
          <w:tcPr>
            <w:tcW w:w="14737" w:type="dxa"/>
            <w:gridSpan w:val="4"/>
            <w:shd w:val="clear" w:color="auto" w:fill="B8CCE4" w:themeFill="accent1" w:themeFillTint="66"/>
          </w:tcPr>
          <w:p w14:paraId="64DD48FF" w14:textId="086E3BAB" w:rsidR="003B1156" w:rsidRPr="005E52C6" w:rsidRDefault="003B1156">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CONFIDENTIALITÉ ET INTÉGRITÉ DES DONNÉES DE SÉCURITÉ PERSONNALISÉES DES UTILISATEURS DE SERVICES DE PAIEMENT</w:t>
            </w:r>
          </w:p>
        </w:tc>
      </w:tr>
      <w:tr w:rsidR="003B1156" w:rsidRPr="005E52C6" w14:paraId="49578367" w14:textId="77777777" w:rsidTr="00D32383">
        <w:tc>
          <w:tcPr>
            <w:tcW w:w="14737" w:type="dxa"/>
            <w:gridSpan w:val="4"/>
            <w:shd w:val="clear" w:color="auto" w:fill="FBD4B4" w:themeFill="accent6" w:themeFillTint="66"/>
          </w:tcPr>
          <w:p w14:paraId="197C1C54" w14:textId="1F7822AE" w:rsidR="003B1156" w:rsidRPr="005E52C6" w:rsidRDefault="003B1156">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Exigences générales</w:t>
            </w:r>
          </w:p>
        </w:tc>
      </w:tr>
      <w:tr w:rsidR="00916E92" w:rsidRPr="00CC1AEF" w14:paraId="4E1F8168" w14:textId="77777777" w:rsidTr="00683E60">
        <w:tc>
          <w:tcPr>
            <w:tcW w:w="1595" w:type="dxa"/>
            <w:vMerge w:val="restart"/>
          </w:tcPr>
          <w:p w14:paraId="3D58EBCC" w14:textId="6801F79A" w:rsidR="00916E92" w:rsidRPr="00CC1AEF" w:rsidRDefault="00916E92"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22</w:t>
            </w:r>
          </w:p>
        </w:tc>
        <w:tc>
          <w:tcPr>
            <w:tcW w:w="4979" w:type="dxa"/>
          </w:tcPr>
          <w:p w14:paraId="32B805D2" w14:textId="3707A623" w:rsidR="00916E92" w:rsidRPr="00CC1AEF" w:rsidRDefault="00916E92" w:rsidP="003B1156">
            <w:pPr>
              <w:rPr>
                <w:rFonts w:asciiTheme="minorHAnsi" w:hAnsiTheme="minorHAnsi" w:cstheme="minorHAnsi"/>
                <w:sz w:val="22"/>
                <w:szCs w:val="22"/>
              </w:rPr>
            </w:pPr>
            <w:r w:rsidRPr="00CC1AEF">
              <w:rPr>
                <w:rFonts w:asciiTheme="minorHAnsi" w:hAnsiTheme="minorHAnsi" w:cstheme="minorHAnsi"/>
                <w:sz w:val="22"/>
                <w:szCs w:val="22"/>
              </w:rPr>
              <w:t>Le PSP veille-t-il à la confidentialité et à l'intégrité des données de sécurité personnalisées de l'utilisateur de services de paiement, notamment des codes d'authentification, durant l'ensemble des phases de l'authentification en respectant les exigences listées ci-après ?</w:t>
            </w:r>
          </w:p>
          <w:p w14:paraId="388B5072" w14:textId="77777777" w:rsidR="00916E92" w:rsidRPr="00CC1AEF" w:rsidRDefault="00916E92" w:rsidP="00916E9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les données de sécurité personnalisées sont masquées lorsqu'elles sont affichées et ne sont pas lisibles dans leur intégralité lorsqu'elles sont entrées par l'utilisateur de services de paiement durant l'authentification ;</w:t>
            </w:r>
          </w:p>
          <w:p w14:paraId="049FA7B9" w14:textId="0A8A443E" w:rsidR="00916E92" w:rsidRPr="00CC1AEF" w:rsidRDefault="00916E92" w:rsidP="00916E9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les données de sécurité personnalisées en format de données ainsi que le matériel cryptographique lié au cryptage des données de sécurité personnalisées ne sont pas conservés en texte clair ;  </w:t>
            </w:r>
          </w:p>
          <w:p w14:paraId="175AC1BC" w14:textId="1E86E668" w:rsidR="00916E92" w:rsidRPr="00A85C3C" w:rsidRDefault="00916E92" w:rsidP="00A85C3C">
            <w:pPr>
              <w:pStyle w:val="Paragraphedeliste"/>
              <w:numPr>
                <w:ilvl w:val="0"/>
                <w:numId w:val="119"/>
              </w:numPr>
              <w:rPr>
                <w:rFonts w:asciiTheme="minorHAnsi" w:hAnsiTheme="minorHAnsi" w:cstheme="minorHAnsi"/>
                <w:sz w:val="16"/>
                <w:szCs w:val="16"/>
              </w:rPr>
            </w:pPr>
            <w:r w:rsidRPr="00CC1AEF">
              <w:rPr>
                <w:rFonts w:asciiTheme="minorHAnsi" w:hAnsiTheme="minorHAnsi" w:cstheme="minorHAnsi"/>
                <w:szCs w:val="22"/>
              </w:rPr>
              <w:t>le matériel cryptographique secret est protégé de toute divulgation non autorisée.</w:t>
            </w:r>
          </w:p>
        </w:tc>
        <w:tc>
          <w:tcPr>
            <w:tcW w:w="1465" w:type="dxa"/>
          </w:tcPr>
          <w:p w14:paraId="0FC70DDC" w14:textId="77777777" w:rsidR="00916E92" w:rsidRPr="00CC1AEF" w:rsidRDefault="00916E92" w:rsidP="009973F6">
            <w:pPr>
              <w:jc w:val="center"/>
              <w:rPr>
                <w:rFonts w:asciiTheme="minorHAnsi" w:hAnsiTheme="minorHAnsi" w:cstheme="minorHAnsi"/>
                <w:b/>
                <w:sz w:val="22"/>
                <w:szCs w:val="22"/>
              </w:rPr>
            </w:pPr>
          </w:p>
        </w:tc>
        <w:tc>
          <w:tcPr>
            <w:tcW w:w="6698" w:type="dxa"/>
          </w:tcPr>
          <w:p w14:paraId="626B6C1D" w14:textId="77777777" w:rsidR="00916E92" w:rsidRPr="00CC1AEF" w:rsidRDefault="00916E92">
            <w:pPr>
              <w:jc w:val="left"/>
              <w:rPr>
                <w:rFonts w:asciiTheme="minorHAnsi" w:eastAsia="Calibri" w:hAnsiTheme="minorHAnsi" w:cstheme="minorHAnsi"/>
                <w:b/>
                <w:sz w:val="22"/>
                <w:szCs w:val="22"/>
                <w:lang w:eastAsia="en-US"/>
              </w:rPr>
            </w:pPr>
          </w:p>
        </w:tc>
      </w:tr>
      <w:tr w:rsidR="00916E92" w:rsidRPr="00CC1AEF" w14:paraId="5BFE154A" w14:textId="77777777" w:rsidTr="00683E60">
        <w:tc>
          <w:tcPr>
            <w:tcW w:w="1595" w:type="dxa"/>
            <w:vMerge/>
          </w:tcPr>
          <w:p w14:paraId="1CA6BA9C" w14:textId="77777777" w:rsidR="00916E92" w:rsidRPr="00CC1AEF" w:rsidRDefault="00916E92" w:rsidP="009973F6">
            <w:pPr>
              <w:jc w:val="center"/>
              <w:rPr>
                <w:rFonts w:asciiTheme="minorHAnsi" w:hAnsiTheme="minorHAnsi" w:cstheme="minorHAnsi"/>
                <w:b/>
                <w:sz w:val="22"/>
                <w:szCs w:val="22"/>
              </w:rPr>
            </w:pPr>
          </w:p>
        </w:tc>
        <w:tc>
          <w:tcPr>
            <w:tcW w:w="4979" w:type="dxa"/>
          </w:tcPr>
          <w:p w14:paraId="4351AA32" w14:textId="3841F0BC" w:rsidR="00916E92" w:rsidRPr="00CC1AEF" w:rsidRDefault="00916E92" w:rsidP="00916E92">
            <w:pPr>
              <w:rPr>
                <w:rFonts w:asciiTheme="minorHAnsi" w:hAnsiTheme="minorHAnsi" w:cstheme="minorHAnsi"/>
                <w:sz w:val="22"/>
                <w:szCs w:val="22"/>
              </w:rPr>
            </w:pPr>
            <w:r w:rsidRPr="00CC1AEF">
              <w:rPr>
                <w:rFonts w:asciiTheme="minorHAnsi" w:hAnsiTheme="minorHAnsi" w:cstheme="minorHAnsi"/>
                <w:sz w:val="22"/>
                <w:szCs w:val="22"/>
              </w:rPr>
              <w:t>Le PSP consigne-t-il intégralement par écrit le processus de gestion du matériel cryptographique utilisé pour crypter ou rendre illisibles d'une autre manière les données de sécurité personnalisées ?</w:t>
            </w:r>
          </w:p>
        </w:tc>
        <w:tc>
          <w:tcPr>
            <w:tcW w:w="1465" w:type="dxa"/>
          </w:tcPr>
          <w:p w14:paraId="2EFB0A7F" w14:textId="77777777" w:rsidR="00916E92" w:rsidRPr="00CC1AEF" w:rsidRDefault="00916E92" w:rsidP="009973F6">
            <w:pPr>
              <w:jc w:val="center"/>
              <w:rPr>
                <w:rFonts w:asciiTheme="minorHAnsi" w:hAnsiTheme="minorHAnsi" w:cstheme="minorHAnsi"/>
                <w:b/>
                <w:sz w:val="22"/>
                <w:szCs w:val="22"/>
              </w:rPr>
            </w:pPr>
          </w:p>
        </w:tc>
        <w:tc>
          <w:tcPr>
            <w:tcW w:w="6698" w:type="dxa"/>
          </w:tcPr>
          <w:p w14:paraId="6FCE64CE" w14:textId="77777777" w:rsidR="00916E92" w:rsidRPr="00CC1AEF" w:rsidRDefault="00916E92">
            <w:pPr>
              <w:jc w:val="left"/>
              <w:rPr>
                <w:rFonts w:asciiTheme="minorHAnsi" w:eastAsia="Calibri" w:hAnsiTheme="minorHAnsi" w:cstheme="minorHAnsi"/>
                <w:b/>
                <w:sz w:val="22"/>
                <w:szCs w:val="22"/>
                <w:lang w:eastAsia="en-US"/>
              </w:rPr>
            </w:pPr>
          </w:p>
        </w:tc>
      </w:tr>
      <w:tr w:rsidR="00916E92" w:rsidRPr="00CC1AEF" w14:paraId="36A75A04" w14:textId="77777777" w:rsidTr="00683E60">
        <w:tc>
          <w:tcPr>
            <w:tcW w:w="1595" w:type="dxa"/>
            <w:vMerge/>
          </w:tcPr>
          <w:p w14:paraId="3D83ABCC" w14:textId="77777777" w:rsidR="00916E92" w:rsidRPr="00CC1AEF" w:rsidRDefault="00916E92" w:rsidP="009973F6">
            <w:pPr>
              <w:jc w:val="center"/>
              <w:rPr>
                <w:rFonts w:asciiTheme="minorHAnsi" w:hAnsiTheme="minorHAnsi" w:cstheme="minorHAnsi"/>
                <w:b/>
                <w:sz w:val="22"/>
                <w:szCs w:val="22"/>
              </w:rPr>
            </w:pPr>
          </w:p>
        </w:tc>
        <w:tc>
          <w:tcPr>
            <w:tcW w:w="4979" w:type="dxa"/>
          </w:tcPr>
          <w:p w14:paraId="7F628ADF" w14:textId="54BD24AD" w:rsidR="00916E92" w:rsidRPr="00CC1AEF" w:rsidRDefault="00916E92" w:rsidP="00916E92">
            <w:pPr>
              <w:rPr>
                <w:rFonts w:asciiTheme="minorHAnsi" w:hAnsiTheme="minorHAnsi" w:cstheme="minorHAnsi"/>
                <w:sz w:val="22"/>
                <w:szCs w:val="22"/>
              </w:rPr>
            </w:pPr>
            <w:r w:rsidRPr="00CC1AEF">
              <w:rPr>
                <w:rFonts w:asciiTheme="minorHAnsi" w:hAnsiTheme="minorHAnsi" w:cstheme="minorHAnsi"/>
                <w:sz w:val="22"/>
                <w:szCs w:val="22"/>
              </w:rPr>
              <w:t>Le PSP veille-t-il à ce que le traitement et le routage des données de sécurité personnalisées et des codes d'authentification aient lieu dans des environnements sécurisés suivant des normes sectorielles rigoureuses et largement reconnues ?</w:t>
            </w:r>
          </w:p>
        </w:tc>
        <w:tc>
          <w:tcPr>
            <w:tcW w:w="1465" w:type="dxa"/>
          </w:tcPr>
          <w:p w14:paraId="02767E15" w14:textId="77777777" w:rsidR="00916E92" w:rsidRPr="00CC1AEF" w:rsidRDefault="00916E92" w:rsidP="009973F6">
            <w:pPr>
              <w:jc w:val="center"/>
              <w:rPr>
                <w:rFonts w:asciiTheme="minorHAnsi" w:hAnsiTheme="minorHAnsi" w:cstheme="minorHAnsi"/>
                <w:b/>
                <w:sz w:val="22"/>
                <w:szCs w:val="22"/>
              </w:rPr>
            </w:pPr>
          </w:p>
        </w:tc>
        <w:tc>
          <w:tcPr>
            <w:tcW w:w="6698" w:type="dxa"/>
          </w:tcPr>
          <w:p w14:paraId="16CFA2DB" w14:textId="77777777" w:rsidR="00916E92" w:rsidRPr="00CC1AEF" w:rsidRDefault="00916E92">
            <w:pPr>
              <w:jc w:val="left"/>
              <w:rPr>
                <w:rFonts w:asciiTheme="minorHAnsi" w:eastAsia="Calibri" w:hAnsiTheme="minorHAnsi" w:cstheme="minorHAnsi"/>
                <w:b/>
                <w:sz w:val="22"/>
                <w:szCs w:val="22"/>
                <w:lang w:eastAsia="en-US"/>
              </w:rPr>
            </w:pPr>
          </w:p>
        </w:tc>
      </w:tr>
      <w:tr w:rsidR="00A4317D" w:rsidRPr="00CC1AEF" w14:paraId="41564FE3" w14:textId="77777777" w:rsidTr="00D32383">
        <w:tc>
          <w:tcPr>
            <w:tcW w:w="14737" w:type="dxa"/>
            <w:gridSpan w:val="4"/>
            <w:shd w:val="clear" w:color="auto" w:fill="FBD4B4" w:themeFill="accent6" w:themeFillTint="66"/>
          </w:tcPr>
          <w:p w14:paraId="0C415493" w14:textId="1746867F" w:rsidR="00A4317D" w:rsidRPr="00CC1AEF" w:rsidRDefault="00A4317D">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Création et transmission des données</w:t>
            </w:r>
          </w:p>
        </w:tc>
      </w:tr>
      <w:tr w:rsidR="00715D1A" w:rsidRPr="00CC1AEF" w14:paraId="40FCBB11" w14:textId="77777777" w:rsidTr="00683E60">
        <w:tc>
          <w:tcPr>
            <w:tcW w:w="1595" w:type="dxa"/>
            <w:vMerge w:val="restart"/>
          </w:tcPr>
          <w:p w14:paraId="2743920E" w14:textId="5D3FCE3D" w:rsidR="00715D1A" w:rsidRPr="00CC1AEF" w:rsidRDefault="00715D1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23</w:t>
            </w:r>
          </w:p>
        </w:tc>
        <w:tc>
          <w:tcPr>
            <w:tcW w:w="4979" w:type="dxa"/>
          </w:tcPr>
          <w:p w14:paraId="6646EDB6" w14:textId="7734EC84" w:rsidR="00390721"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création des données de sécurité personnalisées ait lieu dans un environnement sécurisé ? </w:t>
            </w:r>
          </w:p>
        </w:tc>
        <w:tc>
          <w:tcPr>
            <w:tcW w:w="1465" w:type="dxa"/>
          </w:tcPr>
          <w:p w14:paraId="4A1A5C06" w14:textId="77777777" w:rsidR="00715D1A" w:rsidRPr="00CC1AEF" w:rsidRDefault="00715D1A" w:rsidP="009973F6">
            <w:pPr>
              <w:jc w:val="center"/>
              <w:rPr>
                <w:rFonts w:asciiTheme="minorHAnsi" w:hAnsiTheme="minorHAnsi" w:cstheme="minorHAnsi"/>
                <w:b/>
                <w:sz w:val="22"/>
                <w:szCs w:val="22"/>
              </w:rPr>
            </w:pPr>
          </w:p>
        </w:tc>
        <w:tc>
          <w:tcPr>
            <w:tcW w:w="6698" w:type="dxa"/>
          </w:tcPr>
          <w:p w14:paraId="70492426" w14:textId="77777777" w:rsidR="00715D1A" w:rsidRPr="00CC1AEF" w:rsidRDefault="00715D1A">
            <w:pPr>
              <w:jc w:val="left"/>
              <w:rPr>
                <w:rFonts w:asciiTheme="minorHAnsi" w:eastAsia="Calibri" w:hAnsiTheme="minorHAnsi" w:cstheme="minorHAnsi"/>
                <w:b/>
                <w:sz w:val="22"/>
                <w:szCs w:val="22"/>
                <w:lang w:eastAsia="en-US"/>
              </w:rPr>
            </w:pPr>
          </w:p>
        </w:tc>
      </w:tr>
      <w:tr w:rsidR="00715D1A" w:rsidRPr="00CC1AEF" w14:paraId="7C736C08" w14:textId="77777777" w:rsidTr="00683E60">
        <w:tc>
          <w:tcPr>
            <w:tcW w:w="1595" w:type="dxa"/>
            <w:vMerge/>
          </w:tcPr>
          <w:p w14:paraId="3AA15F5B" w14:textId="77777777" w:rsidR="00715D1A" w:rsidRPr="00CC1AEF" w:rsidRDefault="00715D1A" w:rsidP="009973F6">
            <w:pPr>
              <w:jc w:val="center"/>
              <w:rPr>
                <w:rFonts w:asciiTheme="minorHAnsi" w:hAnsiTheme="minorHAnsi" w:cstheme="minorHAnsi"/>
                <w:b/>
                <w:sz w:val="22"/>
                <w:szCs w:val="22"/>
              </w:rPr>
            </w:pPr>
          </w:p>
        </w:tc>
        <w:tc>
          <w:tcPr>
            <w:tcW w:w="4979" w:type="dxa"/>
          </w:tcPr>
          <w:p w14:paraId="5BD3FA47" w14:textId="446284D4" w:rsidR="00390721"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Les risques d'utilisation non autorisée des données de sécurité personnalisées ainsi que des dispositifs et du logiciel d'authentification à la suite de leur perte, vol ou copie avant leur livraison au payeur sont-ils bien maitrisés ?</w:t>
            </w:r>
          </w:p>
        </w:tc>
        <w:tc>
          <w:tcPr>
            <w:tcW w:w="1465" w:type="dxa"/>
          </w:tcPr>
          <w:p w14:paraId="6E3555EC" w14:textId="77777777" w:rsidR="00715D1A" w:rsidRPr="00CC1AEF" w:rsidRDefault="00715D1A" w:rsidP="009973F6">
            <w:pPr>
              <w:jc w:val="center"/>
              <w:rPr>
                <w:rFonts w:asciiTheme="minorHAnsi" w:hAnsiTheme="minorHAnsi" w:cstheme="minorHAnsi"/>
                <w:b/>
                <w:sz w:val="22"/>
                <w:szCs w:val="22"/>
              </w:rPr>
            </w:pPr>
          </w:p>
        </w:tc>
        <w:tc>
          <w:tcPr>
            <w:tcW w:w="6698" w:type="dxa"/>
          </w:tcPr>
          <w:p w14:paraId="0F2E40AA" w14:textId="77777777" w:rsidR="00715D1A" w:rsidRPr="00CC1AEF" w:rsidRDefault="00715D1A">
            <w:pPr>
              <w:jc w:val="left"/>
              <w:rPr>
                <w:rFonts w:asciiTheme="minorHAnsi" w:eastAsia="Calibri" w:hAnsiTheme="minorHAnsi" w:cstheme="minorHAnsi"/>
                <w:b/>
                <w:sz w:val="22"/>
                <w:szCs w:val="22"/>
                <w:lang w:eastAsia="en-US"/>
              </w:rPr>
            </w:pPr>
          </w:p>
        </w:tc>
      </w:tr>
      <w:tr w:rsidR="00715D1A" w:rsidRPr="00CC1AEF" w14:paraId="41B30158" w14:textId="77777777" w:rsidTr="00D32383">
        <w:tc>
          <w:tcPr>
            <w:tcW w:w="14737" w:type="dxa"/>
            <w:gridSpan w:val="4"/>
            <w:shd w:val="clear" w:color="auto" w:fill="FBD4B4" w:themeFill="accent6" w:themeFillTint="66"/>
          </w:tcPr>
          <w:p w14:paraId="0385DE6F" w14:textId="5B12D60A" w:rsidR="00715D1A" w:rsidRPr="00CC1AEF" w:rsidRDefault="00715D1A">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Association avec l'utilisateur de services de paiement</w:t>
            </w:r>
          </w:p>
        </w:tc>
      </w:tr>
      <w:tr w:rsidR="006028DC" w:rsidRPr="00CC1AEF" w14:paraId="40DEF4DE" w14:textId="77777777" w:rsidTr="00683E60">
        <w:tc>
          <w:tcPr>
            <w:tcW w:w="1595" w:type="dxa"/>
          </w:tcPr>
          <w:p w14:paraId="0B476F94" w14:textId="4714A677" w:rsidR="006028DC" w:rsidRPr="00CC1AEF" w:rsidRDefault="00715D1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24</w:t>
            </w:r>
          </w:p>
        </w:tc>
        <w:tc>
          <w:tcPr>
            <w:tcW w:w="4979" w:type="dxa"/>
          </w:tcPr>
          <w:p w14:paraId="1881706F" w14:textId="77777777" w:rsidR="00715D1A"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Le PSP veille-t-il à ce que seul l'utilisateur de services de paiement soit associé, de manière sécurisée, aux données de sécurité personnalisées, aux dispositifs d'authentification et au logiciel en respectant les exigences listées ci-après ?</w:t>
            </w:r>
          </w:p>
          <w:p w14:paraId="35BCCCEA" w14:textId="77777777" w:rsidR="00715D1A"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l'association de l'identité de l'utilisateur de services de paiement avec les données de sécurité personnalisées et les dispositifs et le logiciel d'authentification a lieu dans des environnements sécurisés relevant de la responsabilité du prestataire de services de paiement, comprenant au moins les locaux du prestataire de services de paiement et l'environnement internet fourni par le prestataire de services de paiement, ou d'autres sites internet sécurisés similaires utilisés par ce dernier et par ses services de retrait à des distributeurs automatiques de billets, et tenant compte des risques liés aux dispositifs et composants sous-jacents utilisés au cours du processus d'association qui ne sont pas sous la responsabilité du prestataire de services de paiement ;</w:t>
            </w:r>
          </w:p>
          <w:p w14:paraId="4E9035BD" w14:textId="128EA30B" w:rsidR="00AE5683"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 - l'association, grâce à un moyen de communication à distance, de l'identité de l'utilisateur de services de paiement avec les données de sécurité personnalisées et les dispositifs ou le logiciel d'authentification est effectuée à l'aide d'une authentification forte du client.</w:t>
            </w:r>
          </w:p>
        </w:tc>
        <w:tc>
          <w:tcPr>
            <w:tcW w:w="1465" w:type="dxa"/>
          </w:tcPr>
          <w:p w14:paraId="0D6A7D9D" w14:textId="77777777" w:rsidR="006028DC" w:rsidRPr="00CC1AEF" w:rsidRDefault="006028DC" w:rsidP="009973F6">
            <w:pPr>
              <w:jc w:val="center"/>
              <w:rPr>
                <w:rFonts w:asciiTheme="minorHAnsi" w:hAnsiTheme="minorHAnsi" w:cstheme="minorHAnsi"/>
                <w:b/>
                <w:sz w:val="22"/>
                <w:szCs w:val="22"/>
              </w:rPr>
            </w:pPr>
          </w:p>
        </w:tc>
        <w:tc>
          <w:tcPr>
            <w:tcW w:w="6698" w:type="dxa"/>
          </w:tcPr>
          <w:p w14:paraId="49619D5E"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159FE360" w14:textId="77777777" w:rsidTr="00D32383">
        <w:tc>
          <w:tcPr>
            <w:tcW w:w="14737" w:type="dxa"/>
            <w:gridSpan w:val="4"/>
            <w:shd w:val="clear" w:color="auto" w:fill="FBD4B4" w:themeFill="accent6" w:themeFillTint="66"/>
          </w:tcPr>
          <w:p w14:paraId="361D1AF4" w14:textId="12DF1CDF"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Livraison des données ainsi que des dispositifs et d</w:t>
            </w:r>
            <w:r w:rsidR="009606D4">
              <w:rPr>
                <w:rFonts w:asciiTheme="minorHAnsi" w:eastAsia="Calibri" w:hAnsiTheme="minorHAnsi" w:cstheme="minorHAnsi"/>
                <w:b/>
                <w:sz w:val="22"/>
                <w:szCs w:val="22"/>
                <w:lang w:eastAsia="en-US"/>
              </w:rPr>
              <w:t xml:space="preserve">u logiciel d'authentification </w:t>
            </w:r>
          </w:p>
        </w:tc>
      </w:tr>
      <w:tr w:rsidR="006028DC" w:rsidRPr="00CC1AEF" w14:paraId="639F7244" w14:textId="77777777" w:rsidTr="00683E60">
        <w:tc>
          <w:tcPr>
            <w:tcW w:w="1595" w:type="dxa"/>
          </w:tcPr>
          <w:p w14:paraId="31E2A075" w14:textId="35C922EA"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25</w:t>
            </w:r>
          </w:p>
        </w:tc>
        <w:tc>
          <w:tcPr>
            <w:tcW w:w="4979" w:type="dxa"/>
          </w:tcPr>
          <w:p w14:paraId="09F5E6C1" w14:textId="77777777" w:rsidR="00AE5683"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 PSP veille-t-il à ce que la livraison des données de sécurité personnalisées ainsi que des dispositifs et du logiciel d'authentification à l'utilisateur de services de paiement soit effectuée d'une manière sécurisée qui permette de prévenir les risques liés à leur utilisation non autorisée à la suite de leur perte, vol ou copie en appliquant au moins chacune des mesures listées ci-après ?</w:t>
            </w:r>
          </w:p>
          <w:p w14:paraId="14F99097"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de livraison efficaces et sécurisés garantissent que les données de sécurité personnalisées ainsi que les dispositifs et le logiciel d'authentification sont livrés à l'utilisateur de services de paiement légitime ;</w:t>
            </w:r>
          </w:p>
          <w:p w14:paraId="17AB057E"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permettent au prestataire de services de paiement de vérifier l'authenticité du logiciel d'authentification livré à l'utilisateur de services de paiement grâce à l'internet ;</w:t>
            </w:r>
          </w:p>
          <w:p w14:paraId="0270BA62" w14:textId="0A93371D"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dispositions garantissent que, lorsque la livraison des données de sécurité personnalisées a lieu en dehors des locaux du prestataire de services de paiement ou grâce à un moyen de communication à distance :</w:t>
            </w:r>
          </w:p>
          <w:p w14:paraId="3E2AC01C" w14:textId="315A6860" w:rsidR="00AE5683" w:rsidRPr="00CC1AEF" w:rsidRDefault="00AE5683"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 aucun tiers non autorisé ne peut obtenir plus d'un élément des données de sécurité personnalisées ou des dispositifs ou du logiciel d'authentification lorsque la livraison est effectuée grâce au même moyen de communication ;</w:t>
            </w:r>
          </w:p>
          <w:p w14:paraId="7B09DE5C" w14:textId="17129353" w:rsidR="00AE5683" w:rsidRPr="00CC1AEF" w:rsidRDefault="00AE5683"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les données de sécurité personnalisées ou les dispositifs ou le logiciel d'authentification doivent être activés avant de pouvoir être utilisés ;</w:t>
            </w:r>
          </w:p>
          <w:p w14:paraId="5E328663" w14:textId="0511914D" w:rsidR="00390721" w:rsidRPr="00A85C3C" w:rsidRDefault="00AE5683"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dispositions garantissent que, si les données de sécurité personnalisées ou les dispositifs ou le logiciel d'authentification doivent être activés avant leur première utilisation, cette activation est effectuée dans un environnement sécurisé conformément aux procédures d'association visées à l'article 24.</w:t>
            </w:r>
          </w:p>
        </w:tc>
        <w:tc>
          <w:tcPr>
            <w:tcW w:w="1465" w:type="dxa"/>
          </w:tcPr>
          <w:p w14:paraId="535A74A8" w14:textId="77777777" w:rsidR="006028DC" w:rsidRPr="00CC1AEF" w:rsidRDefault="006028DC" w:rsidP="009973F6">
            <w:pPr>
              <w:jc w:val="center"/>
              <w:rPr>
                <w:rFonts w:asciiTheme="minorHAnsi" w:hAnsiTheme="minorHAnsi" w:cstheme="minorHAnsi"/>
                <w:b/>
                <w:sz w:val="22"/>
                <w:szCs w:val="22"/>
              </w:rPr>
            </w:pPr>
          </w:p>
        </w:tc>
        <w:tc>
          <w:tcPr>
            <w:tcW w:w="6698" w:type="dxa"/>
          </w:tcPr>
          <w:p w14:paraId="503A3210"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65F976D9" w14:textId="77777777" w:rsidTr="00D32383">
        <w:tc>
          <w:tcPr>
            <w:tcW w:w="14737" w:type="dxa"/>
            <w:gridSpan w:val="4"/>
            <w:shd w:val="clear" w:color="auto" w:fill="FBD4B4" w:themeFill="accent6" w:themeFillTint="66"/>
          </w:tcPr>
          <w:p w14:paraId="439C8079" w14:textId="509E0473"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Renouvellement des données de sécurité personnalisées</w:t>
            </w:r>
          </w:p>
        </w:tc>
      </w:tr>
      <w:tr w:rsidR="006028DC" w:rsidRPr="00CC1AEF" w14:paraId="4288380B" w14:textId="77777777" w:rsidTr="00683E60">
        <w:tc>
          <w:tcPr>
            <w:tcW w:w="1595" w:type="dxa"/>
          </w:tcPr>
          <w:p w14:paraId="2E515B51" w14:textId="504F328B"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26</w:t>
            </w:r>
          </w:p>
        </w:tc>
        <w:tc>
          <w:tcPr>
            <w:tcW w:w="4979" w:type="dxa"/>
          </w:tcPr>
          <w:p w14:paraId="02290F44" w14:textId="0DFFE236" w:rsidR="00390721"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w:t>
            </w:r>
            <w:r w:rsidR="00D32383">
              <w:rPr>
                <w:rFonts w:asciiTheme="minorHAnsi" w:hAnsiTheme="minorHAnsi" w:cstheme="minorHAnsi"/>
                <w:sz w:val="22"/>
                <w:szCs w:val="22"/>
              </w:rPr>
              <w:t xml:space="preserve"> PSP v</w:t>
            </w:r>
            <w:r w:rsidRPr="00CC1AEF">
              <w:rPr>
                <w:rFonts w:asciiTheme="minorHAnsi" w:hAnsiTheme="minorHAnsi" w:cstheme="minorHAnsi"/>
                <w:sz w:val="22"/>
                <w:szCs w:val="22"/>
              </w:rPr>
              <w:t>eille</w:t>
            </w:r>
            <w:r w:rsidR="00D32383">
              <w:rPr>
                <w:rFonts w:asciiTheme="minorHAnsi" w:hAnsiTheme="minorHAnsi" w:cstheme="minorHAnsi"/>
                <w:sz w:val="22"/>
                <w:szCs w:val="22"/>
              </w:rPr>
              <w:t>-t-il</w:t>
            </w:r>
            <w:r w:rsidRPr="00CC1AEF">
              <w:rPr>
                <w:rFonts w:asciiTheme="minorHAnsi" w:hAnsiTheme="minorHAnsi" w:cstheme="minorHAnsi"/>
                <w:sz w:val="22"/>
                <w:szCs w:val="22"/>
              </w:rPr>
              <w:t xml:space="preserve"> à ce que le renouvellement ou la réactivation des données de sécurité personnalisées respecte les procédures applicables à la création, à l'association et à la livraison de ces données et des dispositifs d'authentification conform</w:t>
            </w:r>
            <w:r w:rsidR="00D32383">
              <w:rPr>
                <w:rFonts w:asciiTheme="minorHAnsi" w:hAnsiTheme="minorHAnsi" w:cstheme="minorHAnsi"/>
                <w:sz w:val="22"/>
                <w:szCs w:val="22"/>
              </w:rPr>
              <w:t>ément aux articles 23, 24 et 25 des RTS ?</w:t>
            </w:r>
          </w:p>
        </w:tc>
        <w:tc>
          <w:tcPr>
            <w:tcW w:w="1465" w:type="dxa"/>
          </w:tcPr>
          <w:p w14:paraId="7C3B5933" w14:textId="77777777" w:rsidR="006028DC" w:rsidRPr="00CC1AEF" w:rsidRDefault="006028DC" w:rsidP="009973F6">
            <w:pPr>
              <w:jc w:val="center"/>
              <w:rPr>
                <w:rFonts w:asciiTheme="minorHAnsi" w:hAnsiTheme="minorHAnsi" w:cstheme="minorHAnsi"/>
                <w:b/>
                <w:sz w:val="22"/>
                <w:szCs w:val="22"/>
              </w:rPr>
            </w:pPr>
          </w:p>
        </w:tc>
        <w:tc>
          <w:tcPr>
            <w:tcW w:w="6698" w:type="dxa"/>
          </w:tcPr>
          <w:p w14:paraId="0BD9EDE6"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7B456945" w14:textId="77777777" w:rsidTr="00D32383">
        <w:tc>
          <w:tcPr>
            <w:tcW w:w="14737" w:type="dxa"/>
            <w:gridSpan w:val="4"/>
            <w:shd w:val="clear" w:color="auto" w:fill="FBD4B4" w:themeFill="accent6" w:themeFillTint="66"/>
          </w:tcPr>
          <w:p w14:paraId="656F560F" w14:textId="15F2EF29"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Destruction, désactivation et révocation</w:t>
            </w:r>
          </w:p>
        </w:tc>
      </w:tr>
      <w:tr w:rsidR="006028DC" w:rsidRPr="00CC1AEF" w14:paraId="6D6B7689" w14:textId="77777777" w:rsidTr="00683E60">
        <w:tc>
          <w:tcPr>
            <w:tcW w:w="1595" w:type="dxa"/>
          </w:tcPr>
          <w:p w14:paraId="30E46485" w14:textId="2E29D17E"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27</w:t>
            </w:r>
          </w:p>
        </w:tc>
        <w:tc>
          <w:tcPr>
            <w:tcW w:w="4979" w:type="dxa"/>
          </w:tcPr>
          <w:p w14:paraId="1586B031" w14:textId="77777777" w:rsidR="00AE5683"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 PSP a-t-il mis en place des procédures efficaces en vue d'appliquer chacune des mesures de sécurité listées ci-après ?</w:t>
            </w:r>
          </w:p>
          <w:p w14:paraId="5FC0474E"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la destruction, la désactivation ou la révocation sécurisée des données de sécurité personnalisées et des dispositifs et du logiciel d'authentification ;</w:t>
            </w:r>
          </w:p>
          <w:p w14:paraId="447A771C" w14:textId="77777777" w:rsidR="00390721"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lorsque le prestataire de services de paiement distribue des dispositifs et logiciels d'authentification réutilisables, la réutilisation sécurisée d'un dispositif ou logiciel est établie, décrite par écrit et mise en </w:t>
            </w:r>
            <w:r w:rsidR="00390721" w:rsidRPr="00CC1AEF">
              <w:rPr>
                <w:rFonts w:asciiTheme="minorHAnsi" w:hAnsiTheme="minorHAnsi" w:cstheme="minorHAnsi"/>
                <w:szCs w:val="22"/>
              </w:rPr>
              <w:t>œuvre</w:t>
            </w:r>
            <w:r w:rsidRPr="00CC1AEF">
              <w:rPr>
                <w:rFonts w:asciiTheme="minorHAnsi" w:hAnsiTheme="minorHAnsi" w:cstheme="minorHAnsi"/>
                <w:szCs w:val="22"/>
              </w:rPr>
              <w:t xml:space="preserve"> avant sa mise à disposition d'un autre utilisateur de services de paiement</w:t>
            </w:r>
            <w:r w:rsidR="00390721" w:rsidRPr="00CC1AEF">
              <w:rPr>
                <w:rFonts w:asciiTheme="minorHAnsi" w:hAnsiTheme="minorHAnsi" w:cstheme="minorHAnsi"/>
                <w:szCs w:val="22"/>
              </w:rPr>
              <w:t xml:space="preserve"> </w:t>
            </w:r>
            <w:r w:rsidRPr="00CC1AEF">
              <w:rPr>
                <w:rFonts w:asciiTheme="minorHAnsi" w:hAnsiTheme="minorHAnsi" w:cstheme="minorHAnsi"/>
                <w:szCs w:val="22"/>
              </w:rPr>
              <w:t>;</w:t>
            </w:r>
          </w:p>
          <w:p w14:paraId="44F0FDE2" w14:textId="2C95DDAD" w:rsidR="00390721" w:rsidRPr="00A85C3C" w:rsidRDefault="00AE5683"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la désactivation ou la révocation des informations liées aux données de sécurité personnalisées conservées dans les systèmes et bases de données du prestataire de services de paiement et, le cas échéant, dans des registres publics.</w:t>
            </w:r>
          </w:p>
        </w:tc>
        <w:tc>
          <w:tcPr>
            <w:tcW w:w="1465" w:type="dxa"/>
          </w:tcPr>
          <w:p w14:paraId="6C48B073" w14:textId="77777777" w:rsidR="006028DC" w:rsidRPr="00CC1AEF" w:rsidRDefault="006028DC" w:rsidP="009973F6">
            <w:pPr>
              <w:jc w:val="center"/>
              <w:rPr>
                <w:rFonts w:asciiTheme="minorHAnsi" w:hAnsiTheme="minorHAnsi" w:cstheme="minorHAnsi"/>
                <w:b/>
                <w:sz w:val="22"/>
                <w:szCs w:val="22"/>
              </w:rPr>
            </w:pPr>
          </w:p>
        </w:tc>
        <w:tc>
          <w:tcPr>
            <w:tcW w:w="6698" w:type="dxa"/>
          </w:tcPr>
          <w:p w14:paraId="3BA61474" w14:textId="77777777" w:rsidR="006028DC" w:rsidRPr="00CC1AEF" w:rsidRDefault="006028DC">
            <w:pPr>
              <w:jc w:val="left"/>
              <w:rPr>
                <w:rFonts w:asciiTheme="minorHAnsi" w:eastAsia="Calibri" w:hAnsiTheme="minorHAnsi" w:cstheme="minorHAnsi"/>
                <w:b/>
                <w:sz w:val="22"/>
                <w:szCs w:val="22"/>
                <w:lang w:eastAsia="en-US"/>
              </w:rPr>
            </w:pPr>
          </w:p>
        </w:tc>
      </w:tr>
      <w:tr w:rsidR="00D32383" w:rsidRPr="00CC1AEF" w14:paraId="3122D62A" w14:textId="77777777" w:rsidTr="00CE66B9">
        <w:tc>
          <w:tcPr>
            <w:tcW w:w="14737" w:type="dxa"/>
            <w:gridSpan w:val="4"/>
            <w:shd w:val="clear" w:color="auto" w:fill="B8CCE4" w:themeFill="accent1" w:themeFillTint="66"/>
          </w:tcPr>
          <w:p w14:paraId="774BC71F" w14:textId="4BDCFDD3" w:rsidR="00D32383" w:rsidRPr="00CC1AEF" w:rsidRDefault="00D32383">
            <w:pPr>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Normes ouvertes communes et sécurisées de communication</w:t>
            </w:r>
          </w:p>
        </w:tc>
      </w:tr>
      <w:tr w:rsidR="00897A4F" w:rsidRPr="00CC1AEF" w14:paraId="26FA6453" w14:textId="77777777" w:rsidTr="00897A4F">
        <w:tc>
          <w:tcPr>
            <w:tcW w:w="14737" w:type="dxa"/>
            <w:gridSpan w:val="4"/>
            <w:shd w:val="clear" w:color="auto" w:fill="C2D69B" w:themeFill="accent3" w:themeFillTint="99"/>
          </w:tcPr>
          <w:p w14:paraId="5C4A3C5B" w14:textId="4EFCACE1" w:rsidR="00897A4F" w:rsidRDefault="00897A4F" w:rsidP="00080007">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w:t>
            </w:r>
            <w:r w:rsidR="007952FB">
              <w:rPr>
                <w:rFonts w:asciiTheme="minorHAnsi" w:eastAsia="Calibri" w:hAnsiTheme="minorHAnsi" w:cstheme="minorHAnsi"/>
                <w:b/>
                <w:sz w:val="22"/>
                <w:szCs w:val="22"/>
                <w:lang w:eastAsia="en-US"/>
              </w:rPr>
              <w:t xml:space="preserve"> en cas de non mise en œuvre d’une interface d’accès dédiée : accès via le site de banque en ligne avec authentification du tiers</w:t>
            </w:r>
          </w:p>
        </w:tc>
      </w:tr>
      <w:tr w:rsidR="00D32383" w:rsidRPr="00CC1AEF" w14:paraId="6E3581BF" w14:textId="77777777" w:rsidTr="00683E60">
        <w:tc>
          <w:tcPr>
            <w:tcW w:w="1595" w:type="dxa"/>
          </w:tcPr>
          <w:p w14:paraId="63E5967B" w14:textId="51B24ABB" w:rsidR="00D32383" w:rsidRDefault="00743803" w:rsidP="009973F6">
            <w:pPr>
              <w:jc w:val="center"/>
              <w:rPr>
                <w:rFonts w:asciiTheme="minorHAnsi" w:hAnsiTheme="minorHAnsi" w:cstheme="minorHAnsi"/>
                <w:b/>
                <w:sz w:val="22"/>
                <w:szCs w:val="22"/>
              </w:rPr>
            </w:pPr>
            <w:r>
              <w:rPr>
                <w:rFonts w:asciiTheme="minorHAnsi" w:hAnsiTheme="minorHAnsi" w:cstheme="minorHAnsi"/>
                <w:b/>
                <w:sz w:val="22"/>
                <w:szCs w:val="22"/>
              </w:rPr>
              <w:t>29</w:t>
            </w:r>
          </w:p>
          <w:p w14:paraId="3F58AD6A" w14:textId="2096A7B5" w:rsidR="00743803" w:rsidRPr="00CC1AEF" w:rsidRDefault="00743803" w:rsidP="009973F6">
            <w:pPr>
              <w:jc w:val="center"/>
              <w:rPr>
                <w:rFonts w:asciiTheme="minorHAnsi" w:hAnsiTheme="minorHAnsi" w:cstheme="minorHAnsi"/>
                <w:b/>
                <w:sz w:val="22"/>
                <w:szCs w:val="22"/>
              </w:rPr>
            </w:pPr>
          </w:p>
        </w:tc>
        <w:tc>
          <w:tcPr>
            <w:tcW w:w="4979" w:type="dxa"/>
          </w:tcPr>
          <w:p w14:paraId="48018AC8" w14:textId="0722CC7D" w:rsidR="00D32383" w:rsidRPr="00F107F1" w:rsidRDefault="00F107F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que </w:t>
            </w:r>
            <w:r w:rsidR="00943FA1">
              <w:rPr>
                <w:rFonts w:asciiTheme="minorHAnsi" w:hAnsiTheme="minorHAnsi" w:cstheme="minorHAnsi"/>
                <w:sz w:val="22"/>
                <w:szCs w:val="22"/>
              </w:rPr>
              <w:t xml:space="preserve">l’ensemble des opérations (authentification, consultation et initiation de paiement) </w:t>
            </w:r>
            <w:r>
              <w:rPr>
                <w:rFonts w:asciiTheme="minorHAnsi" w:hAnsiTheme="minorHAnsi" w:cstheme="minorHAnsi"/>
                <w:sz w:val="22"/>
                <w:szCs w:val="22"/>
              </w:rPr>
              <w:t xml:space="preserve"> avec l’utilisateur du service de paiement, y compris des commerçants, d’autres PSP et d’autres entités </w:t>
            </w:r>
            <w:r w:rsidR="00943FA1">
              <w:rPr>
                <w:rFonts w:asciiTheme="minorHAnsi" w:hAnsiTheme="minorHAnsi" w:cstheme="minorHAnsi"/>
                <w:sz w:val="22"/>
                <w:szCs w:val="22"/>
              </w:rPr>
              <w:t>soient bien tracées avec des identifiants uniques,</w:t>
            </w:r>
            <w:r>
              <w:rPr>
                <w:rFonts w:asciiTheme="minorHAnsi" w:hAnsiTheme="minorHAnsi" w:cstheme="minorHAnsi"/>
                <w:sz w:val="22"/>
                <w:szCs w:val="22"/>
              </w:rPr>
              <w:t xml:space="preserve"> non prédictible</w:t>
            </w:r>
            <w:r w:rsidR="00943FA1">
              <w:rPr>
                <w:rFonts w:asciiTheme="minorHAnsi" w:hAnsiTheme="minorHAnsi" w:cstheme="minorHAnsi"/>
                <w:sz w:val="22"/>
                <w:szCs w:val="22"/>
              </w:rPr>
              <w:t>s</w:t>
            </w:r>
            <w:r>
              <w:rPr>
                <w:rFonts w:asciiTheme="minorHAnsi" w:hAnsiTheme="minorHAnsi" w:cstheme="minorHAnsi"/>
                <w:sz w:val="22"/>
                <w:szCs w:val="22"/>
              </w:rPr>
              <w:t xml:space="preserve"> et horodatée</w:t>
            </w:r>
            <w:r w:rsidR="00943FA1">
              <w:rPr>
                <w:rFonts w:asciiTheme="minorHAnsi" w:hAnsiTheme="minorHAnsi" w:cstheme="minorHAnsi"/>
                <w:sz w:val="22"/>
                <w:szCs w:val="22"/>
              </w:rPr>
              <w:t>s</w:t>
            </w:r>
            <w:r>
              <w:rPr>
                <w:rFonts w:asciiTheme="minorHAnsi" w:hAnsiTheme="minorHAnsi" w:cstheme="minorHAnsi"/>
                <w:sz w:val="22"/>
                <w:szCs w:val="22"/>
              </w:rPr>
              <w:t> ?</w:t>
            </w:r>
          </w:p>
        </w:tc>
        <w:tc>
          <w:tcPr>
            <w:tcW w:w="1465" w:type="dxa"/>
          </w:tcPr>
          <w:p w14:paraId="7E35FB3C" w14:textId="77777777" w:rsidR="00D32383" w:rsidRPr="00CC1AEF" w:rsidRDefault="00D32383" w:rsidP="009973F6">
            <w:pPr>
              <w:jc w:val="center"/>
              <w:rPr>
                <w:rFonts w:asciiTheme="minorHAnsi" w:hAnsiTheme="minorHAnsi" w:cstheme="minorHAnsi"/>
                <w:b/>
                <w:sz w:val="22"/>
                <w:szCs w:val="22"/>
              </w:rPr>
            </w:pPr>
          </w:p>
        </w:tc>
        <w:tc>
          <w:tcPr>
            <w:tcW w:w="6698" w:type="dxa"/>
          </w:tcPr>
          <w:p w14:paraId="77F4322B" w14:textId="77777777" w:rsidR="00D32383" w:rsidRPr="00CC1AEF" w:rsidRDefault="00D32383">
            <w:pPr>
              <w:jc w:val="left"/>
              <w:rPr>
                <w:rFonts w:asciiTheme="minorHAnsi" w:eastAsia="Calibri" w:hAnsiTheme="minorHAnsi" w:cstheme="minorHAnsi"/>
                <w:b/>
                <w:sz w:val="22"/>
                <w:szCs w:val="22"/>
                <w:lang w:eastAsia="en-US"/>
              </w:rPr>
            </w:pPr>
          </w:p>
        </w:tc>
      </w:tr>
      <w:tr w:rsidR="00D32383" w:rsidRPr="00CC1AEF" w14:paraId="161C4272" w14:textId="77777777" w:rsidTr="00683E60">
        <w:tc>
          <w:tcPr>
            <w:tcW w:w="1595" w:type="dxa"/>
          </w:tcPr>
          <w:p w14:paraId="375EDF09" w14:textId="5BB7732F" w:rsidR="00D32383" w:rsidRPr="00CC1AEF" w:rsidRDefault="00931CD3" w:rsidP="009973F6">
            <w:pPr>
              <w:jc w:val="center"/>
              <w:rPr>
                <w:rFonts w:asciiTheme="minorHAnsi" w:hAnsiTheme="minorHAnsi" w:cstheme="minorHAnsi"/>
                <w:b/>
                <w:sz w:val="22"/>
                <w:szCs w:val="22"/>
              </w:rPr>
            </w:pPr>
            <w:r>
              <w:rPr>
                <w:rFonts w:asciiTheme="minorHAnsi" w:hAnsiTheme="minorHAnsi" w:cstheme="minorHAnsi"/>
                <w:b/>
                <w:sz w:val="22"/>
                <w:szCs w:val="22"/>
              </w:rPr>
              <w:t>30</w:t>
            </w:r>
            <w:r w:rsidR="00671D63">
              <w:rPr>
                <w:rFonts w:asciiTheme="minorHAnsi" w:hAnsiTheme="minorHAnsi" w:cstheme="minorHAnsi"/>
                <w:b/>
                <w:sz w:val="22"/>
                <w:szCs w:val="22"/>
              </w:rPr>
              <w:t>-1</w:t>
            </w:r>
          </w:p>
        </w:tc>
        <w:tc>
          <w:tcPr>
            <w:tcW w:w="4979" w:type="dxa"/>
          </w:tcPr>
          <w:p w14:paraId="7E159BEB" w14:textId="0A239F32" w:rsidR="00E96114" w:rsidRDefault="00E96114" w:rsidP="007952FB">
            <w:pPr>
              <w:rPr>
                <w:rFonts w:asciiTheme="minorHAnsi" w:hAnsiTheme="minorHAnsi" w:cstheme="minorHAnsi"/>
                <w:sz w:val="22"/>
                <w:szCs w:val="22"/>
              </w:rPr>
            </w:pPr>
            <w:r w:rsidRPr="00E96114">
              <w:rPr>
                <w:rFonts w:asciiTheme="minorHAnsi" w:hAnsiTheme="minorHAnsi" w:cstheme="minorHAnsi"/>
                <w:sz w:val="22"/>
                <w:szCs w:val="22"/>
              </w:rPr>
              <w:t xml:space="preserve">Le </w:t>
            </w:r>
            <w:r>
              <w:rPr>
                <w:rFonts w:asciiTheme="minorHAnsi" w:hAnsiTheme="minorHAnsi" w:cstheme="minorHAnsi"/>
                <w:sz w:val="22"/>
                <w:szCs w:val="22"/>
              </w:rPr>
              <w:t>PSP a-t-il mis à disposition des PSP tiers une interface d’accès qui respecte les exigences listées ci-après</w:t>
            </w:r>
            <w:r w:rsidR="00266D56">
              <w:rPr>
                <w:rFonts w:asciiTheme="minorHAnsi" w:hAnsiTheme="minorHAnsi" w:cstheme="minorHAnsi"/>
                <w:sz w:val="22"/>
                <w:szCs w:val="22"/>
              </w:rPr>
              <w:t> ?</w:t>
            </w:r>
          </w:p>
          <w:p w14:paraId="3E100557" w14:textId="77777777" w:rsidR="00E96114" w:rsidRDefault="00E96114" w:rsidP="00E96114">
            <w:pPr>
              <w:pStyle w:val="Paragraphedeliste"/>
              <w:numPr>
                <w:ilvl w:val="0"/>
                <w:numId w:val="119"/>
              </w:numPr>
              <w:rPr>
                <w:rFonts w:asciiTheme="minorHAnsi" w:hAnsiTheme="minorHAnsi" w:cstheme="minorHAnsi"/>
                <w:szCs w:val="22"/>
              </w:rPr>
            </w:pPr>
            <w:r>
              <w:rPr>
                <w:rFonts w:asciiTheme="minorHAnsi" w:hAnsiTheme="minorHAnsi" w:cstheme="minorHAnsi"/>
                <w:szCs w:val="22"/>
              </w:rPr>
              <w:t>les PSP tiers sont en mesure de s’identifier auprès du PSP ;</w:t>
            </w:r>
          </w:p>
          <w:p w14:paraId="4D9F1B95" w14:textId="42641440" w:rsidR="00E96114" w:rsidRPr="00E96114" w:rsidRDefault="00E96114" w:rsidP="00E96114">
            <w:pPr>
              <w:pStyle w:val="Paragraphedeliste"/>
              <w:numPr>
                <w:ilvl w:val="0"/>
                <w:numId w:val="119"/>
              </w:numPr>
              <w:rPr>
                <w:rFonts w:asciiTheme="minorHAnsi" w:hAnsiTheme="minorHAnsi" w:cstheme="minorHAnsi"/>
                <w:szCs w:val="22"/>
              </w:rPr>
            </w:pPr>
            <w:r>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6BF20F9F" w14:textId="77777777" w:rsidR="00D32383" w:rsidRPr="00CC1AEF" w:rsidRDefault="00D32383" w:rsidP="009973F6">
            <w:pPr>
              <w:jc w:val="center"/>
              <w:rPr>
                <w:rFonts w:asciiTheme="minorHAnsi" w:hAnsiTheme="minorHAnsi" w:cstheme="minorHAnsi"/>
                <w:b/>
                <w:sz w:val="22"/>
                <w:szCs w:val="22"/>
              </w:rPr>
            </w:pPr>
          </w:p>
        </w:tc>
        <w:tc>
          <w:tcPr>
            <w:tcW w:w="6698" w:type="dxa"/>
          </w:tcPr>
          <w:p w14:paraId="404E4790" w14:textId="77777777" w:rsidR="00D32383" w:rsidRPr="00CC1AEF" w:rsidRDefault="00D32383">
            <w:pPr>
              <w:jc w:val="left"/>
              <w:rPr>
                <w:rFonts w:asciiTheme="minorHAnsi" w:eastAsia="Calibri" w:hAnsiTheme="minorHAnsi" w:cstheme="minorHAnsi"/>
                <w:b/>
                <w:sz w:val="22"/>
                <w:szCs w:val="22"/>
                <w:lang w:eastAsia="en-US"/>
              </w:rPr>
            </w:pPr>
          </w:p>
        </w:tc>
      </w:tr>
      <w:tr w:rsidR="00E96114" w:rsidRPr="00CC1AEF" w14:paraId="414710BB" w14:textId="77777777" w:rsidTr="00683E60">
        <w:tc>
          <w:tcPr>
            <w:tcW w:w="1595" w:type="dxa"/>
          </w:tcPr>
          <w:p w14:paraId="3C852C9C" w14:textId="35905495" w:rsidR="00E96114" w:rsidRDefault="00671D63" w:rsidP="009973F6">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5C0D237A" w14:textId="3ED77628" w:rsidR="00671D63" w:rsidRPr="00E96114" w:rsidRDefault="00671D63" w:rsidP="00266D56">
            <w:pPr>
              <w:rPr>
                <w:rFonts w:asciiTheme="minorHAnsi" w:hAnsiTheme="minorHAnsi" w:cstheme="minorHAnsi"/>
                <w:sz w:val="22"/>
                <w:szCs w:val="22"/>
              </w:rPr>
            </w:pPr>
            <w:r>
              <w:rPr>
                <w:rFonts w:asciiTheme="minorHAnsi" w:hAnsiTheme="minorHAnsi" w:cstheme="minorHAnsi"/>
                <w:sz w:val="22"/>
                <w:szCs w:val="22"/>
              </w:rPr>
              <w:t>L</w:t>
            </w:r>
            <w:r w:rsidR="00266D56">
              <w:rPr>
                <w:rFonts w:asciiTheme="minorHAnsi" w:hAnsiTheme="minorHAnsi" w:cstheme="minorHAnsi"/>
                <w:sz w:val="22"/>
                <w:szCs w:val="22"/>
              </w:rPr>
              <w:t>e PSP r</w:t>
            </w:r>
            <w:r w:rsidR="00266D56" w:rsidRPr="00266D56">
              <w:rPr>
                <w:rFonts w:asciiTheme="minorHAnsi" w:hAnsiTheme="minorHAnsi" w:cstheme="minorHAnsi"/>
                <w:sz w:val="22"/>
                <w:szCs w:val="22"/>
              </w:rPr>
              <w:t>end</w:t>
            </w:r>
            <w:r w:rsidR="00266D56">
              <w:rPr>
                <w:rFonts w:asciiTheme="minorHAnsi" w:hAnsiTheme="minorHAnsi" w:cstheme="minorHAnsi"/>
                <w:sz w:val="22"/>
                <w:szCs w:val="22"/>
              </w:rPr>
              <w:t>-t-il</w:t>
            </w:r>
            <w:r w:rsidR="00266D56" w:rsidRPr="00266D56">
              <w:rPr>
                <w:rFonts w:asciiTheme="minorHAnsi" w:hAnsiTheme="minorHAnsi" w:cstheme="minorHAnsi"/>
                <w:sz w:val="22"/>
                <w:szCs w:val="22"/>
              </w:rPr>
              <w:t xml:space="preserve"> l’ensemble des procédures d’authentification proposées aux utilisateurs de services de paiement utilisable</w:t>
            </w:r>
            <w:r w:rsidR="00462A8D">
              <w:rPr>
                <w:rFonts w:asciiTheme="minorHAnsi" w:hAnsiTheme="minorHAnsi" w:cstheme="minorHAnsi"/>
                <w:sz w:val="22"/>
                <w:szCs w:val="22"/>
              </w:rPr>
              <w:t>s</w:t>
            </w:r>
            <w:r w:rsidR="00266D56" w:rsidRPr="00266D56">
              <w:rPr>
                <w:rFonts w:asciiTheme="minorHAnsi" w:hAnsiTheme="minorHAnsi" w:cstheme="minorHAnsi"/>
                <w:sz w:val="22"/>
                <w:szCs w:val="22"/>
              </w:rPr>
              <w:t xml:space="preserve"> par les PSP tiers aux fins de l’authentification des utilisateurs de services de paiement</w:t>
            </w:r>
            <w:r w:rsidR="00266D56">
              <w:rPr>
                <w:rFonts w:asciiTheme="minorHAnsi" w:hAnsiTheme="minorHAnsi" w:cstheme="minorHAnsi"/>
                <w:sz w:val="22"/>
                <w:szCs w:val="22"/>
              </w:rPr>
              <w:t> ?</w:t>
            </w:r>
          </w:p>
        </w:tc>
        <w:tc>
          <w:tcPr>
            <w:tcW w:w="1465" w:type="dxa"/>
          </w:tcPr>
          <w:p w14:paraId="7F16F21B" w14:textId="77777777" w:rsidR="00E96114" w:rsidRPr="00CC1AEF" w:rsidRDefault="00E96114" w:rsidP="009973F6">
            <w:pPr>
              <w:jc w:val="center"/>
              <w:rPr>
                <w:rFonts w:asciiTheme="minorHAnsi" w:hAnsiTheme="minorHAnsi" w:cstheme="minorHAnsi"/>
                <w:b/>
                <w:sz w:val="22"/>
                <w:szCs w:val="22"/>
              </w:rPr>
            </w:pPr>
          </w:p>
        </w:tc>
        <w:tc>
          <w:tcPr>
            <w:tcW w:w="6698" w:type="dxa"/>
          </w:tcPr>
          <w:p w14:paraId="2E530081" w14:textId="77777777" w:rsidR="00E96114" w:rsidRPr="00CC1AEF" w:rsidRDefault="00E96114">
            <w:pPr>
              <w:jc w:val="left"/>
              <w:rPr>
                <w:rFonts w:asciiTheme="minorHAnsi" w:eastAsia="Calibri" w:hAnsiTheme="minorHAnsi" w:cstheme="minorHAnsi"/>
                <w:b/>
                <w:sz w:val="22"/>
                <w:szCs w:val="22"/>
                <w:lang w:eastAsia="en-US"/>
              </w:rPr>
            </w:pPr>
          </w:p>
        </w:tc>
      </w:tr>
      <w:tr w:rsidR="00266D56" w:rsidRPr="00CC1AEF" w14:paraId="3F79DA56" w14:textId="77777777" w:rsidTr="00683E60">
        <w:tc>
          <w:tcPr>
            <w:tcW w:w="1595" w:type="dxa"/>
          </w:tcPr>
          <w:p w14:paraId="62954C9E" w14:textId="4FF6B260" w:rsidR="00266D56" w:rsidRDefault="00266D56" w:rsidP="009973F6">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C4B843F" w14:textId="11C48083" w:rsidR="00266D56" w:rsidRDefault="00266D56" w:rsidP="006A74E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54C8FA6D" w14:textId="216BC76A" w:rsidR="00266D56" w:rsidRDefault="00266D56" w:rsidP="006A74E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14A93765" w14:textId="5020F8DA" w:rsidR="00266D56" w:rsidRDefault="00266D56" w:rsidP="00080007">
            <w:pPr>
              <w:rPr>
                <w:rFonts w:asciiTheme="minorHAnsi" w:hAnsiTheme="minorHAnsi" w:cstheme="minorHAnsi"/>
                <w:sz w:val="22"/>
                <w:szCs w:val="22"/>
              </w:rPr>
            </w:pPr>
            <w:r>
              <w:rPr>
                <w:rFonts w:asciiTheme="minorHAnsi" w:hAnsiTheme="minorHAnsi" w:cstheme="minorHAnsi"/>
                <w:sz w:val="22"/>
                <w:szCs w:val="22"/>
              </w:rPr>
              <w:t xml:space="preserve">- </w:t>
            </w:r>
            <w:r w:rsidR="00080007">
              <w:rPr>
                <w:rFonts w:asciiTheme="minorHAnsi" w:hAnsiTheme="minorHAnsi" w:cstheme="minorHAnsi"/>
                <w:sz w:val="22"/>
                <w:szCs w:val="22"/>
              </w:rPr>
              <w:t>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ABEEA0B" w14:textId="77777777" w:rsidR="00266D56" w:rsidRPr="00CC1AEF" w:rsidRDefault="00266D56" w:rsidP="009973F6">
            <w:pPr>
              <w:jc w:val="center"/>
              <w:rPr>
                <w:rFonts w:asciiTheme="minorHAnsi" w:hAnsiTheme="minorHAnsi" w:cstheme="minorHAnsi"/>
                <w:b/>
                <w:sz w:val="22"/>
                <w:szCs w:val="22"/>
              </w:rPr>
            </w:pPr>
          </w:p>
        </w:tc>
        <w:tc>
          <w:tcPr>
            <w:tcW w:w="6698" w:type="dxa"/>
          </w:tcPr>
          <w:p w14:paraId="4925855B" w14:textId="77777777" w:rsidR="00266D56" w:rsidRPr="00CC1AEF" w:rsidRDefault="00266D56">
            <w:pPr>
              <w:jc w:val="left"/>
              <w:rPr>
                <w:rFonts w:asciiTheme="minorHAnsi" w:eastAsia="Calibri" w:hAnsiTheme="minorHAnsi" w:cstheme="minorHAnsi"/>
                <w:b/>
                <w:sz w:val="22"/>
                <w:szCs w:val="22"/>
                <w:lang w:eastAsia="en-US"/>
              </w:rPr>
            </w:pPr>
          </w:p>
        </w:tc>
      </w:tr>
      <w:tr w:rsidR="00D32383" w:rsidRPr="00CC1AEF" w14:paraId="607FEA82" w14:textId="77777777" w:rsidTr="00683E60">
        <w:tc>
          <w:tcPr>
            <w:tcW w:w="1595" w:type="dxa"/>
          </w:tcPr>
          <w:p w14:paraId="552DCECD" w14:textId="2049F56E" w:rsidR="00D32383" w:rsidRPr="00CC1AEF" w:rsidRDefault="006A74E0" w:rsidP="009973F6">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596381F0" w14:textId="4EB28058" w:rsidR="00D32383" w:rsidRPr="006A74E0" w:rsidRDefault="006A74E0" w:rsidP="006A74E0">
            <w:pPr>
              <w:rPr>
                <w:rFonts w:asciiTheme="minorHAnsi" w:hAnsiTheme="minorHAnsi" w:cstheme="minorHAnsi"/>
                <w:sz w:val="22"/>
                <w:szCs w:val="22"/>
              </w:rPr>
            </w:pPr>
            <w:r>
              <w:rPr>
                <w:rFonts w:asciiTheme="minorHAnsi" w:hAnsiTheme="minorHAnsi" w:cstheme="minorHAnsi"/>
                <w:sz w:val="22"/>
                <w:szCs w:val="22"/>
              </w:rPr>
              <w:t xml:space="preserve">L’accès des PSP tiers au site de banque en ligne du PSP se fait au moyen de certificats qualifiés de cachet électronique ou de certificats qualifiés d’authentification de site internet ? </w:t>
            </w:r>
          </w:p>
        </w:tc>
        <w:tc>
          <w:tcPr>
            <w:tcW w:w="1465" w:type="dxa"/>
          </w:tcPr>
          <w:p w14:paraId="597CAA81" w14:textId="77777777" w:rsidR="00D32383" w:rsidRPr="00CC1AEF" w:rsidRDefault="00D32383" w:rsidP="009973F6">
            <w:pPr>
              <w:jc w:val="center"/>
              <w:rPr>
                <w:rFonts w:asciiTheme="minorHAnsi" w:hAnsiTheme="minorHAnsi" w:cstheme="minorHAnsi"/>
                <w:b/>
                <w:sz w:val="22"/>
                <w:szCs w:val="22"/>
              </w:rPr>
            </w:pPr>
          </w:p>
        </w:tc>
        <w:tc>
          <w:tcPr>
            <w:tcW w:w="6698" w:type="dxa"/>
          </w:tcPr>
          <w:p w14:paraId="1EA5FA4C" w14:textId="77777777" w:rsidR="00D32383" w:rsidRPr="00CC1AEF" w:rsidRDefault="00D32383">
            <w:pPr>
              <w:jc w:val="left"/>
              <w:rPr>
                <w:rFonts w:asciiTheme="minorHAnsi" w:eastAsia="Calibri" w:hAnsiTheme="minorHAnsi" w:cstheme="minorHAnsi"/>
                <w:b/>
                <w:sz w:val="22"/>
                <w:szCs w:val="22"/>
                <w:lang w:eastAsia="en-US"/>
              </w:rPr>
            </w:pPr>
          </w:p>
        </w:tc>
      </w:tr>
      <w:tr w:rsidR="00D32383" w:rsidRPr="00CC1AEF" w14:paraId="1BC8807D" w14:textId="77777777" w:rsidTr="00683E60">
        <w:tc>
          <w:tcPr>
            <w:tcW w:w="1595" w:type="dxa"/>
          </w:tcPr>
          <w:p w14:paraId="1B3DEA88" w14:textId="4822B401" w:rsidR="00D32383" w:rsidRPr="00CC1AEF" w:rsidRDefault="00E50B14" w:rsidP="009973F6">
            <w:pPr>
              <w:jc w:val="center"/>
              <w:rPr>
                <w:rFonts w:asciiTheme="minorHAnsi" w:hAnsiTheme="minorHAnsi" w:cstheme="minorHAnsi"/>
                <w:b/>
                <w:sz w:val="22"/>
                <w:szCs w:val="22"/>
              </w:rPr>
            </w:pPr>
            <w:r>
              <w:rPr>
                <w:rFonts w:asciiTheme="minorHAnsi" w:hAnsiTheme="minorHAnsi" w:cstheme="minorHAnsi"/>
                <w:b/>
                <w:sz w:val="22"/>
                <w:szCs w:val="22"/>
              </w:rPr>
              <w:t>35</w:t>
            </w:r>
            <w:r w:rsidR="00820175">
              <w:rPr>
                <w:rFonts w:asciiTheme="minorHAnsi" w:hAnsiTheme="minorHAnsi" w:cstheme="minorHAnsi"/>
                <w:b/>
                <w:sz w:val="22"/>
                <w:szCs w:val="22"/>
              </w:rPr>
              <w:t>-1</w:t>
            </w:r>
          </w:p>
        </w:tc>
        <w:tc>
          <w:tcPr>
            <w:tcW w:w="4979" w:type="dxa"/>
          </w:tcPr>
          <w:p w14:paraId="315B239F" w14:textId="5D671047" w:rsidR="00D32383" w:rsidRPr="0054426A" w:rsidRDefault="00AC03A7" w:rsidP="00745F89">
            <w:pPr>
              <w:rPr>
                <w:rFonts w:asciiTheme="minorHAnsi" w:hAnsiTheme="minorHAnsi" w:cstheme="minorHAnsi"/>
                <w:sz w:val="22"/>
                <w:szCs w:val="22"/>
              </w:rPr>
            </w:pPr>
            <w:r>
              <w:rPr>
                <w:rFonts w:asciiTheme="minorHAnsi" w:hAnsiTheme="minorHAnsi" w:cstheme="minorHAnsi"/>
                <w:sz w:val="22"/>
                <w:szCs w:val="22"/>
              </w:rPr>
              <w:t xml:space="preserve">L’intégrité et la confidentialité des données de sécurité personnalisées et les codes d’authentification qui transitent par les flux de communication ou qui sont stockés dans les systèmes d’information du PSP sont-elles </w:t>
            </w:r>
            <w:r w:rsidR="00745F89">
              <w:rPr>
                <w:rFonts w:asciiTheme="minorHAnsi" w:hAnsiTheme="minorHAnsi" w:cstheme="minorHAnsi"/>
                <w:sz w:val="22"/>
                <w:szCs w:val="22"/>
              </w:rPr>
              <w:t>assurées ?</w:t>
            </w:r>
          </w:p>
        </w:tc>
        <w:tc>
          <w:tcPr>
            <w:tcW w:w="1465" w:type="dxa"/>
          </w:tcPr>
          <w:p w14:paraId="107257CB" w14:textId="77777777" w:rsidR="00D32383" w:rsidRPr="00CC1AEF" w:rsidRDefault="00D32383" w:rsidP="009973F6">
            <w:pPr>
              <w:jc w:val="center"/>
              <w:rPr>
                <w:rFonts w:asciiTheme="minorHAnsi" w:hAnsiTheme="minorHAnsi" w:cstheme="minorHAnsi"/>
                <w:b/>
                <w:sz w:val="22"/>
                <w:szCs w:val="22"/>
              </w:rPr>
            </w:pPr>
          </w:p>
        </w:tc>
        <w:tc>
          <w:tcPr>
            <w:tcW w:w="6698" w:type="dxa"/>
          </w:tcPr>
          <w:p w14:paraId="0D9EAFBC" w14:textId="77777777" w:rsidR="00D32383" w:rsidRPr="00CC1AEF" w:rsidRDefault="00D32383">
            <w:pPr>
              <w:jc w:val="left"/>
              <w:rPr>
                <w:rFonts w:asciiTheme="minorHAnsi" w:eastAsia="Calibri" w:hAnsiTheme="minorHAnsi" w:cstheme="minorHAnsi"/>
                <w:b/>
                <w:sz w:val="22"/>
                <w:szCs w:val="22"/>
                <w:lang w:eastAsia="en-US"/>
              </w:rPr>
            </w:pPr>
          </w:p>
        </w:tc>
      </w:tr>
      <w:tr w:rsidR="00820175" w:rsidRPr="00CC1AEF" w14:paraId="26A66ABA" w14:textId="77777777" w:rsidTr="00683E60">
        <w:tc>
          <w:tcPr>
            <w:tcW w:w="1595" w:type="dxa"/>
          </w:tcPr>
          <w:p w14:paraId="52FD80BA" w14:textId="16CA2513" w:rsidR="00820175" w:rsidRDefault="00820175" w:rsidP="009973F6">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62403091" w14:textId="3C0517FD" w:rsidR="00820175" w:rsidRDefault="00820175" w:rsidP="0054426A">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53941213" w14:textId="77777777" w:rsidR="00820175" w:rsidRPr="00CC1AEF" w:rsidRDefault="00820175" w:rsidP="009973F6">
            <w:pPr>
              <w:jc w:val="center"/>
              <w:rPr>
                <w:rFonts w:asciiTheme="minorHAnsi" w:hAnsiTheme="minorHAnsi" w:cstheme="minorHAnsi"/>
                <w:b/>
                <w:sz w:val="22"/>
                <w:szCs w:val="22"/>
              </w:rPr>
            </w:pPr>
          </w:p>
        </w:tc>
        <w:tc>
          <w:tcPr>
            <w:tcW w:w="6698" w:type="dxa"/>
          </w:tcPr>
          <w:p w14:paraId="72865637" w14:textId="77777777" w:rsidR="00820175" w:rsidRPr="00CC1AEF" w:rsidRDefault="00820175">
            <w:pPr>
              <w:jc w:val="left"/>
              <w:rPr>
                <w:rFonts w:asciiTheme="minorHAnsi" w:eastAsia="Calibri" w:hAnsiTheme="minorHAnsi" w:cstheme="minorHAnsi"/>
                <w:b/>
                <w:sz w:val="22"/>
                <w:szCs w:val="22"/>
                <w:lang w:eastAsia="en-US"/>
              </w:rPr>
            </w:pPr>
          </w:p>
        </w:tc>
      </w:tr>
      <w:tr w:rsidR="00D32383" w:rsidRPr="00CC1AEF" w14:paraId="53E8520F" w14:textId="77777777" w:rsidTr="00683E60">
        <w:tc>
          <w:tcPr>
            <w:tcW w:w="1595" w:type="dxa"/>
          </w:tcPr>
          <w:p w14:paraId="75F5EFEF" w14:textId="7839987E" w:rsidR="00D32383" w:rsidRPr="00CC1AEF" w:rsidRDefault="00095155" w:rsidP="009973F6">
            <w:pPr>
              <w:jc w:val="center"/>
              <w:rPr>
                <w:rFonts w:asciiTheme="minorHAnsi" w:hAnsiTheme="minorHAnsi" w:cstheme="minorHAnsi"/>
                <w:b/>
                <w:sz w:val="22"/>
                <w:szCs w:val="22"/>
              </w:rPr>
            </w:pPr>
            <w:r>
              <w:rPr>
                <w:rFonts w:asciiTheme="minorHAnsi" w:hAnsiTheme="minorHAnsi" w:cstheme="minorHAnsi"/>
                <w:b/>
                <w:sz w:val="22"/>
                <w:szCs w:val="22"/>
              </w:rPr>
              <w:t>36</w:t>
            </w:r>
            <w:r w:rsidR="00471A43">
              <w:rPr>
                <w:rFonts w:asciiTheme="minorHAnsi" w:hAnsiTheme="minorHAnsi" w:cstheme="minorHAnsi"/>
                <w:b/>
                <w:sz w:val="22"/>
                <w:szCs w:val="22"/>
              </w:rPr>
              <w:t>-1</w:t>
            </w:r>
          </w:p>
        </w:tc>
        <w:tc>
          <w:tcPr>
            <w:tcW w:w="4979" w:type="dxa"/>
          </w:tcPr>
          <w:p w14:paraId="081E2E74" w14:textId="77777777" w:rsidR="00D32383" w:rsidRPr="00471A43" w:rsidRDefault="00471A43" w:rsidP="00471A43">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39786423" w14:textId="77777777" w:rsidR="00BB0EC2" w:rsidRDefault="00471A43" w:rsidP="00471A43">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sidR="00BB0EC2">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171C7414" w14:textId="20DE80FD" w:rsidR="00471A43" w:rsidRDefault="00462A8D" w:rsidP="00471A43">
            <w:pPr>
              <w:pStyle w:val="Paragraphedeliste"/>
              <w:numPr>
                <w:ilvl w:val="0"/>
                <w:numId w:val="119"/>
              </w:numPr>
              <w:rPr>
                <w:rFonts w:asciiTheme="minorHAnsi" w:hAnsiTheme="minorHAnsi" w:cstheme="minorHAnsi"/>
                <w:szCs w:val="22"/>
              </w:rPr>
            </w:pPr>
            <w:r>
              <w:rPr>
                <w:rFonts w:asciiTheme="minorHAnsi" w:hAnsiTheme="minorHAnsi" w:cstheme="minorHAnsi"/>
                <w:szCs w:val="22"/>
              </w:rPr>
              <w:t>i</w:t>
            </w:r>
            <w:r w:rsidR="00BB0EC2" w:rsidRPr="00471A43">
              <w:rPr>
                <w:rFonts w:asciiTheme="minorHAnsi" w:hAnsiTheme="minorHAnsi" w:cstheme="minorHAnsi"/>
                <w:szCs w:val="22"/>
              </w:rPr>
              <w:t>mmédiatement</w:t>
            </w:r>
            <w:r w:rsidR="00471A43" w:rsidRPr="00471A43">
              <w:rPr>
                <w:rFonts w:asciiTheme="minorHAnsi" w:hAnsiTheme="minorHAnsi" w:cstheme="minorHAnsi"/>
                <w:szCs w:val="22"/>
              </w:rPr>
              <w:t xml:space="preserve"> après avoir reçu l'ordre de paiement, ils fournissent aux </w:t>
            </w:r>
            <w:r w:rsidR="00BB0EC2">
              <w:rPr>
                <w:rFonts w:asciiTheme="minorHAnsi" w:hAnsiTheme="minorHAnsi" w:cstheme="minorHAnsi"/>
                <w:szCs w:val="22"/>
              </w:rPr>
              <w:t>PSP tiers</w:t>
            </w:r>
            <w:r w:rsidR="00471A43"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sidR="00471A43">
              <w:rPr>
                <w:rFonts w:asciiTheme="minorHAnsi" w:hAnsiTheme="minorHAnsi" w:cstheme="minorHAnsi"/>
                <w:szCs w:val="22"/>
              </w:rPr>
              <w:t> ;</w:t>
            </w:r>
          </w:p>
          <w:p w14:paraId="77028A53" w14:textId="13073A89" w:rsidR="00471A43" w:rsidRPr="00A85C3C" w:rsidRDefault="00471A43" w:rsidP="00A85C3C">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sidR="00BB0EC2">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37817E93" w14:textId="77777777" w:rsidR="00D32383" w:rsidRPr="00CC1AEF" w:rsidRDefault="00D32383" w:rsidP="009973F6">
            <w:pPr>
              <w:jc w:val="center"/>
              <w:rPr>
                <w:rFonts w:asciiTheme="minorHAnsi" w:hAnsiTheme="minorHAnsi" w:cstheme="minorHAnsi"/>
                <w:b/>
                <w:sz w:val="22"/>
                <w:szCs w:val="22"/>
              </w:rPr>
            </w:pPr>
          </w:p>
        </w:tc>
        <w:tc>
          <w:tcPr>
            <w:tcW w:w="6698" w:type="dxa"/>
          </w:tcPr>
          <w:p w14:paraId="7DE1A0F2" w14:textId="77777777" w:rsidR="00D32383" w:rsidRPr="00CC1AEF" w:rsidRDefault="00D32383">
            <w:pPr>
              <w:jc w:val="left"/>
              <w:rPr>
                <w:rFonts w:asciiTheme="minorHAnsi" w:eastAsia="Calibri" w:hAnsiTheme="minorHAnsi" w:cstheme="minorHAnsi"/>
                <w:b/>
                <w:sz w:val="22"/>
                <w:szCs w:val="22"/>
                <w:lang w:eastAsia="en-US"/>
              </w:rPr>
            </w:pPr>
          </w:p>
        </w:tc>
      </w:tr>
      <w:tr w:rsidR="00095155" w:rsidRPr="00CC1AEF" w14:paraId="6B8FF369" w14:textId="77777777" w:rsidTr="00683E60">
        <w:tc>
          <w:tcPr>
            <w:tcW w:w="1595" w:type="dxa"/>
          </w:tcPr>
          <w:p w14:paraId="416C6874" w14:textId="365EF175" w:rsidR="00095155" w:rsidRPr="00CC1AEF" w:rsidRDefault="00471A43" w:rsidP="009973F6">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6EFF0CC" w14:textId="5EC86BD7" w:rsidR="00095155" w:rsidRPr="00471A43" w:rsidRDefault="00471A43" w:rsidP="00471A43">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sidR="00BB0EC2">
              <w:rPr>
                <w:rFonts w:asciiTheme="minorHAnsi" w:hAnsiTheme="minorHAnsi" w:cstheme="minorHAnsi"/>
                <w:sz w:val="22"/>
                <w:szCs w:val="22"/>
              </w:rPr>
              <w:t> ?</w:t>
            </w:r>
          </w:p>
        </w:tc>
        <w:tc>
          <w:tcPr>
            <w:tcW w:w="1465" w:type="dxa"/>
          </w:tcPr>
          <w:p w14:paraId="6DF5A6F6" w14:textId="77777777" w:rsidR="00095155" w:rsidRPr="00CC1AEF" w:rsidRDefault="00095155" w:rsidP="009973F6">
            <w:pPr>
              <w:jc w:val="center"/>
              <w:rPr>
                <w:rFonts w:asciiTheme="minorHAnsi" w:hAnsiTheme="minorHAnsi" w:cstheme="minorHAnsi"/>
                <w:b/>
                <w:sz w:val="22"/>
                <w:szCs w:val="22"/>
              </w:rPr>
            </w:pPr>
          </w:p>
        </w:tc>
        <w:tc>
          <w:tcPr>
            <w:tcW w:w="6698" w:type="dxa"/>
          </w:tcPr>
          <w:p w14:paraId="04131818" w14:textId="77777777" w:rsidR="00095155" w:rsidRPr="00CC1AEF" w:rsidRDefault="00095155">
            <w:pPr>
              <w:jc w:val="left"/>
              <w:rPr>
                <w:rFonts w:asciiTheme="minorHAnsi" w:eastAsia="Calibri" w:hAnsiTheme="minorHAnsi" w:cstheme="minorHAnsi"/>
                <w:b/>
                <w:sz w:val="22"/>
                <w:szCs w:val="22"/>
                <w:lang w:eastAsia="en-US"/>
              </w:rPr>
            </w:pPr>
          </w:p>
        </w:tc>
      </w:tr>
      <w:tr w:rsidR="007952FB" w:rsidRPr="00CC1AEF" w14:paraId="44675F10" w14:textId="77777777" w:rsidTr="007952FB">
        <w:tc>
          <w:tcPr>
            <w:tcW w:w="14737" w:type="dxa"/>
            <w:gridSpan w:val="4"/>
            <w:shd w:val="clear" w:color="auto" w:fill="C2D69B" w:themeFill="accent3" w:themeFillTint="99"/>
          </w:tcPr>
          <w:p w14:paraId="4D43FDAB" w14:textId="175D5E55" w:rsidR="007952FB" w:rsidRPr="00CC1AEF" w:rsidRDefault="007952FB" w:rsidP="00943FA1">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Applicables par le PSP gestionnaire de comptes en cas de mise en œuvre d’une </w:t>
            </w:r>
            <w:r w:rsidR="00943FA1">
              <w:rPr>
                <w:rFonts w:asciiTheme="minorHAnsi" w:eastAsia="Calibri" w:hAnsiTheme="minorHAnsi" w:cstheme="minorHAnsi"/>
                <w:b/>
                <w:sz w:val="22"/>
                <w:szCs w:val="22"/>
                <w:lang w:eastAsia="en-US"/>
              </w:rPr>
              <w:t>interface d’accès</w:t>
            </w:r>
            <w:r>
              <w:rPr>
                <w:rFonts w:asciiTheme="minorHAnsi" w:eastAsia="Calibri" w:hAnsiTheme="minorHAnsi" w:cstheme="minorHAnsi"/>
                <w:b/>
                <w:sz w:val="22"/>
                <w:szCs w:val="22"/>
                <w:lang w:eastAsia="en-US"/>
              </w:rPr>
              <w:t xml:space="preserve"> dédiée </w:t>
            </w:r>
            <w:r w:rsidR="00943FA1">
              <w:rPr>
                <w:rFonts w:asciiTheme="minorHAnsi" w:eastAsia="Calibri" w:hAnsiTheme="minorHAnsi" w:cstheme="minorHAnsi"/>
                <w:b/>
                <w:sz w:val="22"/>
                <w:szCs w:val="22"/>
                <w:lang w:eastAsia="en-US"/>
              </w:rPr>
              <w:t xml:space="preserve">et </w:t>
            </w:r>
            <w:r>
              <w:rPr>
                <w:rFonts w:asciiTheme="minorHAnsi" w:eastAsia="Calibri" w:hAnsiTheme="minorHAnsi" w:cstheme="minorHAnsi"/>
                <w:b/>
                <w:sz w:val="22"/>
                <w:szCs w:val="22"/>
                <w:lang w:eastAsia="en-US"/>
              </w:rPr>
              <w:t>dotée d’un mécanisme de secours  (accès banque en ligne avec authentification du tiers)</w:t>
            </w:r>
          </w:p>
        </w:tc>
      </w:tr>
      <w:tr w:rsidR="00943FA1" w:rsidRPr="00CC1AEF" w14:paraId="00DCCCBE" w14:textId="77777777" w:rsidTr="00683E60">
        <w:tc>
          <w:tcPr>
            <w:tcW w:w="1595" w:type="dxa"/>
          </w:tcPr>
          <w:p w14:paraId="44853B46" w14:textId="77777777"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29</w:t>
            </w:r>
          </w:p>
          <w:p w14:paraId="7CE8C83E" w14:textId="77777777" w:rsidR="00943FA1" w:rsidRPr="00CC1AEF" w:rsidRDefault="00943FA1" w:rsidP="00943FA1">
            <w:pPr>
              <w:jc w:val="center"/>
              <w:rPr>
                <w:rFonts w:asciiTheme="minorHAnsi" w:hAnsiTheme="minorHAnsi" w:cstheme="minorHAnsi"/>
                <w:b/>
                <w:sz w:val="22"/>
                <w:szCs w:val="22"/>
              </w:rPr>
            </w:pPr>
          </w:p>
        </w:tc>
        <w:tc>
          <w:tcPr>
            <w:tcW w:w="4979" w:type="dxa"/>
          </w:tcPr>
          <w:p w14:paraId="0956DAFA" w14:textId="3E3D6423" w:rsidR="00943FA1" w:rsidRPr="00CC1AEF" w:rsidRDefault="00943FA1" w:rsidP="00943FA1">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641B6463" w14:textId="77777777" w:rsidR="00943FA1" w:rsidRPr="00CC1AEF" w:rsidRDefault="00943FA1" w:rsidP="00943FA1">
            <w:pPr>
              <w:jc w:val="center"/>
              <w:rPr>
                <w:rFonts w:asciiTheme="minorHAnsi" w:hAnsiTheme="minorHAnsi" w:cstheme="minorHAnsi"/>
                <w:b/>
                <w:sz w:val="22"/>
                <w:szCs w:val="22"/>
              </w:rPr>
            </w:pPr>
          </w:p>
        </w:tc>
        <w:tc>
          <w:tcPr>
            <w:tcW w:w="6698" w:type="dxa"/>
          </w:tcPr>
          <w:p w14:paraId="09E71351" w14:textId="5085DF06"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D81157D" w14:textId="77777777" w:rsidTr="00683E60">
        <w:tc>
          <w:tcPr>
            <w:tcW w:w="1595" w:type="dxa"/>
          </w:tcPr>
          <w:p w14:paraId="31A73EFC" w14:textId="7BAED8AB"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4C19D98D" w14:textId="77777777" w:rsidR="00943FA1" w:rsidRPr="00080007" w:rsidRDefault="00943FA1" w:rsidP="00943FA1">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16BBE0C6" w14:textId="77777777" w:rsidR="00943FA1" w:rsidRPr="00080007" w:rsidRDefault="00943FA1" w:rsidP="00943FA1">
            <w:pPr>
              <w:pStyle w:val="Paragraphedeliste"/>
              <w:numPr>
                <w:ilvl w:val="0"/>
                <w:numId w:val="119"/>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78281898" w14:textId="1420C12D" w:rsidR="00943FA1" w:rsidRPr="00A85C3C" w:rsidRDefault="00943FA1" w:rsidP="00A85C3C">
            <w:pPr>
              <w:pStyle w:val="Paragraphedeliste"/>
              <w:numPr>
                <w:ilvl w:val="0"/>
                <w:numId w:val="119"/>
              </w:numPr>
              <w:rPr>
                <w:rFonts w:asciiTheme="minorHAnsi" w:hAnsiTheme="minorHAnsi" w:cstheme="minorHAnsi"/>
                <w:szCs w:val="22"/>
              </w:rPr>
            </w:pPr>
            <w:r w:rsidRPr="00A85C3C">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35447CC3" w14:textId="77777777" w:rsidR="00943FA1" w:rsidRPr="00CC1AEF" w:rsidRDefault="00943FA1" w:rsidP="00943FA1">
            <w:pPr>
              <w:jc w:val="center"/>
              <w:rPr>
                <w:rFonts w:asciiTheme="minorHAnsi" w:hAnsiTheme="minorHAnsi" w:cstheme="minorHAnsi"/>
                <w:b/>
                <w:sz w:val="22"/>
                <w:szCs w:val="22"/>
              </w:rPr>
            </w:pPr>
          </w:p>
        </w:tc>
        <w:tc>
          <w:tcPr>
            <w:tcW w:w="6698" w:type="dxa"/>
          </w:tcPr>
          <w:p w14:paraId="1F731889"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51FF44A" w14:textId="77777777" w:rsidTr="00683E60">
        <w:tc>
          <w:tcPr>
            <w:tcW w:w="1595" w:type="dxa"/>
          </w:tcPr>
          <w:p w14:paraId="5E53F130" w14:textId="70B36EEA"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55589AF9" w14:textId="3F0E7788"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sidR="00462A8D">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433E28CF" w14:textId="77777777" w:rsidR="00943FA1" w:rsidRPr="00CC1AEF" w:rsidRDefault="00943FA1" w:rsidP="00943FA1">
            <w:pPr>
              <w:jc w:val="center"/>
              <w:rPr>
                <w:rFonts w:asciiTheme="minorHAnsi" w:hAnsiTheme="minorHAnsi" w:cstheme="minorHAnsi"/>
                <w:b/>
                <w:sz w:val="22"/>
                <w:szCs w:val="22"/>
              </w:rPr>
            </w:pPr>
          </w:p>
        </w:tc>
        <w:tc>
          <w:tcPr>
            <w:tcW w:w="6698" w:type="dxa"/>
          </w:tcPr>
          <w:p w14:paraId="42B06BAF"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59990EFB" w14:textId="77777777" w:rsidTr="00683E60">
        <w:tc>
          <w:tcPr>
            <w:tcW w:w="1595" w:type="dxa"/>
          </w:tcPr>
          <w:p w14:paraId="73DD40C0" w14:textId="05D6EE3D"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0E01AEB3" w14:textId="77777777" w:rsidR="00943FA1" w:rsidRDefault="00943FA1" w:rsidP="00943FA1">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7197C75D" w14:textId="77777777" w:rsidR="00943FA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0A09FE77" w14:textId="7D012DFF"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C73C052" w14:textId="77777777" w:rsidR="00943FA1" w:rsidRPr="00CC1AEF" w:rsidRDefault="00943FA1" w:rsidP="00943FA1">
            <w:pPr>
              <w:jc w:val="center"/>
              <w:rPr>
                <w:rFonts w:asciiTheme="minorHAnsi" w:hAnsiTheme="minorHAnsi" w:cstheme="minorHAnsi"/>
                <w:b/>
                <w:sz w:val="22"/>
                <w:szCs w:val="22"/>
              </w:rPr>
            </w:pPr>
          </w:p>
        </w:tc>
        <w:tc>
          <w:tcPr>
            <w:tcW w:w="6698" w:type="dxa"/>
          </w:tcPr>
          <w:p w14:paraId="3FA5E042"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74332523" w14:textId="77777777" w:rsidTr="00683E60">
        <w:tc>
          <w:tcPr>
            <w:tcW w:w="1595" w:type="dxa"/>
          </w:tcPr>
          <w:p w14:paraId="4030A137" w14:textId="21FAB2ED"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31C0869D" w14:textId="67CE3E7E" w:rsidR="00943FA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w:t>
            </w:r>
            <w:r w:rsidR="009F4339">
              <w:rPr>
                <w:rFonts w:asciiTheme="minorHAnsi" w:hAnsiTheme="minorHAnsi" w:cstheme="minorHAnsi"/>
                <w:sz w:val="22"/>
                <w:szCs w:val="22"/>
              </w:rPr>
              <w:t xml:space="preserve">que </w:t>
            </w:r>
            <w:r>
              <w:rPr>
                <w:rFonts w:asciiTheme="minorHAnsi" w:hAnsiTheme="minorHAnsi" w:cstheme="minorHAnsi"/>
                <w:sz w:val="22"/>
                <w:szCs w:val="22"/>
              </w:rPr>
              <w:t>son interface d’accès sui</w:t>
            </w:r>
            <w:r w:rsidR="009F4339">
              <w:rPr>
                <w:rFonts w:asciiTheme="minorHAnsi" w:hAnsiTheme="minorHAnsi" w:cstheme="minorHAnsi"/>
                <w:sz w:val="22"/>
                <w:szCs w:val="22"/>
              </w:rPr>
              <w:t>ve</w:t>
            </w:r>
            <w:r>
              <w:rPr>
                <w:rFonts w:asciiTheme="minorHAnsi" w:hAnsiTheme="minorHAnsi" w:cstheme="minorHAnsi"/>
                <w:sz w:val="22"/>
                <w:szCs w:val="22"/>
              </w:rPr>
              <w:t xml:space="preserve"> les normes de communication publiées par des organisations européennes ou i</w:t>
            </w:r>
            <w:r w:rsidR="009F4339">
              <w:rPr>
                <w:rFonts w:asciiTheme="minorHAnsi" w:hAnsiTheme="minorHAnsi" w:cstheme="minorHAnsi"/>
                <w:sz w:val="22"/>
                <w:szCs w:val="22"/>
              </w:rPr>
              <w:t>nternationales de normalisation ?</w:t>
            </w:r>
          </w:p>
          <w:p w14:paraId="24A58397" w14:textId="1D28653D"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7CB5EBB4" w14:textId="77777777" w:rsidR="00943FA1" w:rsidRPr="00CC1AEF" w:rsidRDefault="00943FA1" w:rsidP="00943FA1">
            <w:pPr>
              <w:jc w:val="center"/>
              <w:rPr>
                <w:rFonts w:asciiTheme="minorHAnsi" w:hAnsiTheme="minorHAnsi" w:cstheme="minorHAnsi"/>
                <w:b/>
                <w:sz w:val="22"/>
                <w:szCs w:val="22"/>
              </w:rPr>
            </w:pPr>
          </w:p>
        </w:tc>
        <w:tc>
          <w:tcPr>
            <w:tcW w:w="6698" w:type="dxa"/>
          </w:tcPr>
          <w:p w14:paraId="6A204CE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201DE9CC" w14:textId="77777777" w:rsidTr="00683E60">
        <w:tc>
          <w:tcPr>
            <w:tcW w:w="1595" w:type="dxa"/>
          </w:tcPr>
          <w:p w14:paraId="1C9E7ED4" w14:textId="3FDF464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6BBCEE71" w14:textId="3E2495CE" w:rsidR="00943FA1" w:rsidRDefault="00943FA1" w:rsidP="00943FA1">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0774525A" w14:textId="5C59A223"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 </w:t>
            </w:r>
            <w:r w:rsidR="0085040E" w:rsidRPr="0085040E">
              <w:rPr>
                <w:rFonts w:asciiTheme="minorHAnsi" w:hAnsiTheme="minorHAnsi" w:cstheme="minorHAnsi"/>
                <w:sz w:val="22"/>
                <w:szCs w:val="22"/>
              </w:rPr>
              <w:t>et</w:t>
            </w:r>
            <w:r w:rsidR="0085040E">
              <w:rPr>
                <w:rFonts w:asciiTheme="minorHAnsi" w:hAnsiTheme="minorHAnsi" w:cstheme="minorHAnsi"/>
                <w:sz w:val="22"/>
                <w:szCs w:val="22"/>
              </w:rPr>
              <w:t xml:space="preserve"> de la BDF </w:t>
            </w:r>
            <w:r>
              <w:rPr>
                <w:rFonts w:asciiTheme="minorHAnsi" w:hAnsiTheme="minorHAnsi" w:cstheme="minorHAnsi"/>
                <w:sz w:val="22"/>
                <w:szCs w:val="22"/>
              </w:rPr>
              <w:t>?</w:t>
            </w:r>
          </w:p>
        </w:tc>
        <w:tc>
          <w:tcPr>
            <w:tcW w:w="1465" w:type="dxa"/>
          </w:tcPr>
          <w:p w14:paraId="1487F72D" w14:textId="77777777" w:rsidR="00943FA1" w:rsidRPr="00CC1AEF" w:rsidRDefault="00943FA1" w:rsidP="00943FA1">
            <w:pPr>
              <w:jc w:val="center"/>
              <w:rPr>
                <w:rFonts w:asciiTheme="minorHAnsi" w:hAnsiTheme="minorHAnsi" w:cstheme="minorHAnsi"/>
                <w:b/>
                <w:sz w:val="22"/>
                <w:szCs w:val="22"/>
              </w:rPr>
            </w:pPr>
          </w:p>
        </w:tc>
        <w:tc>
          <w:tcPr>
            <w:tcW w:w="6698" w:type="dxa"/>
          </w:tcPr>
          <w:p w14:paraId="3F2240D4"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20A6828C" w14:textId="77777777" w:rsidTr="00683E60">
        <w:tc>
          <w:tcPr>
            <w:tcW w:w="1595" w:type="dxa"/>
          </w:tcPr>
          <w:p w14:paraId="1B8AC4D8" w14:textId="06C1C786"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35AE4F3D" w14:textId="1B609B5C"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w:t>
            </w:r>
            <w:r w:rsidR="00462A8D">
              <w:rPr>
                <w:rFonts w:asciiTheme="minorHAnsi" w:hAnsiTheme="minorHAnsi" w:cstheme="minorHAnsi"/>
                <w:sz w:val="22"/>
                <w:szCs w:val="22"/>
              </w:rPr>
              <w:t xml:space="preserve">d’accès </w:t>
            </w:r>
            <w:r>
              <w:rPr>
                <w:rFonts w:asciiTheme="minorHAnsi" w:hAnsiTheme="minorHAnsi" w:cstheme="minorHAnsi"/>
                <w:sz w:val="22"/>
                <w:szCs w:val="22"/>
              </w:rPr>
              <w:t xml:space="preserve">dédiée </w:t>
            </w:r>
            <w:r w:rsidRPr="00E57890">
              <w:rPr>
                <w:rFonts w:asciiTheme="minorHAnsi" w:hAnsiTheme="minorHAnsi" w:cstheme="minorHAnsi"/>
                <w:sz w:val="22"/>
                <w:szCs w:val="22"/>
              </w:rPr>
              <w:t>offre à tout moment le même niveau de disponibilité et de performances, assistance comprise, que l</w:t>
            </w:r>
            <w:r>
              <w:rPr>
                <w:rFonts w:asciiTheme="minorHAnsi" w:hAnsiTheme="minorHAnsi" w:cstheme="minorHAnsi"/>
                <w:sz w:val="22"/>
                <w:szCs w:val="22"/>
              </w:rPr>
              <w:t>a ou l</w:t>
            </w:r>
            <w:r w:rsidRPr="00E57890">
              <w:rPr>
                <w:rFonts w:asciiTheme="minorHAnsi" w:hAnsiTheme="minorHAnsi" w:cstheme="minorHAnsi"/>
                <w:sz w:val="22"/>
                <w:szCs w:val="22"/>
              </w:rPr>
              <w:t>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7B22968C" w14:textId="77777777" w:rsidR="00943FA1" w:rsidRPr="00CC1AEF" w:rsidRDefault="00943FA1" w:rsidP="00943FA1">
            <w:pPr>
              <w:jc w:val="center"/>
              <w:rPr>
                <w:rFonts w:asciiTheme="minorHAnsi" w:hAnsiTheme="minorHAnsi" w:cstheme="minorHAnsi"/>
                <w:b/>
                <w:sz w:val="22"/>
                <w:szCs w:val="22"/>
              </w:rPr>
            </w:pPr>
          </w:p>
        </w:tc>
        <w:tc>
          <w:tcPr>
            <w:tcW w:w="6698" w:type="dxa"/>
          </w:tcPr>
          <w:p w14:paraId="78F66C52"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76D15AD3" w14:textId="77777777" w:rsidTr="00683E60">
        <w:tc>
          <w:tcPr>
            <w:tcW w:w="1595" w:type="dxa"/>
          </w:tcPr>
          <w:p w14:paraId="2EEAF8F8" w14:textId="7F51356C"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075E2035" w14:textId="62B1EDE9" w:rsidR="00943FA1" w:rsidRPr="003C47B2" w:rsidRDefault="00943FA1" w:rsidP="00943FA1">
            <w:pPr>
              <w:rPr>
                <w:rFonts w:asciiTheme="minorHAnsi" w:hAnsiTheme="minorHAnsi" w:cstheme="minorHAnsi"/>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41064A20" w14:textId="77777777" w:rsidR="00943FA1" w:rsidRPr="00CC1AEF" w:rsidRDefault="00943FA1" w:rsidP="00943FA1">
            <w:pPr>
              <w:jc w:val="center"/>
              <w:rPr>
                <w:rFonts w:asciiTheme="minorHAnsi" w:hAnsiTheme="minorHAnsi" w:cstheme="minorHAnsi"/>
                <w:b/>
                <w:sz w:val="22"/>
                <w:szCs w:val="22"/>
              </w:rPr>
            </w:pPr>
          </w:p>
        </w:tc>
        <w:tc>
          <w:tcPr>
            <w:tcW w:w="6698" w:type="dxa"/>
          </w:tcPr>
          <w:p w14:paraId="2956824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3F792F5" w14:textId="77777777" w:rsidTr="00683E60">
        <w:tc>
          <w:tcPr>
            <w:tcW w:w="1595" w:type="dxa"/>
          </w:tcPr>
          <w:p w14:paraId="1E2D5B7E" w14:textId="2C3EE8FC"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4D1BBCAD" w14:textId="4CD36964"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selon</w:t>
            </w:r>
            <w:r>
              <w:rPr>
                <w:rFonts w:asciiTheme="minorHAnsi" w:hAnsiTheme="minorHAnsi" w:cstheme="minorHAnsi"/>
                <w:sz w:val="22"/>
                <w:szCs w:val="22"/>
              </w:rPr>
              <w:t xml:space="preserve"> une périodicité trimestrielle ? </w:t>
            </w:r>
          </w:p>
        </w:tc>
        <w:tc>
          <w:tcPr>
            <w:tcW w:w="1465" w:type="dxa"/>
          </w:tcPr>
          <w:p w14:paraId="3C2212C3" w14:textId="77777777" w:rsidR="00943FA1" w:rsidRPr="00CC1AEF" w:rsidRDefault="00943FA1" w:rsidP="00943FA1">
            <w:pPr>
              <w:jc w:val="center"/>
              <w:rPr>
                <w:rFonts w:asciiTheme="minorHAnsi" w:hAnsiTheme="minorHAnsi" w:cstheme="minorHAnsi"/>
                <w:b/>
                <w:sz w:val="22"/>
                <w:szCs w:val="22"/>
              </w:rPr>
            </w:pPr>
          </w:p>
        </w:tc>
        <w:tc>
          <w:tcPr>
            <w:tcW w:w="6698" w:type="dxa"/>
          </w:tcPr>
          <w:p w14:paraId="02369B7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A4FEF49" w14:textId="77777777" w:rsidTr="00683E60">
        <w:tc>
          <w:tcPr>
            <w:tcW w:w="1595" w:type="dxa"/>
          </w:tcPr>
          <w:p w14:paraId="4BCD693E" w14:textId="64115D05"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33-1</w:t>
            </w:r>
          </w:p>
        </w:tc>
        <w:tc>
          <w:tcPr>
            <w:tcW w:w="4979" w:type="dxa"/>
          </w:tcPr>
          <w:p w14:paraId="224B4EC0" w14:textId="65721F5B"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a-t-il bien prévu la mise en œuvre du mécanisme de secours après cinq demandes consécutives d’accès à l’interface dédiée du PSP tiers sans réponse dans les 30 secondes ?</w:t>
            </w:r>
          </w:p>
        </w:tc>
        <w:tc>
          <w:tcPr>
            <w:tcW w:w="1465" w:type="dxa"/>
          </w:tcPr>
          <w:p w14:paraId="3E18E122" w14:textId="77777777" w:rsidR="00943FA1" w:rsidRPr="00CC1AEF" w:rsidRDefault="00943FA1" w:rsidP="00943FA1">
            <w:pPr>
              <w:jc w:val="center"/>
              <w:rPr>
                <w:rFonts w:asciiTheme="minorHAnsi" w:hAnsiTheme="minorHAnsi" w:cstheme="minorHAnsi"/>
                <w:b/>
                <w:sz w:val="22"/>
                <w:szCs w:val="22"/>
              </w:rPr>
            </w:pPr>
          </w:p>
        </w:tc>
        <w:tc>
          <w:tcPr>
            <w:tcW w:w="6698" w:type="dxa"/>
          </w:tcPr>
          <w:p w14:paraId="5B81B6D5"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49163A9" w14:textId="77777777" w:rsidTr="00683E60">
        <w:tc>
          <w:tcPr>
            <w:tcW w:w="1595" w:type="dxa"/>
          </w:tcPr>
          <w:p w14:paraId="079B7833" w14:textId="277FCE6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33-2</w:t>
            </w:r>
          </w:p>
        </w:tc>
        <w:tc>
          <w:tcPr>
            <w:tcW w:w="4979" w:type="dxa"/>
          </w:tcPr>
          <w:p w14:paraId="725EE43D" w14:textId="5CFB6FFA"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dispose-t-il de plans de</w:t>
            </w:r>
            <w:r w:rsidRPr="00731E41">
              <w:rPr>
                <w:rFonts w:asciiTheme="minorHAnsi" w:hAnsiTheme="minorHAnsi" w:cstheme="minorHAnsi"/>
                <w:sz w:val="22"/>
                <w:szCs w:val="22"/>
              </w:rPr>
              <w:t xml:space="preserve"> communication visant à informer les </w:t>
            </w:r>
            <w:r>
              <w:rPr>
                <w:rFonts w:asciiTheme="minorHAnsi" w:hAnsiTheme="minorHAnsi" w:cstheme="minorHAnsi"/>
                <w:sz w:val="22"/>
                <w:szCs w:val="22"/>
              </w:rPr>
              <w:t xml:space="preserve">PSP tiers qui </w:t>
            </w:r>
            <w:r w:rsidRPr="00731E41">
              <w:rPr>
                <w:rFonts w:asciiTheme="minorHAnsi" w:hAnsiTheme="minorHAnsi" w:cstheme="minorHAnsi"/>
                <w:sz w:val="22"/>
                <w:szCs w:val="22"/>
              </w:rPr>
              <w:t>utilisent l'interface dédiée des mesures destinées à restaurer le système ainsi qu'une description des autres options immédiatement disponibles dont</w:t>
            </w:r>
            <w:r>
              <w:rPr>
                <w:rFonts w:asciiTheme="minorHAnsi" w:hAnsiTheme="minorHAnsi" w:cstheme="minorHAnsi"/>
                <w:sz w:val="22"/>
                <w:szCs w:val="22"/>
              </w:rPr>
              <w:t xml:space="preserve"> ils pe</w:t>
            </w:r>
            <w:r w:rsidRPr="00731E41">
              <w:rPr>
                <w:rFonts w:asciiTheme="minorHAnsi" w:hAnsiTheme="minorHAnsi" w:cstheme="minorHAnsi"/>
                <w:sz w:val="22"/>
                <w:szCs w:val="22"/>
              </w:rPr>
              <w:t>uvent faire usage pendant ce temps</w:t>
            </w:r>
            <w:r>
              <w:rPr>
                <w:rFonts w:asciiTheme="minorHAnsi" w:hAnsiTheme="minorHAnsi" w:cstheme="minorHAnsi"/>
                <w:sz w:val="22"/>
                <w:szCs w:val="22"/>
              </w:rPr>
              <w:t> ?</w:t>
            </w:r>
          </w:p>
        </w:tc>
        <w:tc>
          <w:tcPr>
            <w:tcW w:w="1465" w:type="dxa"/>
          </w:tcPr>
          <w:p w14:paraId="3D66DC57" w14:textId="77777777" w:rsidR="00943FA1" w:rsidRPr="00CC1AEF" w:rsidRDefault="00943FA1" w:rsidP="00943FA1">
            <w:pPr>
              <w:jc w:val="center"/>
              <w:rPr>
                <w:rFonts w:asciiTheme="minorHAnsi" w:hAnsiTheme="minorHAnsi" w:cstheme="minorHAnsi"/>
                <w:b/>
                <w:sz w:val="22"/>
                <w:szCs w:val="22"/>
              </w:rPr>
            </w:pPr>
          </w:p>
        </w:tc>
        <w:tc>
          <w:tcPr>
            <w:tcW w:w="6698" w:type="dxa"/>
          </w:tcPr>
          <w:p w14:paraId="2E1FC9E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FB83ED3" w14:textId="77777777" w:rsidTr="00683E60">
        <w:tc>
          <w:tcPr>
            <w:tcW w:w="1595" w:type="dxa"/>
          </w:tcPr>
          <w:p w14:paraId="28A8FB79" w14:textId="323ACAD9"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33-3</w:t>
            </w:r>
          </w:p>
        </w:tc>
        <w:tc>
          <w:tcPr>
            <w:tcW w:w="4979" w:type="dxa"/>
          </w:tcPr>
          <w:p w14:paraId="75C429D2" w14:textId="1E222BAC"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la notification sans délai auprès de </w:t>
            </w:r>
            <w:r w:rsidRPr="0085040E">
              <w:rPr>
                <w:rFonts w:asciiTheme="minorHAnsi" w:hAnsiTheme="minorHAnsi" w:cstheme="minorHAnsi"/>
                <w:sz w:val="22"/>
                <w:szCs w:val="22"/>
              </w:rPr>
              <w:t>l’ACPR</w:t>
            </w:r>
            <w:r>
              <w:rPr>
                <w:rFonts w:asciiTheme="minorHAnsi" w:hAnsiTheme="minorHAnsi" w:cstheme="minorHAnsi"/>
                <w:sz w:val="22"/>
                <w:szCs w:val="22"/>
              </w:rPr>
              <w:t xml:space="preserve"> des problèmes liés à l’interface dédiée ?</w:t>
            </w:r>
          </w:p>
        </w:tc>
        <w:tc>
          <w:tcPr>
            <w:tcW w:w="1465" w:type="dxa"/>
          </w:tcPr>
          <w:p w14:paraId="01854777" w14:textId="77777777" w:rsidR="00943FA1" w:rsidRPr="00CC1AEF" w:rsidRDefault="00943FA1" w:rsidP="00943FA1">
            <w:pPr>
              <w:jc w:val="center"/>
              <w:rPr>
                <w:rFonts w:asciiTheme="minorHAnsi" w:hAnsiTheme="minorHAnsi" w:cstheme="minorHAnsi"/>
                <w:b/>
                <w:sz w:val="22"/>
                <w:szCs w:val="22"/>
              </w:rPr>
            </w:pPr>
          </w:p>
        </w:tc>
        <w:tc>
          <w:tcPr>
            <w:tcW w:w="6698" w:type="dxa"/>
          </w:tcPr>
          <w:p w14:paraId="7113628A"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41B8696" w14:textId="77777777" w:rsidTr="00683E60">
        <w:tc>
          <w:tcPr>
            <w:tcW w:w="1595" w:type="dxa"/>
          </w:tcPr>
          <w:p w14:paraId="7B0091C6" w14:textId="363E5860"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33-5</w:t>
            </w:r>
          </w:p>
        </w:tc>
        <w:tc>
          <w:tcPr>
            <w:tcW w:w="4979" w:type="dxa"/>
          </w:tcPr>
          <w:p w14:paraId="5FE5547C" w14:textId="30B4D1CB"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Pour l’accès à l’interface de secours, le PSP veille-t-il à identifier les PSP tiers et les authentifier selon les procédures d’authentification prévues pour ses propres clients ? </w:t>
            </w:r>
          </w:p>
        </w:tc>
        <w:tc>
          <w:tcPr>
            <w:tcW w:w="1465" w:type="dxa"/>
          </w:tcPr>
          <w:p w14:paraId="7BE7071D" w14:textId="77777777" w:rsidR="00943FA1" w:rsidRPr="00CC1AEF" w:rsidRDefault="00943FA1" w:rsidP="00943FA1">
            <w:pPr>
              <w:jc w:val="center"/>
              <w:rPr>
                <w:rFonts w:asciiTheme="minorHAnsi" w:hAnsiTheme="minorHAnsi" w:cstheme="minorHAnsi"/>
                <w:b/>
                <w:sz w:val="22"/>
                <w:szCs w:val="22"/>
              </w:rPr>
            </w:pPr>
          </w:p>
        </w:tc>
        <w:tc>
          <w:tcPr>
            <w:tcW w:w="6698" w:type="dxa"/>
          </w:tcPr>
          <w:p w14:paraId="6908DD3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581807BE" w14:textId="77777777" w:rsidTr="00683E60">
        <w:tc>
          <w:tcPr>
            <w:tcW w:w="1595" w:type="dxa"/>
          </w:tcPr>
          <w:p w14:paraId="456EFF32" w14:textId="379BBC6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4E40EE1D" w14:textId="54376822" w:rsidR="00943FA1" w:rsidRPr="00850621" w:rsidRDefault="00943FA1" w:rsidP="00462A8D">
            <w:pPr>
              <w:rPr>
                <w:rFonts w:asciiTheme="minorHAnsi" w:hAnsiTheme="minorHAnsi" w:cstheme="minorHAnsi"/>
                <w:sz w:val="22"/>
                <w:szCs w:val="22"/>
              </w:rPr>
            </w:pPr>
            <w:r>
              <w:rPr>
                <w:rFonts w:asciiTheme="minorHAnsi" w:hAnsiTheme="minorHAnsi" w:cstheme="minorHAnsi"/>
                <w:sz w:val="22"/>
                <w:szCs w:val="22"/>
              </w:rPr>
              <w:t>L’accès des PSP tiers à l</w:t>
            </w:r>
            <w:r w:rsidR="00462A8D">
              <w:rPr>
                <w:rFonts w:asciiTheme="minorHAnsi" w:hAnsiTheme="minorHAnsi" w:cstheme="minorHAnsi"/>
                <w:sz w:val="22"/>
                <w:szCs w:val="22"/>
              </w:rPr>
              <w:t>’interface d’accès</w:t>
            </w:r>
            <w:r>
              <w:rPr>
                <w:rFonts w:asciiTheme="minorHAnsi" w:hAnsiTheme="minorHAnsi" w:cstheme="minorHAnsi"/>
                <w:sz w:val="22"/>
                <w:szCs w:val="22"/>
              </w:rPr>
              <w:t xml:space="preserve"> dédiée du PSP se fait au moyen de certificats qualifiés de cachet électronique ou de certificats qualifiés d’authentification de site internet ? </w:t>
            </w:r>
          </w:p>
        </w:tc>
        <w:tc>
          <w:tcPr>
            <w:tcW w:w="1465" w:type="dxa"/>
          </w:tcPr>
          <w:p w14:paraId="2BFBBD48" w14:textId="77777777" w:rsidR="00943FA1" w:rsidRPr="00CC1AEF" w:rsidRDefault="00943FA1" w:rsidP="00943FA1">
            <w:pPr>
              <w:jc w:val="center"/>
              <w:rPr>
                <w:rFonts w:asciiTheme="minorHAnsi" w:hAnsiTheme="minorHAnsi" w:cstheme="minorHAnsi"/>
                <w:b/>
                <w:sz w:val="22"/>
                <w:szCs w:val="22"/>
              </w:rPr>
            </w:pPr>
          </w:p>
        </w:tc>
        <w:tc>
          <w:tcPr>
            <w:tcW w:w="6698" w:type="dxa"/>
          </w:tcPr>
          <w:p w14:paraId="73993876"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A7A9E9A" w14:textId="77777777" w:rsidTr="00683E60">
        <w:tc>
          <w:tcPr>
            <w:tcW w:w="1595" w:type="dxa"/>
          </w:tcPr>
          <w:p w14:paraId="7B6FACA0" w14:textId="151E070C"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063E7043" w14:textId="77B9896C" w:rsidR="00943FA1" w:rsidRDefault="00943FA1" w:rsidP="00943FA1">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246570D1" w14:textId="77777777" w:rsidR="00943FA1" w:rsidRPr="00CC1AEF" w:rsidRDefault="00943FA1" w:rsidP="00943FA1">
            <w:pPr>
              <w:jc w:val="center"/>
              <w:rPr>
                <w:rFonts w:asciiTheme="minorHAnsi" w:hAnsiTheme="minorHAnsi" w:cstheme="minorHAnsi"/>
                <w:b/>
                <w:sz w:val="22"/>
                <w:szCs w:val="22"/>
              </w:rPr>
            </w:pPr>
          </w:p>
        </w:tc>
        <w:tc>
          <w:tcPr>
            <w:tcW w:w="6698" w:type="dxa"/>
          </w:tcPr>
          <w:p w14:paraId="62A5B76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1618226" w14:textId="77777777" w:rsidTr="00683E60">
        <w:tc>
          <w:tcPr>
            <w:tcW w:w="1595" w:type="dxa"/>
          </w:tcPr>
          <w:p w14:paraId="03BBDC66" w14:textId="6E3B441E"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5902D546" w14:textId="146E5864" w:rsidR="00943FA1" w:rsidRDefault="00943FA1" w:rsidP="00943FA1">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5CBCBC50" w14:textId="77777777" w:rsidR="00943FA1" w:rsidRPr="00CC1AEF" w:rsidRDefault="00943FA1" w:rsidP="00943FA1">
            <w:pPr>
              <w:jc w:val="center"/>
              <w:rPr>
                <w:rFonts w:asciiTheme="minorHAnsi" w:hAnsiTheme="minorHAnsi" w:cstheme="minorHAnsi"/>
                <w:b/>
                <w:sz w:val="22"/>
                <w:szCs w:val="22"/>
              </w:rPr>
            </w:pPr>
          </w:p>
        </w:tc>
        <w:tc>
          <w:tcPr>
            <w:tcW w:w="6698" w:type="dxa"/>
          </w:tcPr>
          <w:p w14:paraId="4F9139C1"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F232A9D" w14:textId="77777777" w:rsidTr="00683E60">
        <w:tc>
          <w:tcPr>
            <w:tcW w:w="1595" w:type="dxa"/>
          </w:tcPr>
          <w:p w14:paraId="47425502" w14:textId="5DF8EAB2"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4C6EC00E" w14:textId="77777777" w:rsidR="00943FA1" w:rsidRPr="00471A43" w:rsidRDefault="00943FA1" w:rsidP="00943FA1">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4FCAC535" w14:textId="77777777" w:rsidR="00943FA1" w:rsidRDefault="00943FA1" w:rsidP="00943FA1">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30FC6037" w14:textId="6CA2BCE3" w:rsidR="00943FA1" w:rsidRDefault="00943FA1" w:rsidP="00943FA1">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 </w:t>
            </w:r>
            <w:r w:rsidR="00462A8D">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56C40A7D" w14:textId="3A3536D1" w:rsidR="00943FA1" w:rsidRPr="00A85C3C" w:rsidRDefault="00943FA1" w:rsidP="00A85C3C">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39D33DC5" w14:textId="77777777" w:rsidR="00943FA1" w:rsidRPr="00CC1AEF" w:rsidRDefault="00943FA1" w:rsidP="00943FA1">
            <w:pPr>
              <w:jc w:val="center"/>
              <w:rPr>
                <w:rFonts w:asciiTheme="minorHAnsi" w:hAnsiTheme="minorHAnsi" w:cstheme="minorHAnsi"/>
                <w:b/>
                <w:sz w:val="22"/>
                <w:szCs w:val="22"/>
              </w:rPr>
            </w:pPr>
          </w:p>
        </w:tc>
        <w:tc>
          <w:tcPr>
            <w:tcW w:w="6698" w:type="dxa"/>
          </w:tcPr>
          <w:p w14:paraId="77F578AB"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FE09092" w14:textId="77777777" w:rsidTr="00683E60">
        <w:tc>
          <w:tcPr>
            <w:tcW w:w="1595" w:type="dxa"/>
          </w:tcPr>
          <w:p w14:paraId="25A72E4B" w14:textId="5C5B6C84"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19A7AAEC" w14:textId="51C762B9" w:rsidR="00943FA1" w:rsidRDefault="00943FA1" w:rsidP="00943FA1">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5054D1A3" w14:textId="77777777" w:rsidR="00943FA1" w:rsidRPr="00CC1AEF" w:rsidRDefault="00943FA1" w:rsidP="00943FA1">
            <w:pPr>
              <w:jc w:val="center"/>
              <w:rPr>
                <w:rFonts w:asciiTheme="minorHAnsi" w:hAnsiTheme="minorHAnsi" w:cstheme="minorHAnsi"/>
                <w:b/>
                <w:sz w:val="22"/>
                <w:szCs w:val="22"/>
              </w:rPr>
            </w:pPr>
          </w:p>
        </w:tc>
        <w:tc>
          <w:tcPr>
            <w:tcW w:w="6698" w:type="dxa"/>
          </w:tcPr>
          <w:p w14:paraId="60FB3301"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4F4BAE81" w14:textId="77777777" w:rsidTr="007952FB">
        <w:tc>
          <w:tcPr>
            <w:tcW w:w="14737" w:type="dxa"/>
            <w:gridSpan w:val="4"/>
            <w:shd w:val="clear" w:color="auto" w:fill="C2D69B" w:themeFill="accent3" w:themeFillTint="99"/>
          </w:tcPr>
          <w:p w14:paraId="5CFF7581" w14:textId="2684CE90" w:rsidR="00943FA1" w:rsidRPr="00CC1AEF" w:rsidRDefault="00943FA1" w:rsidP="00462A8D">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Applicables par le PSP gestionnaire de comptes en cas de mise en œuvre d’une </w:t>
            </w:r>
            <w:r w:rsidR="00462A8D">
              <w:rPr>
                <w:rFonts w:asciiTheme="minorHAnsi" w:eastAsia="Calibri" w:hAnsiTheme="minorHAnsi" w:cstheme="minorHAnsi"/>
                <w:b/>
                <w:sz w:val="22"/>
                <w:szCs w:val="22"/>
                <w:lang w:eastAsia="en-US"/>
              </w:rPr>
              <w:t xml:space="preserve">interface d’accès </w:t>
            </w:r>
            <w:r>
              <w:rPr>
                <w:rFonts w:asciiTheme="minorHAnsi" w:eastAsia="Calibri" w:hAnsiTheme="minorHAnsi" w:cstheme="minorHAnsi"/>
                <w:b/>
                <w:sz w:val="22"/>
                <w:szCs w:val="22"/>
                <w:lang w:eastAsia="en-US"/>
              </w:rPr>
              <w:t>dédiée sans mécanisme de secours</w:t>
            </w:r>
          </w:p>
        </w:tc>
      </w:tr>
      <w:tr w:rsidR="00267FCE" w:rsidRPr="00CC1AEF" w14:paraId="04DE1032" w14:textId="77777777" w:rsidTr="00683E60">
        <w:tc>
          <w:tcPr>
            <w:tcW w:w="1595" w:type="dxa"/>
          </w:tcPr>
          <w:p w14:paraId="76A43937" w14:textId="7777777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29</w:t>
            </w:r>
          </w:p>
          <w:p w14:paraId="3AA09A88" w14:textId="77777777" w:rsidR="00267FCE" w:rsidRPr="00CC1AEF" w:rsidRDefault="00267FCE" w:rsidP="00267FCE">
            <w:pPr>
              <w:jc w:val="center"/>
              <w:rPr>
                <w:rFonts w:asciiTheme="minorHAnsi" w:hAnsiTheme="minorHAnsi" w:cstheme="minorHAnsi"/>
                <w:b/>
                <w:sz w:val="22"/>
                <w:szCs w:val="22"/>
              </w:rPr>
            </w:pPr>
          </w:p>
        </w:tc>
        <w:tc>
          <w:tcPr>
            <w:tcW w:w="4979" w:type="dxa"/>
          </w:tcPr>
          <w:p w14:paraId="3E5536FD" w14:textId="24065968"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662B4ABF" w14:textId="77777777" w:rsidR="00267FCE" w:rsidRPr="00CC1AEF" w:rsidRDefault="00267FCE" w:rsidP="00267FCE">
            <w:pPr>
              <w:jc w:val="center"/>
              <w:rPr>
                <w:rFonts w:asciiTheme="minorHAnsi" w:hAnsiTheme="minorHAnsi" w:cstheme="minorHAnsi"/>
                <w:b/>
                <w:sz w:val="22"/>
                <w:szCs w:val="22"/>
              </w:rPr>
            </w:pPr>
          </w:p>
        </w:tc>
        <w:tc>
          <w:tcPr>
            <w:tcW w:w="6698" w:type="dxa"/>
          </w:tcPr>
          <w:p w14:paraId="25DF5C20" w14:textId="09EA35FD"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B8B808A" w14:textId="77777777" w:rsidTr="00683E60">
        <w:tc>
          <w:tcPr>
            <w:tcW w:w="1595" w:type="dxa"/>
          </w:tcPr>
          <w:p w14:paraId="4E25AA3E" w14:textId="58E05354"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6205E740" w14:textId="77777777" w:rsidR="00267FCE" w:rsidRPr="00080007" w:rsidRDefault="00267FCE" w:rsidP="00267FCE">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17856801" w14:textId="77777777" w:rsidR="00267FCE" w:rsidRPr="00080007" w:rsidRDefault="00267FCE" w:rsidP="00267FCE">
            <w:pPr>
              <w:pStyle w:val="Paragraphedeliste"/>
              <w:numPr>
                <w:ilvl w:val="0"/>
                <w:numId w:val="119"/>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1600D97A" w14:textId="1DD7A0C6" w:rsidR="00267FCE" w:rsidRPr="00267FCE" w:rsidRDefault="00267FCE" w:rsidP="00267FCE">
            <w:pPr>
              <w:pStyle w:val="Paragraphedeliste"/>
              <w:numPr>
                <w:ilvl w:val="0"/>
                <w:numId w:val="119"/>
              </w:numPr>
              <w:rPr>
                <w:rFonts w:asciiTheme="minorHAnsi" w:hAnsiTheme="minorHAnsi" w:cstheme="minorHAnsi"/>
                <w:b/>
                <w:szCs w:val="22"/>
              </w:rPr>
            </w:pPr>
            <w:r w:rsidRPr="00267FCE">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39A3E5B4" w14:textId="77777777" w:rsidR="00267FCE" w:rsidRPr="00CC1AEF" w:rsidRDefault="00267FCE" w:rsidP="00267FCE">
            <w:pPr>
              <w:jc w:val="center"/>
              <w:rPr>
                <w:rFonts w:asciiTheme="minorHAnsi" w:hAnsiTheme="minorHAnsi" w:cstheme="minorHAnsi"/>
                <w:b/>
                <w:sz w:val="22"/>
                <w:szCs w:val="22"/>
              </w:rPr>
            </w:pPr>
          </w:p>
        </w:tc>
        <w:tc>
          <w:tcPr>
            <w:tcW w:w="6698" w:type="dxa"/>
          </w:tcPr>
          <w:p w14:paraId="5FAFEFB3"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4B5763D8" w14:textId="77777777" w:rsidTr="00683E60">
        <w:tc>
          <w:tcPr>
            <w:tcW w:w="1595" w:type="dxa"/>
          </w:tcPr>
          <w:p w14:paraId="037D27A1" w14:textId="01DDBB6A"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7365EF3A" w14:textId="1753396E" w:rsidR="00267FCE" w:rsidRPr="00E96114" w:rsidRDefault="00267FCE" w:rsidP="00267FCE">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28977690" w14:textId="77777777" w:rsidR="00267FCE" w:rsidRPr="00CC1AEF" w:rsidRDefault="00267FCE" w:rsidP="00267FCE">
            <w:pPr>
              <w:jc w:val="center"/>
              <w:rPr>
                <w:rFonts w:asciiTheme="minorHAnsi" w:hAnsiTheme="minorHAnsi" w:cstheme="minorHAnsi"/>
                <w:b/>
                <w:sz w:val="22"/>
                <w:szCs w:val="22"/>
              </w:rPr>
            </w:pPr>
          </w:p>
        </w:tc>
        <w:tc>
          <w:tcPr>
            <w:tcW w:w="6698" w:type="dxa"/>
          </w:tcPr>
          <w:p w14:paraId="55AC3AC4"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B962D31" w14:textId="77777777" w:rsidTr="00683E60">
        <w:tc>
          <w:tcPr>
            <w:tcW w:w="1595" w:type="dxa"/>
          </w:tcPr>
          <w:p w14:paraId="10FF6A97" w14:textId="3E3336B5"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23D4508A" w14:textId="77777777" w:rsidR="00267FCE" w:rsidRDefault="00267FCE" w:rsidP="00267FCE">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232283AB" w14:textId="77777777" w:rsidR="00267FCE" w:rsidRDefault="00267FCE" w:rsidP="00267FCE">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31A8DA01" w14:textId="7E22002C" w:rsidR="00267FCE" w:rsidRPr="00E96114" w:rsidRDefault="00267FCE" w:rsidP="00267FCE">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5C02637" w14:textId="77777777" w:rsidR="00267FCE" w:rsidRPr="00CC1AEF" w:rsidRDefault="00267FCE" w:rsidP="00267FCE">
            <w:pPr>
              <w:jc w:val="center"/>
              <w:rPr>
                <w:rFonts w:asciiTheme="minorHAnsi" w:hAnsiTheme="minorHAnsi" w:cstheme="minorHAnsi"/>
                <w:b/>
                <w:sz w:val="22"/>
                <w:szCs w:val="22"/>
              </w:rPr>
            </w:pPr>
          </w:p>
        </w:tc>
        <w:tc>
          <w:tcPr>
            <w:tcW w:w="6698" w:type="dxa"/>
          </w:tcPr>
          <w:p w14:paraId="2786DB42"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FBDDDBC" w14:textId="77777777" w:rsidTr="00683E60">
        <w:tc>
          <w:tcPr>
            <w:tcW w:w="1595" w:type="dxa"/>
          </w:tcPr>
          <w:p w14:paraId="3B2BEE02" w14:textId="7A10C86E"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0E4A2E86" w14:textId="72CA55A1" w:rsidR="00267FCE" w:rsidRDefault="00267FCE" w:rsidP="00267FCE">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1F568F02" w14:textId="21350AAB" w:rsidR="00267FCE" w:rsidRPr="00850621" w:rsidRDefault="00267FCE" w:rsidP="00267FCE">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56B8EFC1" w14:textId="77777777" w:rsidR="00267FCE" w:rsidRPr="00CC1AEF" w:rsidRDefault="00267FCE" w:rsidP="00267FCE">
            <w:pPr>
              <w:jc w:val="center"/>
              <w:rPr>
                <w:rFonts w:asciiTheme="minorHAnsi" w:hAnsiTheme="minorHAnsi" w:cstheme="minorHAnsi"/>
                <w:b/>
                <w:sz w:val="22"/>
                <w:szCs w:val="22"/>
              </w:rPr>
            </w:pPr>
          </w:p>
        </w:tc>
        <w:tc>
          <w:tcPr>
            <w:tcW w:w="6698" w:type="dxa"/>
          </w:tcPr>
          <w:p w14:paraId="0FD2A984"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246BF52" w14:textId="77777777" w:rsidTr="00683E60">
        <w:tc>
          <w:tcPr>
            <w:tcW w:w="1595" w:type="dxa"/>
          </w:tcPr>
          <w:p w14:paraId="21955178" w14:textId="54E770B7"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4DDC1185" w14:textId="36EBD04A" w:rsidR="00267FCE" w:rsidRDefault="00267FCE" w:rsidP="00267FCE">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78633B3A" w14:textId="4D74D19E"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w:t>
            </w:r>
            <w:r>
              <w:rPr>
                <w:rFonts w:asciiTheme="minorHAnsi" w:hAnsiTheme="minorHAnsi" w:cstheme="minorHAnsi"/>
                <w:sz w:val="22"/>
                <w:szCs w:val="22"/>
              </w:rPr>
              <w:t> </w:t>
            </w:r>
            <w:r w:rsidR="0085040E">
              <w:rPr>
                <w:rFonts w:asciiTheme="minorHAnsi" w:hAnsiTheme="minorHAnsi" w:cstheme="minorHAnsi"/>
                <w:sz w:val="22"/>
                <w:szCs w:val="22"/>
              </w:rPr>
              <w:t xml:space="preserve">et de la BDF </w:t>
            </w:r>
            <w:r>
              <w:rPr>
                <w:rFonts w:asciiTheme="minorHAnsi" w:hAnsiTheme="minorHAnsi" w:cstheme="minorHAnsi"/>
                <w:sz w:val="22"/>
                <w:szCs w:val="22"/>
              </w:rPr>
              <w:t>?</w:t>
            </w:r>
          </w:p>
        </w:tc>
        <w:tc>
          <w:tcPr>
            <w:tcW w:w="1465" w:type="dxa"/>
          </w:tcPr>
          <w:p w14:paraId="11E41E71" w14:textId="77777777" w:rsidR="00267FCE" w:rsidRPr="00CC1AEF" w:rsidRDefault="00267FCE" w:rsidP="00267FCE">
            <w:pPr>
              <w:jc w:val="center"/>
              <w:rPr>
                <w:rFonts w:asciiTheme="minorHAnsi" w:hAnsiTheme="minorHAnsi" w:cstheme="minorHAnsi"/>
                <w:b/>
                <w:sz w:val="22"/>
                <w:szCs w:val="22"/>
              </w:rPr>
            </w:pPr>
          </w:p>
        </w:tc>
        <w:tc>
          <w:tcPr>
            <w:tcW w:w="6698" w:type="dxa"/>
          </w:tcPr>
          <w:p w14:paraId="77708261"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3DE7AB8" w14:textId="77777777" w:rsidTr="00683E60">
        <w:tc>
          <w:tcPr>
            <w:tcW w:w="1595" w:type="dxa"/>
          </w:tcPr>
          <w:p w14:paraId="37C7A5DD" w14:textId="1EC696D5"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0132CDC8" w14:textId="493D9134"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Le PSP veille-t-il à ce que son interface dédiée d’accès </w:t>
            </w:r>
            <w:r w:rsidRPr="00E57890">
              <w:rPr>
                <w:rFonts w:asciiTheme="minorHAnsi" w:hAnsiTheme="minorHAnsi" w:cstheme="minorHAnsi"/>
                <w:sz w:val="22"/>
                <w:szCs w:val="22"/>
              </w:rPr>
              <w:t>offre à tout moment le même niveau de disponibilité et de performances, assistance comprise, que les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150D1181" w14:textId="77777777" w:rsidR="00267FCE" w:rsidRPr="00CC1AEF" w:rsidRDefault="00267FCE" w:rsidP="00267FCE">
            <w:pPr>
              <w:jc w:val="center"/>
              <w:rPr>
                <w:rFonts w:asciiTheme="minorHAnsi" w:hAnsiTheme="minorHAnsi" w:cstheme="minorHAnsi"/>
                <w:b/>
                <w:sz w:val="22"/>
                <w:szCs w:val="22"/>
              </w:rPr>
            </w:pPr>
          </w:p>
        </w:tc>
        <w:tc>
          <w:tcPr>
            <w:tcW w:w="6698" w:type="dxa"/>
          </w:tcPr>
          <w:p w14:paraId="31653CE9"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057DE29" w14:textId="77777777" w:rsidTr="00683E60">
        <w:tc>
          <w:tcPr>
            <w:tcW w:w="1595" w:type="dxa"/>
          </w:tcPr>
          <w:p w14:paraId="68FA1696" w14:textId="71921CD3"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5D417565" w14:textId="26D62B14" w:rsidR="00267FCE" w:rsidRPr="00CC1AEF" w:rsidRDefault="00267FCE" w:rsidP="00267FCE">
            <w:pPr>
              <w:rPr>
                <w:rFonts w:asciiTheme="minorHAnsi" w:hAnsiTheme="minorHAnsi" w:cstheme="minorHAnsi"/>
                <w:b/>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33419C07" w14:textId="77777777" w:rsidR="00267FCE" w:rsidRPr="00CC1AEF" w:rsidRDefault="00267FCE" w:rsidP="00267FCE">
            <w:pPr>
              <w:jc w:val="center"/>
              <w:rPr>
                <w:rFonts w:asciiTheme="minorHAnsi" w:hAnsiTheme="minorHAnsi" w:cstheme="minorHAnsi"/>
                <w:b/>
                <w:sz w:val="22"/>
                <w:szCs w:val="22"/>
              </w:rPr>
            </w:pPr>
          </w:p>
        </w:tc>
        <w:tc>
          <w:tcPr>
            <w:tcW w:w="6698" w:type="dxa"/>
          </w:tcPr>
          <w:p w14:paraId="770B8770"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4A54132" w14:textId="77777777" w:rsidTr="00683E60">
        <w:tc>
          <w:tcPr>
            <w:tcW w:w="1595" w:type="dxa"/>
          </w:tcPr>
          <w:p w14:paraId="441ECEAC" w14:textId="002A2CBD"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6CEB7592" w14:textId="6BDB16EA"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 xml:space="preserve"> </w:t>
            </w:r>
            <w:r>
              <w:rPr>
                <w:rFonts w:asciiTheme="minorHAnsi" w:hAnsiTheme="minorHAnsi" w:cstheme="minorHAnsi"/>
                <w:sz w:val="22"/>
                <w:szCs w:val="22"/>
              </w:rPr>
              <w:t xml:space="preserve">selon une périodicité trimestrielle ? </w:t>
            </w:r>
          </w:p>
        </w:tc>
        <w:tc>
          <w:tcPr>
            <w:tcW w:w="1465" w:type="dxa"/>
          </w:tcPr>
          <w:p w14:paraId="200A611F" w14:textId="77777777" w:rsidR="00267FCE" w:rsidRPr="00CC1AEF" w:rsidRDefault="00267FCE" w:rsidP="00267FCE">
            <w:pPr>
              <w:jc w:val="center"/>
              <w:rPr>
                <w:rFonts w:asciiTheme="minorHAnsi" w:hAnsiTheme="minorHAnsi" w:cstheme="minorHAnsi"/>
                <w:b/>
                <w:sz w:val="22"/>
                <w:szCs w:val="22"/>
              </w:rPr>
            </w:pPr>
          </w:p>
        </w:tc>
        <w:tc>
          <w:tcPr>
            <w:tcW w:w="6698" w:type="dxa"/>
          </w:tcPr>
          <w:p w14:paraId="493C9823"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56303CCB" w14:textId="77777777" w:rsidTr="00683E60">
        <w:tc>
          <w:tcPr>
            <w:tcW w:w="1595" w:type="dxa"/>
          </w:tcPr>
          <w:p w14:paraId="42C2E3C5" w14:textId="6B48ED93"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33-6</w:t>
            </w:r>
          </w:p>
        </w:tc>
        <w:tc>
          <w:tcPr>
            <w:tcW w:w="4979" w:type="dxa"/>
          </w:tcPr>
          <w:p w14:paraId="49A8D6C8" w14:textId="6D86FCB5" w:rsidR="00267FCE" w:rsidRPr="008473F6" w:rsidRDefault="00267FCE" w:rsidP="00267FCE">
            <w:pPr>
              <w:rPr>
                <w:rFonts w:asciiTheme="minorHAnsi" w:hAnsiTheme="minorHAnsi" w:cstheme="minorHAnsi"/>
                <w:sz w:val="22"/>
                <w:szCs w:val="22"/>
              </w:rPr>
            </w:pPr>
            <w:r w:rsidRPr="008473F6">
              <w:rPr>
                <w:rFonts w:asciiTheme="minorHAnsi" w:hAnsiTheme="minorHAnsi" w:cstheme="minorHAnsi"/>
                <w:sz w:val="22"/>
                <w:szCs w:val="22"/>
              </w:rPr>
              <w:t>Le</w:t>
            </w:r>
            <w:r>
              <w:rPr>
                <w:rFonts w:asciiTheme="minorHAnsi" w:hAnsiTheme="minorHAnsi" w:cstheme="minorHAnsi"/>
                <w:sz w:val="22"/>
                <w:szCs w:val="22"/>
              </w:rPr>
              <w:t xml:space="preserve"> PSP a-t-il formulé une demande d’exemption de mise en place de mécanisme d’urgence auprès de l’ACPR ?</w:t>
            </w:r>
          </w:p>
        </w:tc>
        <w:tc>
          <w:tcPr>
            <w:tcW w:w="1465" w:type="dxa"/>
          </w:tcPr>
          <w:p w14:paraId="6D4484CE" w14:textId="77777777" w:rsidR="00267FCE" w:rsidRPr="00CC1AEF" w:rsidRDefault="00267FCE" w:rsidP="00267FCE">
            <w:pPr>
              <w:jc w:val="center"/>
              <w:rPr>
                <w:rFonts w:asciiTheme="minorHAnsi" w:hAnsiTheme="minorHAnsi" w:cstheme="minorHAnsi"/>
                <w:b/>
                <w:sz w:val="22"/>
                <w:szCs w:val="22"/>
              </w:rPr>
            </w:pPr>
          </w:p>
        </w:tc>
        <w:tc>
          <w:tcPr>
            <w:tcW w:w="6698" w:type="dxa"/>
          </w:tcPr>
          <w:p w14:paraId="78A7BDFB"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AD90237" w14:textId="77777777" w:rsidTr="00683E60">
        <w:tc>
          <w:tcPr>
            <w:tcW w:w="1595" w:type="dxa"/>
          </w:tcPr>
          <w:p w14:paraId="7175F0F0" w14:textId="518D5E17"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54A91ABA" w14:textId="22A0BB55"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76732F01" w14:textId="77777777" w:rsidR="00267FCE" w:rsidRPr="00CC1AEF" w:rsidRDefault="00267FCE" w:rsidP="00267FCE">
            <w:pPr>
              <w:jc w:val="center"/>
              <w:rPr>
                <w:rFonts w:asciiTheme="minorHAnsi" w:hAnsiTheme="minorHAnsi" w:cstheme="minorHAnsi"/>
                <w:b/>
                <w:sz w:val="22"/>
                <w:szCs w:val="22"/>
              </w:rPr>
            </w:pPr>
          </w:p>
        </w:tc>
        <w:tc>
          <w:tcPr>
            <w:tcW w:w="6698" w:type="dxa"/>
          </w:tcPr>
          <w:p w14:paraId="3BDF269C"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1C07455" w14:textId="77777777" w:rsidTr="00683E60">
        <w:tc>
          <w:tcPr>
            <w:tcW w:w="1595" w:type="dxa"/>
          </w:tcPr>
          <w:p w14:paraId="6F36844F" w14:textId="7777777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35-1</w:t>
            </w:r>
          </w:p>
          <w:p w14:paraId="4D7A2906" w14:textId="18C1EB81" w:rsidR="00267FCE" w:rsidRDefault="00267FCE" w:rsidP="00267FCE">
            <w:pPr>
              <w:rPr>
                <w:rFonts w:asciiTheme="minorHAnsi" w:hAnsiTheme="minorHAnsi" w:cstheme="minorHAnsi"/>
                <w:b/>
                <w:sz w:val="22"/>
                <w:szCs w:val="22"/>
              </w:rPr>
            </w:pPr>
          </w:p>
        </w:tc>
        <w:tc>
          <w:tcPr>
            <w:tcW w:w="4979" w:type="dxa"/>
          </w:tcPr>
          <w:p w14:paraId="6284BB6C" w14:textId="69CCD51B" w:rsidR="00267FCE" w:rsidRDefault="00267FCE" w:rsidP="00267FCE">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19170A35" w14:textId="77777777" w:rsidR="00267FCE" w:rsidRPr="00CC1AEF" w:rsidRDefault="00267FCE" w:rsidP="00267FCE">
            <w:pPr>
              <w:jc w:val="center"/>
              <w:rPr>
                <w:rFonts w:asciiTheme="minorHAnsi" w:hAnsiTheme="minorHAnsi" w:cstheme="minorHAnsi"/>
                <w:b/>
                <w:sz w:val="22"/>
                <w:szCs w:val="22"/>
              </w:rPr>
            </w:pPr>
          </w:p>
        </w:tc>
        <w:tc>
          <w:tcPr>
            <w:tcW w:w="6698" w:type="dxa"/>
          </w:tcPr>
          <w:p w14:paraId="23EF6348"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4278853" w14:textId="77777777" w:rsidTr="00683E60">
        <w:tc>
          <w:tcPr>
            <w:tcW w:w="1595" w:type="dxa"/>
          </w:tcPr>
          <w:p w14:paraId="27E1EBD7" w14:textId="595B14AE"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2121506E" w14:textId="27497BE8" w:rsidR="00267FCE" w:rsidRDefault="00267FCE" w:rsidP="00267FCE">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16173DB7" w14:textId="77777777" w:rsidR="00267FCE" w:rsidRPr="00CC1AEF" w:rsidRDefault="00267FCE" w:rsidP="00267FCE">
            <w:pPr>
              <w:jc w:val="center"/>
              <w:rPr>
                <w:rFonts w:asciiTheme="minorHAnsi" w:hAnsiTheme="minorHAnsi" w:cstheme="minorHAnsi"/>
                <w:b/>
                <w:sz w:val="22"/>
                <w:szCs w:val="22"/>
              </w:rPr>
            </w:pPr>
          </w:p>
        </w:tc>
        <w:tc>
          <w:tcPr>
            <w:tcW w:w="6698" w:type="dxa"/>
          </w:tcPr>
          <w:p w14:paraId="14A76056"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5708ADED" w14:textId="77777777" w:rsidTr="00683E60">
        <w:tc>
          <w:tcPr>
            <w:tcW w:w="1595" w:type="dxa"/>
          </w:tcPr>
          <w:p w14:paraId="4B3346F0" w14:textId="57EF8932"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75FD1B98" w14:textId="77777777" w:rsidR="00267FCE" w:rsidRPr="00471A43" w:rsidRDefault="00267FCE" w:rsidP="00267FCE">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0A1881BF" w14:textId="77777777"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693622AC" w14:textId="6BF3EEB3" w:rsidR="00267FCE" w:rsidRDefault="00267FCE" w:rsidP="00267FCE">
            <w:pPr>
              <w:pStyle w:val="Paragraphedeliste"/>
              <w:numPr>
                <w:ilvl w:val="0"/>
                <w:numId w:val="119"/>
              </w:numPr>
              <w:rPr>
                <w:rFonts w:asciiTheme="minorHAnsi" w:hAnsiTheme="minorHAnsi" w:cstheme="minorHAnsi"/>
                <w:szCs w:val="22"/>
              </w:rPr>
            </w:pP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09353EBB" w14:textId="0FFF6B13"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5AB441BB" w14:textId="77777777" w:rsidR="00267FCE" w:rsidRPr="00CC1AEF" w:rsidRDefault="00267FCE" w:rsidP="00267FCE">
            <w:pPr>
              <w:jc w:val="center"/>
              <w:rPr>
                <w:rFonts w:asciiTheme="minorHAnsi" w:hAnsiTheme="minorHAnsi" w:cstheme="minorHAnsi"/>
                <w:b/>
                <w:sz w:val="22"/>
                <w:szCs w:val="22"/>
              </w:rPr>
            </w:pPr>
          </w:p>
        </w:tc>
        <w:tc>
          <w:tcPr>
            <w:tcW w:w="6698" w:type="dxa"/>
          </w:tcPr>
          <w:p w14:paraId="504A8CCE"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0A2330F0" w14:textId="77777777" w:rsidTr="00683E60">
        <w:tc>
          <w:tcPr>
            <w:tcW w:w="1595" w:type="dxa"/>
          </w:tcPr>
          <w:p w14:paraId="030536F1" w14:textId="58B33A2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A1966DB" w14:textId="41A46D73" w:rsidR="00267FCE" w:rsidRDefault="00267FCE" w:rsidP="00267FCE">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3B8BDF50" w14:textId="77777777" w:rsidR="00267FCE" w:rsidRPr="00CC1AEF" w:rsidRDefault="00267FCE" w:rsidP="00267FCE">
            <w:pPr>
              <w:jc w:val="center"/>
              <w:rPr>
                <w:rFonts w:asciiTheme="minorHAnsi" w:hAnsiTheme="minorHAnsi" w:cstheme="minorHAnsi"/>
                <w:b/>
                <w:sz w:val="22"/>
                <w:szCs w:val="22"/>
              </w:rPr>
            </w:pPr>
          </w:p>
        </w:tc>
        <w:tc>
          <w:tcPr>
            <w:tcW w:w="6698" w:type="dxa"/>
          </w:tcPr>
          <w:p w14:paraId="0002E54B" w14:textId="77777777" w:rsidR="00267FCE" w:rsidRPr="00CC1AEF" w:rsidRDefault="00267FCE" w:rsidP="00267FCE">
            <w:pPr>
              <w:jc w:val="left"/>
              <w:rPr>
                <w:rFonts w:asciiTheme="minorHAnsi" w:eastAsia="Calibri" w:hAnsiTheme="minorHAnsi" w:cstheme="minorHAnsi"/>
                <w:b/>
                <w:sz w:val="22"/>
                <w:szCs w:val="22"/>
                <w:lang w:eastAsia="en-US"/>
              </w:rPr>
            </w:pPr>
          </w:p>
        </w:tc>
      </w:tr>
    </w:tbl>
    <w:p w14:paraId="59A27242" w14:textId="77777777" w:rsidR="009973F6" w:rsidRPr="00CC1AEF" w:rsidRDefault="009973F6">
      <w:pPr>
        <w:jc w:val="left"/>
        <w:rPr>
          <w:rFonts w:asciiTheme="minorHAnsi" w:hAnsiTheme="minorHAnsi" w:cstheme="minorHAnsi"/>
          <w:b/>
          <w:smallCaps/>
          <w:color w:val="1F497D"/>
          <w:sz w:val="22"/>
          <w:szCs w:val="22"/>
        </w:rPr>
        <w:sectPr w:rsidR="009973F6" w:rsidRPr="00CC1AEF" w:rsidSect="009973F6">
          <w:headerReference w:type="default" r:id="rId18"/>
          <w:footerReference w:type="default" r:id="rId19"/>
          <w:pgSz w:w="16838" w:h="11906" w:orient="landscape"/>
          <w:pgMar w:top="1134" w:right="1134" w:bottom="1134" w:left="964" w:header="720" w:footer="720" w:gutter="0"/>
          <w:cols w:space="720"/>
          <w:docGrid w:linePitch="326"/>
        </w:sectPr>
      </w:pPr>
    </w:p>
    <w:p w14:paraId="4F06E960" w14:textId="58E97560" w:rsidR="005A28EA" w:rsidRDefault="00983B9E" w:rsidP="00A85C3C">
      <w:pPr>
        <w:jc w:val="left"/>
        <w:rPr>
          <w:b/>
          <w:smallCaps/>
          <w:color w:val="1F497D"/>
          <w:sz w:val="28"/>
        </w:rPr>
      </w:pPr>
      <w:r w:rsidRPr="00C0062E">
        <w:rPr>
          <w:b/>
          <w:smallCaps/>
          <w:color w:val="1F497D"/>
          <w:sz w:val="28"/>
        </w:rPr>
        <w:t>V- Annexes</w:t>
      </w:r>
    </w:p>
    <w:p w14:paraId="0F48CECD" w14:textId="77777777" w:rsidR="005E0170" w:rsidRPr="00460E3D" w:rsidRDefault="005E0170" w:rsidP="00A85C3C">
      <w:pPr>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0E44F25F" w14:textId="77777777" w:rsidTr="005A28EA">
        <w:tc>
          <w:tcPr>
            <w:tcW w:w="9212" w:type="dxa"/>
            <w:shd w:val="clear" w:color="auto" w:fill="FBD4B4" w:themeFill="accent6" w:themeFillTint="66"/>
          </w:tcPr>
          <w:p w14:paraId="6D772149"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14:paraId="0612DBF1" w14:textId="77777777" w:rsidR="005A28EA" w:rsidRPr="00460E3D" w:rsidRDefault="005A28EA" w:rsidP="005A28EA">
      <w:pPr>
        <w:jc w:val="left"/>
        <w:rPr>
          <w:rFonts w:eastAsia="Calibri"/>
          <w:szCs w:val="24"/>
          <w:lang w:eastAsia="en-US"/>
        </w:rPr>
      </w:pPr>
    </w:p>
    <w:p w14:paraId="1C8C4D39" w14:textId="77777777"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14:paraId="4D7B3EAD" w14:textId="77777777" w:rsidR="005A28EA" w:rsidRPr="00460E3D" w:rsidRDefault="005A28EA" w:rsidP="005A28EA">
      <w:pPr>
        <w:jc w:val="left"/>
        <w:rPr>
          <w:rFonts w:eastAsia="Calibri"/>
          <w:szCs w:val="24"/>
          <w:lang w:eastAsia="en-US"/>
        </w:rPr>
      </w:pPr>
    </w:p>
    <w:p w14:paraId="0C204AD1" w14:textId="77777777" w:rsidR="005A28EA" w:rsidRPr="00460E3D" w:rsidRDefault="005A28EA" w:rsidP="005A28EA">
      <w:pPr>
        <w:jc w:val="left"/>
        <w:rPr>
          <w:rFonts w:eastAsia="Calibri"/>
          <w:szCs w:val="24"/>
          <w:lang w:eastAsia="en-US"/>
        </w:rPr>
      </w:pPr>
    </w:p>
    <w:p w14:paraId="4DE2F0D8" w14:textId="77777777" w:rsidR="005A28EA" w:rsidRPr="00460E3D" w:rsidRDefault="005A28EA" w:rsidP="005A28EA">
      <w:pPr>
        <w:jc w:val="left"/>
        <w:rPr>
          <w:rFonts w:eastAsia="Calibri"/>
          <w:szCs w:val="24"/>
          <w:lang w:eastAsia="en-US"/>
        </w:rPr>
      </w:pPr>
    </w:p>
    <w:p w14:paraId="163E5BCC" w14:textId="77777777"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4DD8B229" w14:textId="77777777" w:rsidTr="005A28EA">
        <w:tc>
          <w:tcPr>
            <w:tcW w:w="9212" w:type="dxa"/>
            <w:shd w:val="clear" w:color="auto" w:fill="FBD4B4" w:themeFill="accent6" w:themeFillTint="66"/>
          </w:tcPr>
          <w:p w14:paraId="715465F7"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14:paraId="0D37AB6F" w14:textId="77777777" w:rsidR="005A28EA" w:rsidRPr="00460E3D" w:rsidRDefault="005A28EA" w:rsidP="005A28EA">
      <w:pPr>
        <w:jc w:val="left"/>
        <w:rPr>
          <w:rFonts w:eastAsia="Calibri"/>
          <w:i/>
          <w:sz w:val="22"/>
          <w:szCs w:val="22"/>
          <w:lang w:eastAsia="en-US"/>
        </w:rPr>
      </w:pPr>
    </w:p>
    <w:p w14:paraId="2BB88151" w14:textId="77777777"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14:paraId="6045B88C" w14:textId="77777777" w:rsidR="00313FFD" w:rsidRPr="00460E3D" w:rsidRDefault="00313FFD" w:rsidP="00313FFD">
      <w:pPr>
        <w:jc w:val="center"/>
        <w:rPr>
          <w:rFonts w:eastAsia="Calibri"/>
          <w:b/>
          <w:sz w:val="28"/>
          <w:szCs w:val="22"/>
          <w:lang w:eastAsia="en-US"/>
        </w:rPr>
      </w:pPr>
    </w:p>
    <w:p w14:paraId="6DC5AE92" w14:textId="77777777" w:rsidR="00313FFD" w:rsidRPr="0057011B" w:rsidRDefault="00313FFD" w:rsidP="00360906">
      <w:pPr>
        <w:pStyle w:val="SGACP-titrederubriqueniveau1"/>
        <w:numPr>
          <w:ilvl w:val="0"/>
          <w:numId w:val="0"/>
        </w:numPr>
        <w:rPr>
          <w:rFonts w:ascii="Times New Roman" w:hAnsi="Times New Roman"/>
          <w:bCs/>
          <w:i/>
          <w:sz w:val="22"/>
          <w:szCs w:val="22"/>
        </w:rPr>
      </w:pPr>
    </w:p>
    <w:p w14:paraId="53C6FD77" w14:textId="77777777" w:rsidR="00313FFD" w:rsidRDefault="00313FFD" w:rsidP="00360906">
      <w:pPr>
        <w:pStyle w:val="SGACP-titrederubriqueniveau1"/>
        <w:numPr>
          <w:ilvl w:val="0"/>
          <w:numId w:val="0"/>
        </w:numPr>
        <w:rPr>
          <w:rFonts w:ascii="Times New Roman" w:hAnsi="Times New Roman"/>
          <w:bCs/>
          <w:i/>
          <w:sz w:val="22"/>
          <w:szCs w:val="22"/>
        </w:rPr>
        <w:sectPr w:rsidR="00313FFD" w:rsidSect="00BB6AE4">
          <w:pgSz w:w="11906" w:h="16838"/>
          <w:pgMar w:top="1134" w:right="1134" w:bottom="964" w:left="1134" w:header="720" w:footer="720" w:gutter="0"/>
          <w:cols w:space="720"/>
          <w:docGrid w:linePitch="326"/>
        </w:sectPr>
      </w:pPr>
    </w:p>
    <w:p w14:paraId="13F6A3C3" w14:textId="77777777" w:rsidR="00313FFD" w:rsidRDefault="00313FFD" w:rsidP="00360906">
      <w:pPr>
        <w:pStyle w:val="SGACP-titrederubriqueniveau1"/>
        <w:numPr>
          <w:ilvl w:val="0"/>
          <w:numId w:val="0"/>
        </w:numPr>
        <w:rPr>
          <w:rFonts w:ascii="Times New Roman" w:hAnsi="Times New Roman"/>
          <w:bCs/>
          <w:i/>
          <w:sz w:val="22"/>
          <w:szCs w:val="22"/>
        </w:rPr>
      </w:pPr>
    </w:p>
    <w:p w14:paraId="77F52808" w14:textId="77777777" w:rsidR="0009005A" w:rsidRDefault="00F55976">
      <w:pPr>
        <w:pStyle w:val="StyleSGACP-titrederubriqueniveau1CouleurpersonnaliseRVB"/>
        <w:numPr>
          <w:ilvl w:val="0"/>
          <w:numId w:val="0"/>
        </w:numPr>
        <w:jc w:val="right"/>
      </w:pPr>
      <w:bookmarkStart w:id="255" w:name="annexe1"/>
      <w:bookmarkStart w:id="256" w:name="_Toc340481805"/>
      <w:bookmarkStart w:id="257" w:name="_Toc340482200"/>
      <w:bookmarkStart w:id="258" w:name="_Toc366499608"/>
      <w:bookmarkStart w:id="259" w:name="_Toc106958083"/>
      <w:bookmarkStart w:id="260" w:name="_Toc244576485"/>
      <w:bookmarkStart w:id="261" w:name="_Toc244598012"/>
      <w:bookmarkStart w:id="262" w:name="_Toc244601066"/>
      <w:bookmarkStart w:id="263" w:name="_Toc244692484"/>
      <w:bookmarkStart w:id="264" w:name="_Toc244692553"/>
      <w:bookmarkEnd w:id="255"/>
      <w:r w:rsidRPr="00F55976">
        <w:t>Annexe 1</w:t>
      </w:r>
      <w:bookmarkEnd w:id="256"/>
      <w:bookmarkEnd w:id="257"/>
      <w:bookmarkEnd w:id="258"/>
      <w:bookmarkEnd w:id="259"/>
    </w:p>
    <w:p w14:paraId="130DC3F4" w14:textId="77777777" w:rsidR="00463A1C" w:rsidRPr="00992066" w:rsidRDefault="00463A1C" w:rsidP="00463A1C"/>
    <w:p w14:paraId="122323A9" w14:textId="77777777" w:rsidR="00992066" w:rsidRPr="00992066" w:rsidRDefault="00992066" w:rsidP="00463A1C"/>
    <w:p w14:paraId="691BD0D3" w14:textId="77777777" w:rsidR="00463A1C" w:rsidRPr="00992066" w:rsidRDefault="00463A1C" w:rsidP="00992066">
      <w:pPr>
        <w:pStyle w:val="SGACP-annexe-titre"/>
      </w:pPr>
      <w:r w:rsidRPr="00992066">
        <w:t xml:space="preserve">Exemple de méthode de calcul des chocs uniformes </w:t>
      </w:r>
      <w:r w:rsidR="00992066" w:rsidRPr="00992066">
        <w:br/>
      </w:r>
      <w:r w:rsidRPr="00992066">
        <w:t>de taux</w:t>
      </w:r>
      <w:r w:rsidR="00992066" w:rsidRPr="00992066">
        <w:t xml:space="preserve"> </w:t>
      </w:r>
      <w:r w:rsidRPr="00992066">
        <w:t>sur les activités autres que de négociation</w:t>
      </w:r>
      <w:bookmarkEnd w:id="260"/>
      <w:bookmarkEnd w:id="261"/>
      <w:bookmarkEnd w:id="262"/>
      <w:bookmarkEnd w:id="263"/>
      <w:bookmarkEnd w:id="264"/>
    </w:p>
    <w:p w14:paraId="6B2724F6" w14:textId="77777777" w:rsidR="00463A1C" w:rsidRPr="00992066" w:rsidRDefault="00463A1C" w:rsidP="00992066">
      <w:pPr>
        <w:pStyle w:val="SGACP-textecourant"/>
      </w:pPr>
    </w:p>
    <w:p w14:paraId="57C1EA4D" w14:textId="77777777" w:rsidR="002A53BE" w:rsidRPr="00935917" w:rsidRDefault="00463A1C">
      <w:pPr>
        <w:autoSpaceDE w:val="0"/>
        <w:autoSpaceDN w:val="0"/>
        <w:adjustRightInd w:val="0"/>
        <w:rPr>
          <w:sz w:val="22"/>
          <w:szCs w:val="22"/>
        </w:rPr>
      </w:pPr>
      <w:r w:rsidRPr="00935917">
        <w:rPr>
          <w:sz w:val="22"/>
          <w:szCs w:val="22"/>
        </w:rPr>
        <w:t>Les établissements assujettis doivent inclure dans leur rapport de contrôle interne les résultats d</w:t>
      </w:r>
      <w:r w:rsidR="001224E7" w:rsidRPr="00935917">
        <w:rPr>
          <w:sz w:val="22"/>
          <w:szCs w:val="22"/>
        </w:rPr>
        <w:t>’</w:t>
      </w:r>
      <w:r w:rsidRPr="00935917">
        <w:rPr>
          <w:sz w:val="22"/>
          <w:szCs w:val="22"/>
        </w:rPr>
        <w:t>un choc uniforme à un an sur le PNB courant et, le cas échéant, les résultats d</w:t>
      </w:r>
      <w:r w:rsidR="001224E7" w:rsidRPr="00935917">
        <w:rPr>
          <w:sz w:val="22"/>
          <w:szCs w:val="22"/>
        </w:rPr>
        <w:t>’</w:t>
      </w:r>
      <w:r w:rsidRPr="00935917">
        <w:rPr>
          <w:sz w:val="22"/>
          <w:szCs w:val="22"/>
        </w:rPr>
        <w:t xml:space="preserve">un choc uniforme, à la hausse et à la baisse, sur les fonds propres. Ces résultats sont produits sur la base de méthodologies propres à chaque établissement. </w:t>
      </w:r>
      <w:r w:rsidR="005B2FBD" w:rsidRPr="00935917">
        <w:rPr>
          <w:sz w:val="22"/>
          <w:szCs w:val="22"/>
        </w:rPr>
        <w:t>À</w:t>
      </w:r>
      <w:r w:rsidRPr="00935917">
        <w:rPr>
          <w:sz w:val="22"/>
          <w:szCs w:val="22"/>
        </w:rPr>
        <w:t xml:space="preserve"> titre d</w:t>
      </w:r>
      <w:r w:rsidR="001224E7" w:rsidRPr="00935917">
        <w:rPr>
          <w:sz w:val="22"/>
          <w:szCs w:val="22"/>
        </w:rPr>
        <w:t>’</w:t>
      </w:r>
      <w:r w:rsidRPr="00935917">
        <w:rPr>
          <w:sz w:val="22"/>
          <w:szCs w:val="22"/>
        </w:rPr>
        <w:t xml:space="preserve">exemple, cette annexe décrit les principales étapes des méthodes de calcul qui pourront être utilisées par les établissements. </w:t>
      </w:r>
    </w:p>
    <w:p w14:paraId="45466C68" w14:textId="77777777" w:rsidR="00463A1C" w:rsidRPr="00935917" w:rsidRDefault="00463A1C" w:rsidP="00992066">
      <w:pPr>
        <w:pStyle w:val="SGACP-textecourant"/>
        <w:rPr>
          <w:szCs w:val="22"/>
        </w:rPr>
      </w:pPr>
    </w:p>
    <w:p w14:paraId="39B9A2DB" w14:textId="77777777" w:rsidR="00463A1C" w:rsidRPr="00992066" w:rsidRDefault="00463A1C" w:rsidP="00992066">
      <w:pPr>
        <w:pStyle w:val="SGACP-sous-titrederubriquenivaeu2"/>
      </w:pPr>
      <w:r w:rsidRPr="00992066">
        <w:t>Calcul d</w:t>
      </w:r>
      <w:r w:rsidR="001224E7">
        <w:t>’</w:t>
      </w:r>
      <w:r w:rsidRPr="00992066">
        <w:t>un choc uniforme, à la hausse et à la baisse, sur les fonds propres</w:t>
      </w:r>
    </w:p>
    <w:p w14:paraId="21A97391" w14:textId="77777777" w:rsidR="00463A1C" w:rsidRDefault="00463A1C" w:rsidP="00463A1C"/>
    <w:p w14:paraId="7CC34A81" w14:textId="2E4B50FC" w:rsidR="00DB3714" w:rsidRPr="001D505C" w:rsidRDefault="00DB3714" w:rsidP="00463A1C">
      <w:pPr>
        <w:rPr>
          <w:sz w:val="22"/>
          <w:szCs w:val="22"/>
        </w:rPr>
      </w:pPr>
      <w:r w:rsidRPr="001D505C">
        <w:rPr>
          <w:sz w:val="22"/>
          <w:szCs w:val="22"/>
        </w:rPr>
        <w:t xml:space="preserve">Dans </w:t>
      </w:r>
      <w:r>
        <w:rPr>
          <w:sz w:val="22"/>
          <w:szCs w:val="22"/>
        </w:rPr>
        <w:t>l’</w:t>
      </w:r>
      <w:r w:rsidR="00936EC9">
        <w:rPr>
          <w:sz w:val="22"/>
          <w:szCs w:val="22"/>
        </w:rPr>
        <w:t xml:space="preserve">exemple suivant, </w:t>
      </w:r>
      <w:r>
        <w:rPr>
          <w:sz w:val="22"/>
          <w:szCs w:val="22"/>
        </w:rPr>
        <w:t xml:space="preserve">le choc retenu est </w:t>
      </w:r>
      <w:r w:rsidR="00936EC9">
        <w:rPr>
          <w:sz w:val="22"/>
          <w:szCs w:val="22"/>
        </w:rPr>
        <w:t xml:space="preserve">de 200 bp. </w:t>
      </w:r>
    </w:p>
    <w:p w14:paraId="6B0E25FB" w14:textId="77777777" w:rsidR="00DB3714" w:rsidRPr="00992066" w:rsidRDefault="00DB3714" w:rsidP="00463A1C"/>
    <w:p w14:paraId="18D3F669" w14:textId="77777777" w:rsidR="00463A1C" w:rsidRPr="00992066" w:rsidRDefault="00463A1C" w:rsidP="00992066">
      <w:pPr>
        <w:pStyle w:val="SGACP-textecourant"/>
      </w:pPr>
      <w:r w:rsidRPr="00992066">
        <w:rPr>
          <w:b/>
          <w:i/>
          <w:szCs w:val="22"/>
        </w:rPr>
        <w:t>1</w:t>
      </w:r>
      <w:r w:rsidRPr="00992066">
        <w:rPr>
          <w:b/>
          <w:i/>
          <w:szCs w:val="22"/>
          <w:vertAlign w:val="superscript"/>
        </w:rPr>
        <w:t>re</w:t>
      </w:r>
      <w:r w:rsidRPr="00992066">
        <w:rPr>
          <w:b/>
          <w:i/>
          <w:szCs w:val="22"/>
        </w:rPr>
        <w:t xml:space="preserve"> étape</w:t>
      </w:r>
      <w:r w:rsidRPr="00992066">
        <w:t> : répartition des lignes de bilan et de hors bilan en bandes de maturité et calcul d</w:t>
      </w:r>
      <w:r w:rsidR="001224E7">
        <w:t>’</w:t>
      </w:r>
      <w:r w:rsidRPr="00992066">
        <w:t>une position nette unique par bande de maturité en euros. Utilisation de la maturité résiduelle.</w:t>
      </w:r>
    </w:p>
    <w:p w14:paraId="16A0E719" w14:textId="77777777" w:rsidR="00463A1C" w:rsidRPr="00992066" w:rsidRDefault="00463A1C" w:rsidP="00992066">
      <w:pPr>
        <w:pStyle w:val="SGACP-textecourant"/>
      </w:pPr>
    </w:p>
    <w:p w14:paraId="35CE7277" w14:textId="77777777" w:rsidR="00463A1C" w:rsidRPr="007F2900" w:rsidRDefault="00463A1C" w:rsidP="00992066">
      <w:pPr>
        <w:pStyle w:val="SGACP-textecourant"/>
      </w:pPr>
      <w:r w:rsidRPr="00992066">
        <w:t>Les établissements pourront traiter certains actifs et passifs conformément aux éléments suivants :</w:t>
      </w:r>
      <w:r w:rsidRPr="007F2900">
        <w:t xml:space="preserve"> </w:t>
      </w:r>
    </w:p>
    <w:p w14:paraId="4C0A048A" w14:textId="77777777" w:rsidR="002A53BE" w:rsidRDefault="00463A1C">
      <w:pPr>
        <w:pStyle w:val="SGACP-enumerationniveau1"/>
        <w:ind w:left="284" w:hanging="284"/>
      </w:pPr>
      <w:r w:rsidRPr="007F2900">
        <w:t>inclusion des immobilisations et des fonds propres</w:t>
      </w:r>
      <w:r w:rsidR="000871E3">
        <w:t> ;</w:t>
      </w:r>
    </w:p>
    <w:p w14:paraId="375CFCA6" w14:textId="77777777" w:rsidR="002A53BE" w:rsidRDefault="00463A1C">
      <w:pPr>
        <w:pStyle w:val="SGACP-enumerationniveau1"/>
        <w:ind w:left="284" w:hanging="284"/>
      </w:pPr>
      <w:r w:rsidRPr="007F2900">
        <w:t>traitement des éléments du bilan et de hors bilan à leur valeur comptable. Le traitement du hors bilan peut se limiter aux engagements de financement retenus pour leur valeur nominale</w:t>
      </w:r>
      <w:r w:rsidR="000871E3">
        <w:t> ;</w:t>
      </w:r>
    </w:p>
    <w:p w14:paraId="05552FF8" w14:textId="77777777" w:rsidR="002A53BE" w:rsidRDefault="00463A1C">
      <w:pPr>
        <w:pStyle w:val="SGACP-enumerationniveau1"/>
        <w:ind w:left="284" w:hanging="284"/>
      </w:pPr>
      <w:r w:rsidRPr="007F2900">
        <w:t>les éléments de bilan et de hors bilan retenus peuvent ne pas tenir compte de données de production nouvelle. Les remboursements anticipés peuvent être pris en compte en fonction des données historiques propres</w:t>
      </w:r>
      <w:r w:rsidR="000871E3">
        <w:t> ;</w:t>
      </w:r>
    </w:p>
    <w:p w14:paraId="301DF165" w14:textId="77777777" w:rsidR="002A53BE" w:rsidRDefault="00463A1C">
      <w:pPr>
        <w:pStyle w:val="SGACP-enumerationniveau1"/>
        <w:ind w:left="284" w:hanging="284"/>
      </w:pPr>
      <w:r w:rsidRPr="007F2900">
        <w:t>prise en compte des instruments à taux fixes selon la maturité résiduelle et prise en compte des instruments à taux variable selon la maturité résiduelle jusqu</w:t>
      </w:r>
      <w:r w:rsidR="001224E7">
        <w:t>’</w:t>
      </w:r>
      <w:r w:rsidRPr="007F2900">
        <w:t>à la date du prochain fixing</w:t>
      </w:r>
      <w:r w:rsidR="000871E3">
        <w:t> ;</w:t>
      </w:r>
    </w:p>
    <w:p w14:paraId="07C2814B" w14:textId="77777777" w:rsidR="002A53BE" w:rsidRDefault="00463A1C">
      <w:pPr>
        <w:pStyle w:val="SGACP-enumerationniveau1"/>
        <w:ind w:left="284" w:hanging="284"/>
      </w:pPr>
      <w:r w:rsidRPr="007F2900">
        <w:t>les opérations de grand nombre et petite taille peuvent être estimées statistiquement</w:t>
      </w:r>
      <w:r w:rsidR="000871E3">
        <w:t> ;</w:t>
      </w:r>
    </w:p>
    <w:p w14:paraId="4BE6C64E" w14:textId="77777777" w:rsidR="002A53BE" w:rsidRDefault="00463A1C">
      <w:pPr>
        <w:pStyle w:val="SGACP-enumerationniveau1"/>
        <w:ind w:left="284" w:hanging="284"/>
      </w:pPr>
      <w:r w:rsidRPr="007F2900">
        <w:t>calcul des maturités des produits dérivés par rapport à celles des sous-jacents et conversion des produits optionnels en équivalent delta</w:t>
      </w:r>
      <w:r w:rsidR="000871E3">
        <w:t> ;</w:t>
      </w:r>
    </w:p>
    <w:p w14:paraId="6F5270AE" w14:textId="77777777" w:rsidR="002A53BE" w:rsidRDefault="00463A1C">
      <w:pPr>
        <w:pStyle w:val="SGACP-enumerationniveau1"/>
        <w:ind w:left="284" w:hanging="284"/>
      </w:pPr>
      <w:r w:rsidRPr="007F2900">
        <w:t>traitement des futures, forwards, y compris FRA, comme une combinaison d</w:t>
      </w:r>
      <w:r w:rsidR="001224E7">
        <w:t>’</w:t>
      </w:r>
      <w:r w:rsidRPr="007F2900">
        <w:t>une position courte et d</w:t>
      </w:r>
      <w:r w:rsidR="001224E7">
        <w:t>’</w:t>
      </w:r>
      <w:r w:rsidRPr="007F2900">
        <w:t>une position longue. La maturité d</w:t>
      </w:r>
      <w:r w:rsidR="001224E7">
        <w:t>’</w:t>
      </w:r>
      <w:r w:rsidRPr="007F2900">
        <w:t>un future ou d</w:t>
      </w:r>
      <w:r w:rsidR="001224E7">
        <w:t>’</w:t>
      </w:r>
      <w:r w:rsidRPr="007F2900">
        <w:t>un FRA peut être définie comme la période jusqu</w:t>
      </w:r>
      <w:r w:rsidR="001224E7">
        <w:t>’</w:t>
      </w:r>
      <w:r w:rsidRPr="007F2900">
        <w:t>à l</w:t>
      </w:r>
      <w:r w:rsidR="001224E7">
        <w:t>’</w:t>
      </w:r>
      <w:r w:rsidRPr="007F2900">
        <w:t>exercice du contrat plus, le cas échéant, celle de l</w:t>
      </w:r>
      <w:r w:rsidR="001224E7">
        <w:t>’</w:t>
      </w:r>
      <w:r w:rsidRPr="007F2900">
        <w:t>instrument sous-jacent</w:t>
      </w:r>
      <w:r w:rsidR="000871E3">
        <w:t> ;</w:t>
      </w:r>
    </w:p>
    <w:p w14:paraId="48B9B4F4" w14:textId="77777777" w:rsidR="002A53BE" w:rsidRDefault="00463A1C">
      <w:pPr>
        <w:pStyle w:val="SGACP-enumerationniveau1"/>
        <w:ind w:left="284" w:hanging="284"/>
      </w:pPr>
      <w:r w:rsidRPr="007F2900">
        <w:t xml:space="preserve">traitement des swaps comme deux positions notionnelles dont on retient les </w:t>
      </w:r>
      <w:r w:rsidR="000871E3" w:rsidRPr="007F2900">
        <w:t>maturités</w:t>
      </w:r>
      <w:r w:rsidR="000871E3">
        <w:t> </w:t>
      </w:r>
      <w:r w:rsidRPr="007F2900">
        <w:t>: à titre d</w:t>
      </w:r>
      <w:r w:rsidR="001224E7">
        <w:t>’</w:t>
      </w:r>
      <w:r w:rsidRPr="007F2900">
        <w:t>exemple, un swap pour lequel une banque reçoit le variable et paie le fixe peut être traité comme une position longue de maturité équivalente à la période jusqu</w:t>
      </w:r>
      <w:r w:rsidR="001224E7">
        <w:t>’</w:t>
      </w:r>
      <w:r w:rsidRPr="007F2900">
        <w:t>au prochain pricing et une position courte d</w:t>
      </w:r>
      <w:r w:rsidR="001224E7">
        <w:t>’</w:t>
      </w:r>
      <w:r w:rsidRPr="007F2900">
        <w:t>une maturité équivalente à la durée du swap</w:t>
      </w:r>
      <w:r w:rsidR="000871E3">
        <w:t> ;</w:t>
      </w:r>
    </w:p>
    <w:p w14:paraId="175FC44B" w14:textId="77777777" w:rsidR="002A53BE" w:rsidRDefault="00463A1C">
      <w:pPr>
        <w:pStyle w:val="SGACP-enumerationniveau1"/>
        <w:ind w:left="284" w:hanging="284"/>
      </w:pPr>
      <w:r w:rsidRPr="007F2900">
        <w:t>écoulement linéaire sur 10 ans des comptes courants débiteurs, livrets ordinaires, livrets jeunes, LEP, CEL, Codevi ou autres livrets et écoulement linéaire sur 8 ans des PEL (les PEL peuvent également faire l</w:t>
      </w:r>
      <w:r w:rsidR="001224E7">
        <w:t>’</w:t>
      </w:r>
      <w:r w:rsidRPr="007F2900">
        <w:t>objet de conventions d</w:t>
      </w:r>
      <w:r w:rsidR="001224E7">
        <w:t>’</w:t>
      </w:r>
      <w:r w:rsidRPr="007F2900">
        <w:t xml:space="preserve">écoulement variables selon la génération des contrats). </w:t>
      </w:r>
    </w:p>
    <w:p w14:paraId="4FFA27F1" w14:textId="77777777" w:rsidR="00992066" w:rsidRDefault="00992066" w:rsidP="00463A1C"/>
    <w:p w14:paraId="4ADB3951" w14:textId="77777777" w:rsidR="00463A1C" w:rsidRPr="007F2900" w:rsidRDefault="00463A1C" w:rsidP="00992066">
      <w:pPr>
        <w:pStyle w:val="SGACP-textecourant"/>
      </w:pPr>
      <w:r w:rsidRPr="00992066">
        <w:rPr>
          <w:b/>
          <w:bCs/>
          <w:i/>
          <w:iCs/>
        </w:rPr>
        <w:t>2</w:t>
      </w:r>
      <w:r w:rsidRPr="00992066">
        <w:rPr>
          <w:b/>
          <w:bCs/>
          <w:i/>
          <w:iCs/>
          <w:vertAlign w:val="superscript"/>
        </w:rPr>
        <w:t>e</w:t>
      </w:r>
      <w:r w:rsidRPr="00992066">
        <w:rPr>
          <w:b/>
          <w:bCs/>
          <w:i/>
          <w:iCs/>
        </w:rPr>
        <w:t xml:space="preserve"> étape</w:t>
      </w:r>
      <w:r w:rsidRPr="007F2900">
        <w:t> : assortir chaque position nette d</w:t>
      </w:r>
      <w:r w:rsidR="001224E7">
        <w:t>’</w:t>
      </w:r>
      <w:r w:rsidRPr="007F2900">
        <w:t>un facteur de pondération reflétant la sensibilité de chaque position à une variation donnée de taux d</w:t>
      </w:r>
      <w:r w:rsidR="001224E7">
        <w:t>’</w:t>
      </w:r>
      <w:r w:rsidRPr="007F2900">
        <w:t xml:space="preserve">intérêt. </w:t>
      </w:r>
      <w:r w:rsidR="000871E3">
        <w:t>À</w:t>
      </w:r>
      <w:r w:rsidR="000871E3" w:rsidRPr="007F2900">
        <w:t xml:space="preserve"> </w:t>
      </w:r>
      <w:r w:rsidRPr="007F2900">
        <w:t>titre d</w:t>
      </w:r>
      <w:r w:rsidR="001224E7">
        <w:t>’</w:t>
      </w:r>
      <w:r w:rsidRPr="007F2900">
        <w:t>exemple, dans le tableau ci-dessous, les facteurs de pondération sont fondés sur les hypothèses d</w:t>
      </w:r>
      <w:r w:rsidR="001224E7">
        <w:t>’</w:t>
      </w:r>
      <w:r w:rsidRPr="007F2900">
        <w:t>une hausse et d</w:t>
      </w:r>
      <w:r w:rsidR="001224E7">
        <w:t>’</w:t>
      </w:r>
      <w:r w:rsidRPr="007F2900">
        <w:t xml:space="preserve">une baisse </w:t>
      </w:r>
      <w:r w:rsidR="00CC750C" w:rsidRPr="007F2900">
        <w:t>de</w:t>
      </w:r>
      <w:r w:rsidR="00CC750C">
        <w:t xml:space="preserve"> </w:t>
      </w:r>
      <w:r w:rsidR="000871E3" w:rsidRPr="007F2900">
        <w:t>200</w:t>
      </w:r>
      <w:r w:rsidR="000871E3">
        <w:t> </w:t>
      </w:r>
      <w:r w:rsidRPr="007F2900">
        <w:t>points de base et d</w:t>
      </w:r>
      <w:r w:rsidR="001224E7">
        <w:t>’</w:t>
      </w:r>
      <w:r w:rsidRPr="007F2900">
        <w:t>un proxy de la duration modifiée sur des positions situées au milieu de chaque bande de maturité actualisées au taux de 5</w:t>
      </w:r>
      <w:r w:rsidR="000871E3">
        <w:t> %</w:t>
      </w:r>
      <w:r w:rsidRPr="007F2900">
        <w:t xml:space="preserve">. </w:t>
      </w:r>
      <w:r w:rsidR="000871E3" w:rsidRPr="007F2900">
        <w:t>8</w:t>
      </w:r>
      <w:r w:rsidR="000871E3">
        <w:t> </w:t>
      </w:r>
      <w:r w:rsidRPr="007F2900">
        <w:t>bandes de maturité sont ici retenues.</w:t>
      </w:r>
    </w:p>
    <w:p w14:paraId="5732C06D" w14:textId="77777777" w:rsidR="00463A1C" w:rsidRPr="007F2900" w:rsidRDefault="00463A1C" w:rsidP="00992066">
      <w:pPr>
        <w:pStyle w:val="SGACP-textecoura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29"/>
        <w:gridCol w:w="1729"/>
        <w:gridCol w:w="1729"/>
        <w:gridCol w:w="1729"/>
        <w:gridCol w:w="1729"/>
      </w:tblGrid>
      <w:tr w:rsidR="00463A1C" w:rsidRPr="001643CF" w14:paraId="78F6E599" w14:textId="77777777" w:rsidTr="001643CF">
        <w:tc>
          <w:tcPr>
            <w:tcW w:w="8645" w:type="dxa"/>
            <w:gridSpan w:val="5"/>
            <w:tcBorders>
              <w:top w:val="nil"/>
              <w:bottom w:val="single" w:sz="4" w:space="0" w:color="auto"/>
            </w:tcBorders>
          </w:tcPr>
          <w:p w14:paraId="510CF3EF" w14:textId="77777777" w:rsidR="00463A1C" w:rsidRPr="001643CF" w:rsidRDefault="00463A1C" w:rsidP="001643CF">
            <w:pPr>
              <w:keepNext/>
              <w:keepLines/>
              <w:spacing w:after="120"/>
              <w:jc w:val="left"/>
              <w:rPr>
                <w:rFonts w:ascii="Arial" w:hAnsi="Arial" w:cs="Arial"/>
                <w:b/>
                <w:sz w:val="18"/>
                <w:szCs w:val="18"/>
              </w:rPr>
            </w:pPr>
            <w:r w:rsidRPr="001643CF">
              <w:rPr>
                <w:rFonts w:ascii="Arial" w:hAnsi="Arial" w:cs="Arial"/>
                <w:b/>
                <w:sz w:val="18"/>
                <w:szCs w:val="18"/>
              </w:rPr>
              <w:t>Facteurs de pondération par bande de maturité d</w:t>
            </w:r>
            <w:r w:rsidR="001224E7">
              <w:rPr>
                <w:rFonts w:ascii="Arial" w:hAnsi="Arial" w:cs="Arial"/>
                <w:b/>
                <w:sz w:val="18"/>
                <w:szCs w:val="18"/>
              </w:rPr>
              <w:t>’</w:t>
            </w:r>
            <w:r w:rsidRPr="001643CF">
              <w:rPr>
                <w:rFonts w:ascii="Arial" w:hAnsi="Arial" w:cs="Arial"/>
                <w:b/>
                <w:sz w:val="18"/>
                <w:szCs w:val="18"/>
              </w:rPr>
              <w:t>un choc de taux à la hausse et à la baisse</w:t>
            </w:r>
          </w:p>
        </w:tc>
      </w:tr>
      <w:tr w:rsidR="00463A1C" w:rsidRPr="001643CF" w14:paraId="4430C080" w14:textId="77777777" w:rsidTr="001643CF">
        <w:trPr>
          <w:trHeight w:val="584"/>
        </w:trPr>
        <w:tc>
          <w:tcPr>
            <w:tcW w:w="1729" w:type="dxa"/>
            <w:tcBorders>
              <w:top w:val="single" w:sz="4" w:space="0" w:color="auto"/>
              <w:bottom w:val="single" w:sz="4" w:space="0" w:color="auto"/>
              <w:right w:val="nil"/>
            </w:tcBorders>
            <w:vAlign w:val="center"/>
          </w:tcPr>
          <w:p w14:paraId="32D30D41" w14:textId="77777777" w:rsidR="004A229A" w:rsidRDefault="00463A1C">
            <w:pPr>
              <w:keepNext/>
              <w:keepLines/>
              <w:jc w:val="center"/>
              <w:rPr>
                <w:rFonts w:ascii="Arial" w:hAnsi="Arial" w:cs="Arial"/>
                <w:sz w:val="18"/>
                <w:szCs w:val="18"/>
              </w:rPr>
            </w:pPr>
            <w:r w:rsidRPr="001643CF">
              <w:rPr>
                <w:rFonts w:ascii="Arial" w:hAnsi="Arial" w:cs="Arial"/>
                <w:sz w:val="18"/>
                <w:szCs w:val="18"/>
              </w:rPr>
              <w:t xml:space="preserve">Bande </w:t>
            </w:r>
            <w:r w:rsidR="00D67CC1">
              <w:rPr>
                <w:rFonts w:ascii="Arial" w:hAnsi="Arial" w:cs="Arial"/>
                <w:sz w:val="18"/>
                <w:szCs w:val="18"/>
              </w:rPr>
              <w:br/>
            </w:r>
            <w:r w:rsidRPr="001643CF">
              <w:rPr>
                <w:rFonts w:ascii="Arial" w:hAnsi="Arial" w:cs="Arial"/>
                <w:sz w:val="18"/>
                <w:szCs w:val="18"/>
              </w:rPr>
              <w:t>de maturité</w:t>
            </w:r>
          </w:p>
        </w:tc>
        <w:tc>
          <w:tcPr>
            <w:tcW w:w="1729" w:type="dxa"/>
            <w:tcBorders>
              <w:top w:val="single" w:sz="4" w:space="0" w:color="auto"/>
              <w:left w:val="nil"/>
              <w:bottom w:val="single" w:sz="4" w:space="0" w:color="auto"/>
              <w:right w:val="nil"/>
            </w:tcBorders>
            <w:vAlign w:val="center"/>
          </w:tcPr>
          <w:p w14:paraId="65B03507"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Centre de la bande de maturité</w:t>
            </w:r>
          </w:p>
        </w:tc>
        <w:tc>
          <w:tcPr>
            <w:tcW w:w="1729" w:type="dxa"/>
            <w:tcBorders>
              <w:top w:val="single" w:sz="4" w:space="0" w:color="auto"/>
              <w:left w:val="nil"/>
              <w:bottom w:val="single" w:sz="4" w:space="0" w:color="auto"/>
              <w:right w:val="nil"/>
            </w:tcBorders>
            <w:vAlign w:val="center"/>
          </w:tcPr>
          <w:p w14:paraId="33EF3326"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Proxy de la duration modifiée</w:t>
            </w:r>
          </w:p>
        </w:tc>
        <w:tc>
          <w:tcPr>
            <w:tcW w:w="1729" w:type="dxa"/>
            <w:tcBorders>
              <w:top w:val="single" w:sz="4" w:space="0" w:color="auto"/>
              <w:left w:val="nil"/>
              <w:bottom w:val="single" w:sz="4" w:space="0" w:color="auto"/>
              <w:right w:val="nil"/>
            </w:tcBorders>
            <w:vAlign w:val="center"/>
          </w:tcPr>
          <w:p w14:paraId="7A89F7F7"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 xml:space="preserve">Variation </w:t>
            </w:r>
            <w:r w:rsidR="001643CF">
              <w:rPr>
                <w:rFonts w:ascii="Arial" w:hAnsi="Arial" w:cs="Arial"/>
                <w:sz w:val="18"/>
                <w:szCs w:val="18"/>
              </w:rPr>
              <w:br/>
            </w:r>
            <w:r w:rsidRPr="001643CF">
              <w:rPr>
                <w:rFonts w:ascii="Arial" w:hAnsi="Arial" w:cs="Arial"/>
                <w:sz w:val="18"/>
                <w:szCs w:val="18"/>
              </w:rPr>
              <w:t>de taux</w:t>
            </w:r>
          </w:p>
        </w:tc>
        <w:tc>
          <w:tcPr>
            <w:tcW w:w="1729" w:type="dxa"/>
            <w:tcBorders>
              <w:top w:val="single" w:sz="4" w:space="0" w:color="auto"/>
              <w:left w:val="nil"/>
              <w:bottom w:val="single" w:sz="4" w:space="0" w:color="auto"/>
            </w:tcBorders>
            <w:vAlign w:val="center"/>
          </w:tcPr>
          <w:p w14:paraId="19FAC3A8" w14:textId="77777777" w:rsidR="004A229A" w:rsidRDefault="00463A1C">
            <w:pPr>
              <w:keepNext/>
              <w:keepLines/>
              <w:jc w:val="center"/>
              <w:rPr>
                <w:rFonts w:ascii="Arial" w:hAnsi="Arial" w:cs="Arial"/>
                <w:sz w:val="18"/>
                <w:szCs w:val="18"/>
              </w:rPr>
            </w:pPr>
            <w:r w:rsidRPr="001643CF">
              <w:rPr>
                <w:rFonts w:ascii="Arial" w:hAnsi="Arial" w:cs="Arial"/>
                <w:sz w:val="18"/>
                <w:szCs w:val="18"/>
              </w:rPr>
              <w:t xml:space="preserve">Facteur </w:t>
            </w:r>
            <w:r w:rsidR="00D67CC1">
              <w:rPr>
                <w:rFonts w:ascii="Arial" w:hAnsi="Arial" w:cs="Arial"/>
                <w:sz w:val="18"/>
                <w:szCs w:val="18"/>
              </w:rPr>
              <w:br/>
            </w:r>
            <w:r w:rsidRPr="001643CF">
              <w:rPr>
                <w:rFonts w:ascii="Arial" w:hAnsi="Arial" w:cs="Arial"/>
                <w:sz w:val="18"/>
                <w:szCs w:val="18"/>
              </w:rPr>
              <w:t>de pondération</w:t>
            </w:r>
          </w:p>
        </w:tc>
      </w:tr>
      <w:tr w:rsidR="00463A1C" w:rsidRPr="001643CF" w14:paraId="09F2A67B" w14:textId="77777777" w:rsidTr="001643CF">
        <w:tc>
          <w:tcPr>
            <w:tcW w:w="1729" w:type="dxa"/>
            <w:tcBorders>
              <w:bottom w:val="single" w:sz="4" w:space="0" w:color="auto"/>
              <w:right w:val="nil"/>
            </w:tcBorders>
          </w:tcPr>
          <w:p w14:paraId="1D55B862"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Moins de 3 mois</w:t>
            </w:r>
          </w:p>
        </w:tc>
        <w:tc>
          <w:tcPr>
            <w:tcW w:w="1729" w:type="dxa"/>
            <w:tcBorders>
              <w:left w:val="nil"/>
              <w:bottom w:val="single" w:sz="4" w:space="0" w:color="auto"/>
              <w:right w:val="nil"/>
            </w:tcBorders>
          </w:tcPr>
          <w:p w14:paraId="7C8F3ED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1,5 mois</w:t>
            </w:r>
          </w:p>
        </w:tc>
        <w:tc>
          <w:tcPr>
            <w:tcW w:w="1729" w:type="dxa"/>
            <w:tcBorders>
              <w:left w:val="nil"/>
              <w:bottom w:val="single" w:sz="4" w:space="0" w:color="auto"/>
              <w:right w:val="nil"/>
            </w:tcBorders>
          </w:tcPr>
          <w:p w14:paraId="1E69F979"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0,12</w:t>
            </w:r>
          </w:p>
        </w:tc>
        <w:tc>
          <w:tcPr>
            <w:tcW w:w="1729" w:type="dxa"/>
            <w:tcBorders>
              <w:left w:val="nil"/>
              <w:bottom w:val="single" w:sz="4" w:space="0" w:color="auto"/>
              <w:right w:val="nil"/>
            </w:tcBorders>
          </w:tcPr>
          <w:p w14:paraId="6294621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7184AD20"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- 0,24%</w:t>
            </w:r>
          </w:p>
        </w:tc>
      </w:tr>
      <w:tr w:rsidR="00463A1C" w:rsidRPr="001643CF" w14:paraId="38C42741" w14:textId="77777777" w:rsidTr="001643CF">
        <w:tc>
          <w:tcPr>
            <w:tcW w:w="1729" w:type="dxa"/>
            <w:tcBorders>
              <w:bottom w:val="single" w:sz="4" w:space="0" w:color="auto"/>
              <w:right w:val="nil"/>
            </w:tcBorders>
          </w:tcPr>
          <w:p w14:paraId="3CE967EB"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6 mois</w:t>
            </w:r>
          </w:p>
        </w:tc>
        <w:tc>
          <w:tcPr>
            <w:tcW w:w="1729" w:type="dxa"/>
            <w:tcBorders>
              <w:left w:val="nil"/>
              <w:bottom w:val="single" w:sz="4" w:space="0" w:color="auto"/>
              <w:right w:val="nil"/>
            </w:tcBorders>
          </w:tcPr>
          <w:p w14:paraId="614474C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4,5 mois</w:t>
            </w:r>
          </w:p>
        </w:tc>
        <w:tc>
          <w:tcPr>
            <w:tcW w:w="1729" w:type="dxa"/>
            <w:tcBorders>
              <w:left w:val="nil"/>
              <w:bottom w:val="single" w:sz="4" w:space="0" w:color="auto"/>
              <w:right w:val="nil"/>
            </w:tcBorders>
          </w:tcPr>
          <w:p w14:paraId="1A41621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0,36</w:t>
            </w:r>
          </w:p>
        </w:tc>
        <w:tc>
          <w:tcPr>
            <w:tcW w:w="1729" w:type="dxa"/>
            <w:tcBorders>
              <w:left w:val="nil"/>
              <w:bottom w:val="single" w:sz="4" w:space="0" w:color="auto"/>
              <w:right w:val="nil"/>
            </w:tcBorders>
          </w:tcPr>
          <w:p w14:paraId="595CFE1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5F8CD494"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- 0,72%</w:t>
            </w:r>
          </w:p>
        </w:tc>
      </w:tr>
      <w:tr w:rsidR="00463A1C" w:rsidRPr="001643CF" w14:paraId="74D61360" w14:textId="77777777" w:rsidTr="001643CF">
        <w:tc>
          <w:tcPr>
            <w:tcW w:w="1729" w:type="dxa"/>
            <w:tcBorders>
              <w:bottom w:val="single" w:sz="4" w:space="0" w:color="auto"/>
              <w:right w:val="nil"/>
            </w:tcBorders>
          </w:tcPr>
          <w:p w14:paraId="5822BB42"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6 mois à un an</w:t>
            </w:r>
          </w:p>
        </w:tc>
        <w:tc>
          <w:tcPr>
            <w:tcW w:w="1729" w:type="dxa"/>
            <w:tcBorders>
              <w:left w:val="nil"/>
              <w:bottom w:val="single" w:sz="4" w:space="0" w:color="auto"/>
              <w:right w:val="nil"/>
            </w:tcBorders>
          </w:tcPr>
          <w:p w14:paraId="4776BA3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9 mois</w:t>
            </w:r>
          </w:p>
        </w:tc>
        <w:tc>
          <w:tcPr>
            <w:tcW w:w="1729" w:type="dxa"/>
            <w:tcBorders>
              <w:left w:val="nil"/>
              <w:bottom w:val="single" w:sz="4" w:space="0" w:color="auto"/>
              <w:right w:val="nil"/>
            </w:tcBorders>
          </w:tcPr>
          <w:p w14:paraId="30D32873"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0,71</w:t>
            </w:r>
          </w:p>
        </w:tc>
        <w:tc>
          <w:tcPr>
            <w:tcW w:w="1729" w:type="dxa"/>
            <w:tcBorders>
              <w:left w:val="nil"/>
              <w:bottom w:val="single" w:sz="4" w:space="0" w:color="auto"/>
              <w:right w:val="nil"/>
            </w:tcBorders>
          </w:tcPr>
          <w:p w14:paraId="2FC39467"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7D20F7F9"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- 1,43%</w:t>
            </w:r>
          </w:p>
        </w:tc>
      </w:tr>
      <w:tr w:rsidR="00463A1C" w:rsidRPr="001643CF" w14:paraId="3253FC9F" w14:textId="77777777" w:rsidTr="001643CF">
        <w:tc>
          <w:tcPr>
            <w:tcW w:w="1729" w:type="dxa"/>
            <w:tcBorders>
              <w:bottom w:val="single" w:sz="4" w:space="0" w:color="auto"/>
              <w:right w:val="nil"/>
            </w:tcBorders>
          </w:tcPr>
          <w:p w14:paraId="53B236E5"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 à 3 ans</w:t>
            </w:r>
          </w:p>
        </w:tc>
        <w:tc>
          <w:tcPr>
            <w:tcW w:w="1729" w:type="dxa"/>
            <w:tcBorders>
              <w:left w:val="nil"/>
              <w:bottom w:val="single" w:sz="4" w:space="0" w:color="auto"/>
              <w:right w:val="nil"/>
            </w:tcBorders>
          </w:tcPr>
          <w:p w14:paraId="76F0D41E"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2 ans</w:t>
            </w:r>
          </w:p>
        </w:tc>
        <w:tc>
          <w:tcPr>
            <w:tcW w:w="1729" w:type="dxa"/>
            <w:tcBorders>
              <w:left w:val="nil"/>
              <w:bottom w:val="single" w:sz="4" w:space="0" w:color="auto"/>
              <w:right w:val="nil"/>
            </w:tcBorders>
          </w:tcPr>
          <w:p w14:paraId="10067671"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1,83</w:t>
            </w:r>
          </w:p>
        </w:tc>
        <w:tc>
          <w:tcPr>
            <w:tcW w:w="1729" w:type="dxa"/>
            <w:tcBorders>
              <w:left w:val="nil"/>
              <w:bottom w:val="single" w:sz="4" w:space="0" w:color="auto"/>
              <w:right w:val="nil"/>
            </w:tcBorders>
          </w:tcPr>
          <w:p w14:paraId="62FA841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3FAB868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- 3,66%</w:t>
            </w:r>
          </w:p>
        </w:tc>
      </w:tr>
      <w:tr w:rsidR="00463A1C" w:rsidRPr="001643CF" w14:paraId="7FEE6B66" w14:textId="77777777" w:rsidTr="001643CF">
        <w:tc>
          <w:tcPr>
            <w:tcW w:w="1729" w:type="dxa"/>
            <w:tcBorders>
              <w:bottom w:val="single" w:sz="4" w:space="0" w:color="auto"/>
              <w:right w:val="nil"/>
            </w:tcBorders>
          </w:tcPr>
          <w:p w14:paraId="5B0F3FF8"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5 ans</w:t>
            </w:r>
          </w:p>
        </w:tc>
        <w:tc>
          <w:tcPr>
            <w:tcW w:w="1729" w:type="dxa"/>
            <w:tcBorders>
              <w:left w:val="nil"/>
              <w:bottom w:val="single" w:sz="4" w:space="0" w:color="auto"/>
              <w:right w:val="nil"/>
            </w:tcBorders>
          </w:tcPr>
          <w:p w14:paraId="7315EF9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 ans</w:t>
            </w:r>
          </w:p>
        </w:tc>
        <w:tc>
          <w:tcPr>
            <w:tcW w:w="1729" w:type="dxa"/>
            <w:tcBorders>
              <w:left w:val="nil"/>
              <w:bottom w:val="single" w:sz="4" w:space="0" w:color="auto"/>
              <w:right w:val="nil"/>
            </w:tcBorders>
          </w:tcPr>
          <w:p w14:paraId="2B96A17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3,55</w:t>
            </w:r>
          </w:p>
        </w:tc>
        <w:tc>
          <w:tcPr>
            <w:tcW w:w="1729" w:type="dxa"/>
            <w:tcBorders>
              <w:left w:val="nil"/>
              <w:bottom w:val="single" w:sz="4" w:space="0" w:color="auto"/>
              <w:right w:val="nil"/>
            </w:tcBorders>
          </w:tcPr>
          <w:p w14:paraId="4CBE4CFE"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3B9C8D8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- 7,09%</w:t>
            </w:r>
          </w:p>
        </w:tc>
      </w:tr>
      <w:tr w:rsidR="00463A1C" w:rsidRPr="001643CF" w14:paraId="374CBA44" w14:textId="77777777" w:rsidTr="001643CF">
        <w:tc>
          <w:tcPr>
            <w:tcW w:w="1729" w:type="dxa"/>
            <w:tcBorders>
              <w:bottom w:val="single" w:sz="4" w:space="0" w:color="auto"/>
              <w:right w:val="nil"/>
            </w:tcBorders>
          </w:tcPr>
          <w:p w14:paraId="789B35D1"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5 à 10 ans</w:t>
            </w:r>
          </w:p>
        </w:tc>
        <w:tc>
          <w:tcPr>
            <w:tcW w:w="1729" w:type="dxa"/>
            <w:tcBorders>
              <w:left w:val="nil"/>
              <w:bottom w:val="single" w:sz="4" w:space="0" w:color="auto"/>
              <w:right w:val="nil"/>
            </w:tcBorders>
          </w:tcPr>
          <w:p w14:paraId="756C863D"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7,5 ans</w:t>
            </w:r>
          </w:p>
        </w:tc>
        <w:tc>
          <w:tcPr>
            <w:tcW w:w="1729" w:type="dxa"/>
            <w:tcBorders>
              <w:left w:val="nil"/>
              <w:bottom w:val="single" w:sz="4" w:space="0" w:color="auto"/>
              <w:right w:val="nil"/>
            </w:tcBorders>
          </w:tcPr>
          <w:p w14:paraId="5F66C0F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6,09</w:t>
            </w:r>
          </w:p>
        </w:tc>
        <w:tc>
          <w:tcPr>
            <w:tcW w:w="1729" w:type="dxa"/>
            <w:tcBorders>
              <w:left w:val="nil"/>
              <w:bottom w:val="single" w:sz="4" w:space="0" w:color="auto"/>
              <w:right w:val="nil"/>
            </w:tcBorders>
          </w:tcPr>
          <w:p w14:paraId="0406298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2%</w:t>
            </w:r>
          </w:p>
        </w:tc>
        <w:tc>
          <w:tcPr>
            <w:tcW w:w="1729" w:type="dxa"/>
            <w:tcBorders>
              <w:left w:val="nil"/>
              <w:bottom w:val="single" w:sz="4" w:space="0" w:color="auto"/>
            </w:tcBorders>
          </w:tcPr>
          <w:p w14:paraId="7B744A20"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- 12,17%</w:t>
            </w:r>
          </w:p>
        </w:tc>
      </w:tr>
      <w:tr w:rsidR="00463A1C" w:rsidRPr="001643CF" w14:paraId="368B1E92" w14:textId="77777777" w:rsidTr="001643CF">
        <w:tc>
          <w:tcPr>
            <w:tcW w:w="1729" w:type="dxa"/>
            <w:tcBorders>
              <w:bottom w:val="single" w:sz="4" w:space="0" w:color="auto"/>
              <w:right w:val="nil"/>
            </w:tcBorders>
          </w:tcPr>
          <w:p w14:paraId="15929A4C"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10 à 15 ans</w:t>
            </w:r>
          </w:p>
        </w:tc>
        <w:tc>
          <w:tcPr>
            <w:tcW w:w="1729" w:type="dxa"/>
            <w:tcBorders>
              <w:left w:val="nil"/>
              <w:bottom w:val="single" w:sz="4" w:space="0" w:color="auto"/>
              <w:right w:val="nil"/>
            </w:tcBorders>
          </w:tcPr>
          <w:p w14:paraId="3436160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12,5 ans</w:t>
            </w:r>
          </w:p>
        </w:tc>
        <w:tc>
          <w:tcPr>
            <w:tcW w:w="1729" w:type="dxa"/>
            <w:tcBorders>
              <w:left w:val="nil"/>
              <w:bottom w:val="single" w:sz="4" w:space="0" w:color="auto"/>
              <w:right w:val="nil"/>
            </w:tcBorders>
          </w:tcPr>
          <w:p w14:paraId="19F8AC4B"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8,92</w:t>
            </w:r>
          </w:p>
        </w:tc>
        <w:tc>
          <w:tcPr>
            <w:tcW w:w="1729" w:type="dxa"/>
            <w:tcBorders>
              <w:left w:val="nil"/>
              <w:bottom w:val="single" w:sz="4" w:space="0" w:color="auto"/>
              <w:right w:val="nil"/>
            </w:tcBorders>
          </w:tcPr>
          <w:p w14:paraId="73F67C3B"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5208CC1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- 17,84%</w:t>
            </w:r>
          </w:p>
        </w:tc>
      </w:tr>
      <w:tr w:rsidR="00463A1C" w:rsidRPr="001643CF" w14:paraId="2944CD14" w14:textId="77777777" w:rsidTr="001643CF">
        <w:tc>
          <w:tcPr>
            <w:tcW w:w="1729" w:type="dxa"/>
            <w:tcBorders>
              <w:bottom w:val="single" w:sz="4" w:space="0" w:color="auto"/>
              <w:right w:val="nil"/>
            </w:tcBorders>
          </w:tcPr>
          <w:p w14:paraId="12209D0F"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Plus de 15 ans</w:t>
            </w:r>
          </w:p>
        </w:tc>
        <w:tc>
          <w:tcPr>
            <w:tcW w:w="1729" w:type="dxa"/>
            <w:tcBorders>
              <w:left w:val="nil"/>
              <w:bottom w:val="single" w:sz="4" w:space="0" w:color="auto"/>
              <w:right w:val="nil"/>
            </w:tcBorders>
          </w:tcPr>
          <w:p w14:paraId="0836100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17,5 ans</w:t>
            </w:r>
          </w:p>
        </w:tc>
        <w:tc>
          <w:tcPr>
            <w:tcW w:w="1729" w:type="dxa"/>
            <w:tcBorders>
              <w:left w:val="nil"/>
              <w:bottom w:val="single" w:sz="4" w:space="0" w:color="auto"/>
              <w:right w:val="nil"/>
            </w:tcBorders>
          </w:tcPr>
          <w:p w14:paraId="1D10E21D"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11,21</w:t>
            </w:r>
          </w:p>
        </w:tc>
        <w:tc>
          <w:tcPr>
            <w:tcW w:w="1729" w:type="dxa"/>
            <w:tcBorders>
              <w:left w:val="nil"/>
              <w:bottom w:val="single" w:sz="4" w:space="0" w:color="auto"/>
              <w:right w:val="nil"/>
            </w:tcBorders>
          </w:tcPr>
          <w:p w14:paraId="2BBF2DA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6047459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- 22,43%</w:t>
            </w:r>
          </w:p>
        </w:tc>
      </w:tr>
    </w:tbl>
    <w:p w14:paraId="4F7C4657" w14:textId="77777777" w:rsidR="00463A1C" w:rsidRPr="007F2900" w:rsidRDefault="00463A1C" w:rsidP="00463A1C"/>
    <w:p w14:paraId="6DA35BC8" w14:textId="77777777" w:rsidR="00463A1C" w:rsidRPr="007F2900" w:rsidRDefault="00463A1C" w:rsidP="001643CF">
      <w:pPr>
        <w:pStyle w:val="SGACP-textecourant"/>
      </w:pPr>
      <w:r w:rsidRPr="001643CF">
        <w:rPr>
          <w:b/>
          <w:bCs/>
          <w:i/>
          <w:iCs/>
        </w:rPr>
        <w:t>3</w:t>
      </w:r>
      <w:r w:rsidRPr="001643CF">
        <w:rPr>
          <w:b/>
          <w:bCs/>
          <w:i/>
          <w:iCs/>
          <w:vertAlign w:val="superscript"/>
        </w:rPr>
        <w:t>e</w:t>
      </w:r>
      <w:r w:rsidRPr="001643CF">
        <w:rPr>
          <w:b/>
          <w:bCs/>
          <w:i/>
          <w:iCs/>
        </w:rPr>
        <w:t xml:space="preserve"> étape</w:t>
      </w:r>
      <w:r w:rsidRPr="007F2900">
        <w:t xml:space="preserve"> : somme des positions pondérées pour conduire à une position nette courte ou longue du portefeuille bancaire (défini comme couvrant les activités autres que de négociation) dans la devise donnée </w:t>
      </w:r>
      <w:r w:rsidR="001224E7">
        <w:t>– </w:t>
      </w:r>
      <w:r w:rsidRPr="007F2900">
        <w:t xml:space="preserve">toute devise constituant plus de </w:t>
      </w:r>
      <w:r w:rsidR="000871E3" w:rsidRPr="007F2900">
        <w:t>5</w:t>
      </w:r>
      <w:r w:rsidR="000871E3">
        <w:t> </w:t>
      </w:r>
      <w:r w:rsidRPr="007F2900">
        <w:t>% du portefeuille bancaire peut être reportée séparément</w:t>
      </w:r>
      <w:r w:rsidR="007023B9">
        <w:t>.</w:t>
      </w:r>
    </w:p>
    <w:p w14:paraId="2F05023E" w14:textId="77777777" w:rsidR="00463A1C" w:rsidRPr="007F2900" w:rsidRDefault="00463A1C" w:rsidP="00463A1C"/>
    <w:p w14:paraId="6E33BE4A" w14:textId="77777777" w:rsidR="00463A1C" w:rsidRPr="007F2900"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 </w:t>
      </w:r>
      <w:r w:rsidRPr="007F2900">
        <w:t>: calcul de la position pondérée de tout le portefeuille bancaire en sommant les positions des différentes devises</w:t>
      </w:r>
      <w:r w:rsidR="007023B9">
        <w:t>.</w:t>
      </w:r>
    </w:p>
    <w:p w14:paraId="52181ECF" w14:textId="77777777" w:rsidR="00463A1C" w:rsidRPr="007F2900" w:rsidRDefault="00463A1C" w:rsidP="00463A1C"/>
    <w:p w14:paraId="0262C3D8" w14:textId="77777777" w:rsidR="00463A1C" w:rsidRPr="007F2900" w:rsidRDefault="00463A1C" w:rsidP="001643CF">
      <w:pPr>
        <w:pStyle w:val="SGACP-textecourant"/>
      </w:pPr>
      <w:r w:rsidRPr="001643CF">
        <w:rPr>
          <w:b/>
          <w:bCs/>
          <w:i/>
          <w:iCs/>
        </w:rPr>
        <w:t>5</w:t>
      </w:r>
      <w:r w:rsidRPr="001643CF">
        <w:rPr>
          <w:b/>
          <w:bCs/>
          <w:i/>
          <w:iCs/>
          <w:vertAlign w:val="superscript"/>
        </w:rPr>
        <w:t>e</w:t>
      </w:r>
      <w:r w:rsidRPr="001643CF">
        <w:rPr>
          <w:b/>
          <w:bCs/>
          <w:i/>
          <w:iCs/>
        </w:rPr>
        <w:t xml:space="preserve"> étape</w:t>
      </w:r>
      <w:r w:rsidRPr="007F2900">
        <w:t> : comparaison de la position pondérée du portefeuille avec les fonds propres (Tier</w:t>
      </w:r>
      <w:r w:rsidR="001643CF">
        <w:t> </w:t>
      </w:r>
      <w:r w:rsidRPr="007F2900">
        <w:t>1 et Tier</w:t>
      </w:r>
      <w:r w:rsidR="001643CF">
        <w:t> </w:t>
      </w:r>
      <w:r w:rsidRPr="007F2900">
        <w:t xml:space="preserve">2). </w:t>
      </w:r>
    </w:p>
    <w:p w14:paraId="21FFE460" w14:textId="77777777" w:rsidR="00463A1C" w:rsidRPr="007F2900" w:rsidRDefault="00463A1C" w:rsidP="00463A1C"/>
    <w:p w14:paraId="70E90579" w14:textId="77777777" w:rsidR="00463A1C" w:rsidRPr="007F2900" w:rsidRDefault="00463A1C" w:rsidP="00463A1C"/>
    <w:p w14:paraId="3683F88E" w14:textId="77777777" w:rsidR="00463A1C" w:rsidRPr="007F2900" w:rsidRDefault="00463A1C" w:rsidP="001643CF">
      <w:pPr>
        <w:pStyle w:val="SGACP-sous-titrederubriquenivaeu2"/>
      </w:pPr>
      <w:r w:rsidRPr="007F2900">
        <w:t>Calcul d</w:t>
      </w:r>
      <w:r w:rsidR="001224E7">
        <w:t>’</w:t>
      </w:r>
      <w:r w:rsidRPr="007F2900">
        <w:t>un choc uniforme de 200 bp à un an sur le PNB courant</w:t>
      </w:r>
    </w:p>
    <w:p w14:paraId="7FE33454" w14:textId="77777777" w:rsidR="00463A1C" w:rsidRPr="007F2900" w:rsidRDefault="00463A1C" w:rsidP="00463A1C"/>
    <w:p w14:paraId="4A5B6510" w14:textId="77777777" w:rsidR="00463A1C" w:rsidRPr="007F2900" w:rsidRDefault="00463A1C" w:rsidP="001643CF">
      <w:pPr>
        <w:pStyle w:val="SGACP-textecourant"/>
      </w:pPr>
      <w:r w:rsidRPr="001643CF">
        <w:rPr>
          <w:b/>
          <w:bCs/>
          <w:i/>
          <w:iCs/>
        </w:rPr>
        <w:t>1</w:t>
      </w:r>
      <w:r w:rsidR="00932AF1">
        <w:rPr>
          <w:b/>
          <w:bCs/>
          <w:i/>
          <w:iCs/>
          <w:vertAlign w:val="superscript"/>
        </w:rPr>
        <w:t>r</w:t>
      </w:r>
      <w:r w:rsidRPr="001643CF">
        <w:rPr>
          <w:b/>
          <w:bCs/>
          <w:i/>
          <w:iCs/>
          <w:vertAlign w:val="superscript"/>
        </w:rPr>
        <w:t>e</w:t>
      </w:r>
      <w:r w:rsidRPr="001643CF">
        <w:rPr>
          <w:b/>
          <w:bCs/>
          <w:i/>
          <w:iCs/>
        </w:rPr>
        <w:t xml:space="preserve"> étape</w:t>
      </w:r>
      <w:r w:rsidRPr="007F2900">
        <w:t> : répartition des lignes de bilan et de hors bilan exposées au risque de taux d</w:t>
      </w:r>
      <w:r w:rsidR="001224E7">
        <w:t>’</w:t>
      </w:r>
      <w:r w:rsidRPr="007F2900">
        <w:t>intérêt par bandes de maturité (moins de 3</w:t>
      </w:r>
      <w:r w:rsidR="001643CF">
        <w:t> </w:t>
      </w:r>
      <w:r w:rsidRPr="007F2900">
        <w:t>mois, 3 à 6</w:t>
      </w:r>
      <w:r w:rsidR="001643CF">
        <w:t> </w:t>
      </w:r>
      <w:r w:rsidRPr="007F2900">
        <w:t>mois, 6</w:t>
      </w:r>
      <w:r w:rsidR="001643CF">
        <w:t> </w:t>
      </w:r>
      <w:r w:rsidRPr="007F2900">
        <w:t>mois à un an) en euros jusqu</w:t>
      </w:r>
      <w:r w:rsidR="001224E7">
        <w:t>’</w:t>
      </w:r>
      <w:r w:rsidRPr="007F2900">
        <w:t>à un an.</w:t>
      </w:r>
    </w:p>
    <w:p w14:paraId="2F40FC0B" w14:textId="77777777" w:rsidR="00463A1C" w:rsidRPr="007F2900" w:rsidRDefault="00463A1C" w:rsidP="001643CF">
      <w:pPr>
        <w:pStyle w:val="SGACP-textecourant"/>
      </w:pPr>
    </w:p>
    <w:p w14:paraId="6B11F4AE" w14:textId="77777777" w:rsidR="00463A1C" w:rsidRPr="007F2900" w:rsidRDefault="00463A1C" w:rsidP="001643CF">
      <w:pPr>
        <w:pStyle w:val="SGACP-textecourant"/>
      </w:pPr>
      <w:r w:rsidRPr="001643CF">
        <w:rPr>
          <w:b/>
          <w:bCs/>
          <w:i/>
          <w:iCs/>
        </w:rPr>
        <w:t>2</w:t>
      </w:r>
      <w:r w:rsidRPr="001643CF">
        <w:rPr>
          <w:b/>
          <w:bCs/>
          <w:i/>
          <w:iCs/>
          <w:vertAlign w:val="superscript"/>
        </w:rPr>
        <w:t>e</w:t>
      </w:r>
      <w:r w:rsidRPr="001643CF">
        <w:rPr>
          <w:b/>
          <w:bCs/>
          <w:i/>
          <w:iCs/>
        </w:rPr>
        <w:t xml:space="preserve"> étape</w:t>
      </w:r>
      <w:r w:rsidRPr="007F2900">
        <w:t xml:space="preserve"> : calcul des gaps entre actifs et passifs par bande de maturité. </w:t>
      </w:r>
    </w:p>
    <w:p w14:paraId="2AE4AA61" w14:textId="77777777" w:rsidR="00463A1C" w:rsidRPr="007F2900" w:rsidRDefault="00463A1C" w:rsidP="001643CF">
      <w:pPr>
        <w:pStyle w:val="SGACP-textecourant"/>
      </w:pPr>
    </w:p>
    <w:p w14:paraId="216905C2" w14:textId="77777777" w:rsidR="00463A1C" w:rsidRPr="007F2900" w:rsidRDefault="00463A1C" w:rsidP="001643CF">
      <w:pPr>
        <w:pStyle w:val="SGACP-textecourant"/>
      </w:pPr>
      <w:r w:rsidRPr="001643CF">
        <w:rPr>
          <w:b/>
          <w:bCs/>
          <w:i/>
          <w:iCs/>
        </w:rPr>
        <w:t>3</w:t>
      </w:r>
      <w:r w:rsidR="00932AF1">
        <w:rPr>
          <w:b/>
          <w:bCs/>
          <w:i/>
          <w:iCs/>
          <w:vertAlign w:val="superscript"/>
        </w:rPr>
        <w:t>e</w:t>
      </w:r>
      <w:r w:rsidRPr="001643CF">
        <w:rPr>
          <w:b/>
          <w:bCs/>
          <w:i/>
          <w:iCs/>
        </w:rPr>
        <w:t xml:space="preserve"> étape</w:t>
      </w:r>
      <w:r w:rsidRPr="007F2900">
        <w:t> : (somme des gaps obtenus) × 2</w:t>
      </w:r>
      <w:r w:rsidR="001643CF">
        <w:t> </w:t>
      </w:r>
      <w:r w:rsidRPr="007F2900">
        <w:t>%</w:t>
      </w:r>
      <w:r w:rsidR="007023B9">
        <w:t>.</w:t>
      </w:r>
    </w:p>
    <w:p w14:paraId="550EB7FF" w14:textId="77777777" w:rsidR="00463A1C" w:rsidRPr="007F2900" w:rsidRDefault="00463A1C" w:rsidP="001643CF">
      <w:pPr>
        <w:pStyle w:val="SGACP-textecourant"/>
      </w:pPr>
    </w:p>
    <w:p w14:paraId="30B58748" w14:textId="77777777" w:rsidR="00463A1C"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w:t>
      </w:r>
      <w:r w:rsidRPr="007F2900">
        <w:t> : comparaison du montant obtenu avec le PNB de l</w:t>
      </w:r>
      <w:r w:rsidR="001224E7">
        <w:t>’</w:t>
      </w:r>
      <w:r w:rsidRPr="007F2900">
        <w:t>exercice</w:t>
      </w:r>
      <w:r w:rsidR="007023B9">
        <w:t>.</w:t>
      </w:r>
    </w:p>
    <w:p w14:paraId="3F13A03C" w14:textId="77777777" w:rsidR="001643CF" w:rsidRPr="007F2900" w:rsidRDefault="001643CF" w:rsidP="001643CF">
      <w:pPr>
        <w:pStyle w:val="SGACP-textecourant"/>
      </w:pPr>
    </w:p>
    <w:p w14:paraId="6EF6F7C9" w14:textId="77777777" w:rsidR="00463A1C" w:rsidRDefault="00463A1C" w:rsidP="00463A1C"/>
    <w:p w14:paraId="138CB9A2" w14:textId="77777777" w:rsidR="0054559D" w:rsidRDefault="0054559D" w:rsidP="00463A1C"/>
    <w:p w14:paraId="18BA26A3" w14:textId="77777777" w:rsidR="0054559D" w:rsidRPr="00935917" w:rsidRDefault="0054559D" w:rsidP="006B425D">
      <w:pPr>
        <w:rPr>
          <w:sz w:val="22"/>
        </w:rPr>
        <w:sectPr w:rsidR="0054559D" w:rsidRPr="00935917" w:rsidSect="00BB6AE4">
          <w:headerReference w:type="default" r:id="rId20"/>
          <w:footerReference w:type="even" r:id="rId21"/>
          <w:footerReference w:type="default" r:id="rId22"/>
          <w:footerReference w:type="first" r:id="rId23"/>
          <w:pgSz w:w="11906" w:h="16838"/>
          <w:pgMar w:top="1134" w:right="1134" w:bottom="964" w:left="1134" w:header="720" w:footer="720" w:gutter="0"/>
          <w:cols w:space="720"/>
          <w:docGrid w:linePitch="326"/>
        </w:sectPr>
      </w:pPr>
    </w:p>
    <w:p w14:paraId="38690A31" w14:textId="318055E7" w:rsidR="0009005A" w:rsidRDefault="00F55976">
      <w:pPr>
        <w:pStyle w:val="StyleSGACP-titrederubriqueniveau1CouleurpersonnaliseRVB"/>
        <w:numPr>
          <w:ilvl w:val="0"/>
          <w:numId w:val="0"/>
        </w:numPr>
        <w:jc w:val="right"/>
      </w:pPr>
      <w:bookmarkStart w:id="265" w:name="_Toc340481806"/>
      <w:bookmarkStart w:id="266" w:name="_Toc340482201"/>
      <w:bookmarkStart w:id="267" w:name="_Toc366499609"/>
      <w:bookmarkStart w:id="268" w:name="_Toc106958084"/>
      <w:r w:rsidRPr="00F55976">
        <w:t>Annexe 2</w:t>
      </w:r>
      <w:bookmarkEnd w:id="265"/>
      <w:bookmarkEnd w:id="266"/>
      <w:bookmarkEnd w:id="267"/>
      <w:bookmarkEnd w:id="268"/>
    </w:p>
    <w:p w14:paraId="30B8BE83" w14:textId="77777777" w:rsidR="00463A1C" w:rsidRDefault="00463A1C" w:rsidP="00463A1C"/>
    <w:p w14:paraId="3A7170B8" w14:textId="77777777" w:rsidR="00BB6AE4" w:rsidRPr="007F2900" w:rsidRDefault="00BB6AE4" w:rsidP="00463A1C"/>
    <w:p w14:paraId="2CFE2779" w14:textId="77777777"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14:paraId="2D3D24A0" w14:textId="77777777" w:rsidR="00463A1C" w:rsidRPr="005E141E" w:rsidRDefault="00463A1C" w:rsidP="00B36342">
      <w:pPr>
        <w:rPr>
          <w:sz w:val="22"/>
          <w:szCs w:val="22"/>
        </w:rPr>
      </w:pPr>
    </w:p>
    <w:p w14:paraId="1DB2D589" w14:textId="77777777" w:rsidR="00B36342" w:rsidRPr="005E141E" w:rsidRDefault="00B36342" w:rsidP="00B36342">
      <w:pPr>
        <w:rPr>
          <w:sz w:val="22"/>
          <w:szCs w:val="22"/>
        </w:rPr>
      </w:pPr>
    </w:p>
    <w:p w14:paraId="70B6A037" w14:textId="77777777" w:rsidR="00B36342" w:rsidRPr="005E141E" w:rsidRDefault="00B36342" w:rsidP="00B36342">
      <w:pPr>
        <w:rPr>
          <w:sz w:val="22"/>
          <w:szCs w:val="22"/>
        </w:rPr>
      </w:pPr>
    </w:p>
    <w:p w14:paraId="292D47B5" w14:textId="77777777" w:rsidR="00463A1C" w:rsidRPr="007F2900" w:rsidRDefault="00463A1C" w:rsidP="00460E3D">
      <w:pPr>
        <w:pStyle w:val="SGACP-titrederubriqueniveau1"/>
        <w:numPr>
          <w:ilvl w:val="0"/>
          <w:numId w:val="104"/>
        </w:numPr>
        <w:tabs>
          <w:tab w:val="left" w:pos="426"/>
        </w:tabs>
      </w:pPr>
      <w:bookmarkStart w:id="269" w:name="_Toc244576427"/>
      <w:bookmarkStart w:id="270" w:name="_Toc244938685"/>
      <w:bookmarkStart w:id="271" w:name="_Toc266969710"/>
      <w:r w:rsidRPr="007F2900">
        <w:t>Présentation synthétique du dispositif de contrôle interne</w:t>
      </w:r>
      <w:r w:rsidR="006333B9">
        <w:t> </w:t>
      </w:r>
      <w:r w:rsidRPr="006333B9">
        <w:rPr>
          <w:vertAlign w:val="superscript"/>
        </w:rPr>
        <w:footnoteReference w:id="17"/>
      </w:r>
      <w:bookmarkEnd w:id="269"/>
      <w:bookmarkEnd w:id="270"/>
      <w:bookmarkEnd w:id="271"/>
    </w:p>
    <w:p w14:paraId="4924A99E" w14:textId="77777777" w:rsidR="00463A1C" w:rsidRPr="007F2900" w:rsidRDefault="00463A1C" w:rsidP="00463A1C">
      <w:bookmarkStart w:id="273" w:name="_Toc244576428"/>
    </w:p>
    <w:p w14:paraId="1E8BFB73" w14:textId="77777777"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273"/>
      <w:r w:rsidR="00932AF1">
        <w:t> :</w:t>
      </w:r>
    </w:p>
    <w:p w14:paraId="7B3A3793" w14:textId="77777777"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14:paraId="03730994" w14:textId="77777777" w:rsidR="002A53BE" w:rsidRDefault="00932AF1">
      <w:pPr>
        <w:pStyle w:val="SGACP-enumerationniveau1"/>
        <w:ind w:left="284" w:hanging="284"/>
      </w:pPr>
      <w:r>
        <w:t>c</w:t>
      </w:r>
      <w:r w:rsidR="00463A1C" w:rsidRPr="007F2900">
        <w:t>oordination prévue entre les différents acteurs du contrôle interne</w:t>
      </w:r>
      <w:r>
        <w:t> ;</w:t>
      </w:r>
    </w:p>
    <w:p w14:paraId="6F4319F3" w14:textId="2594303A"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w:t>
      </w:r>
      <w:r w:rsidR="00192F7C">
        <w:t xml:space="preserve"> modifié</w:t>
      </w:r>
      <w:r w:rsidR="000E6CFB">
        <w:t xml:space="preserve"> </w:t>
      </w:r>
      <w:r>
        <w:t>;</w:t>
      </w:r>
    </w:p>
    <w:p w14:paraId="7C477F67" w14:textId="77777777"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14:paraId="5DEF83A2" w14:textId="77777777"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14:paraId="4899C960" w14:textId="77777777" w:rsidR="00463A1C" w:rsidRPr="007F2900" w:rsidRDefault="00463A1C" w:rsidP="00463A1C"/>
    <w:p w14:paraId="4ECF3473" w14:textId="77777777" w:rsidR="00463A1C" w:rsidRPr="007F2900" w:rsidRDefault="00B36342" w:rsidP="00B36342">
      <w:pPr>
        <w:pStyle w:val="SGACP-sous-titrederubriquenivaeu2"/>
      </w:pPr>
      <w:bookmarkStart w:id="274" w:name="_Toc244576429"/>
      <w:r>
        <w:t>1.2.</w:t>
      </w:r>
      <w:r>
        <w:tab/>
      </w:r>
      <w:r w:rsidR="00463A1C" w:rsidRPr="007F2900">
        <w:t>Dispositif de contrôle permanent</w:t>
      </w:r>
      <w:bookmarkEnd w:id="274"/>
      <w:r w:rsidR="00463A1C" w:rsidRPr="007F2900">
        <w:t xml:space="preserve"> (y compris le dispositif de contrôle de la conformité)</w:t>
      </w:r>
      <w:r w:rsidR="00932AF1">
        <w:t> :</w:t>
      </w:r>
    </w:p>
    <w:p w14:paraId="7E1C120A" w14:textId="77777777"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14:paraId="15ED09EA" w14:textId="77777777"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14:paraId="41A20849" w14:textId="721B5ADF"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192F7C">
        <w:t xml:space="preserve"> modifié</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14:paraId="0024ADCB" w14:textId="77777777"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14:paraId="1A2BECFC" w14:textId="7EEE4EF0" w:rsidR="002A53BE" w:rsidRDefault="00932AF1">
      <w:pPr>
        <w:pStyle w:val="SGACP-enumerationniveau1"/>
        <w:ind w:left="284" w:hanging="284"/>
      </w:pPr>
      <w:r>
        <w:t>m</w:t>
      </w:r>
      <w:r w:rsidR="00463A1C" w:rsidRPr="007F2900">
        <w:t>odalités d</w:t>
      </w:r>
      <w:r w:rsidR="001224E7">
        <w:t>’</w:t>
      </w:r>
      <w:r w:rsidR="00463A1C" w:rsidRPr="007F2900">
        <w:t>information du</w:t>
      </w:r>
      <w:r w:rsidR="00514BCE">
        <w:t xml:space="preserve"> ou des</w:t>
      </w:r>
      <w:r w:rsidR="00463A1C" w:rsidRPr="007F2900">
        <w:t xml:space="preserve"> responsable</w:t>
      </w:r>
      <w:r w:rsidR="00514BCE">
        <w:t>(s)</w:t>
      </w:r>
      <w:r w:rsidR="00463A1C" w:rsidRPr="007F2900">
        <w:t xml:space="preserv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14:paraId="222F47C8" w14:textId="77777777" w:rsidR="00463A1C" w:rsidRDefault="00463A1C" w:rsidP="00463A1C"/>
    <w:p w14:paraId="0AE18966" w14:textId="77777777" w:rsidR="00684D15" w:rsidRDefault="00AF1AAC" w:rsidP="00684D15">
      <w:pPr>
        <w:pStyle w:val="SGACP-sous-titrederubriquenivaeu2"/>
      </w:pPr>
      <w:r>
        <w:t>1.</w:t>
      </w:r>
      <w:r w:rsidR="00FB5C0B">
        <w:t>3</w:t>
      </w:r>
      <w:r>
        <w:t>.</w:t>
      </w:r>
      <w:r>
        <w:tab/>
      </w:r>
      <w:r w:rsidR="00267206">
        <w:t xml:space="preserve">Fonction de gestion des </w:t>
      </w:r>
      <w:r>
        <w:t>risque</w:t>
      </w:r>
      <w:r w:rsidR="00804561">
        <w:t>s</w:t>
      </w:r>
      <w:r w:rsidR="007023B9">
        <w:t> :</w:t>
      </w:r>
    </w:p>
    <w:p w14:paraId="0960CD86" w14:textId="77777777"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14:paraId="61B93B62" w14:textId="77777777"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14:paraId="1A28172A" w14:textId="63E216E1" w:rsidR="002A53BE" w:rsidRDefault="00AF1AAC">
      <w:pPr>
        <w:pStyle w:val="SGACP-enumerationniveau1"/>
        <w:ind w:left="284" w:hanging="284"/>
      </w:pPr>
      <w:r>
        <w:t>d</w:t>
      </w:r>
      <w:r w:rsidRPr="007F2900">
        <w:t>escription des procédures et systèmes mis en place pour le suivi des risques dans le cadre des opérations sur des nouveaux produits</w:t>
      </w:r>
      <w:r w:rsidR="008B524B">
        <w:t xml:space="preserve"> et services</w:t>
      </w:r>
      <w:r w:rsidRPr="007F2900">
        <w:t>, des modifications significatives apportées à un produit</w:t>
      </w:r>
      <w:r w:rsidR="00874870">
        <w:t xml:space="preserve">, </w:t>
      </w:r>
      <w:r w:rsidR="008B524B">
        <w:t>service</w:t>
      </w:r>
      <w:r w:rsidRPr="007F2900">
        <w:t xml:space="preserve"> </w:t>
      </w:r>
      <w:r w:rsidR="00874870">
        <w:t xml:space="preserve">ou process </w:t>
      </w:r>
      <w:r w:rsidRPr="007F2900">
        <w:t>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rsidR="00192F7C">
        <w:t xml:space="preserve"> modifié</w:t>
      </w:r>
      <w:r w:rsidR="007632E0">
        <w:t>)</w:t>
      </w:r>
      <w:r>
        <w:t> ;</w:t>
      </w:r>
    </w:p>
    <w:p w14:paraId="6AE4ADB8" w14:textId="4630B674" w:rsidR="0062242B" w:rsidRDefault="00996815">
      <w:pPr>
        <w:pStyle w:val="SGACP-enumerationniveau1"/>
        <w:ind w:left="284" w:hanging="284"/>
      </w:pPr>
      <w:r>
        <w:t>d</w:t>
      </w:r>
      <w:r w:rsidRPr="007F2900">
        <w:t xml:space="preserve">escription synthétique </w:t>
      </w:r>
      <w:r>
        <w:t>de l’</w:t>
      </w:r>
      <w:r w:rsidR="0062242B">
        <w:t>évaluation</w:t>
      </w:r>
      <w:r>
        <w:t xml:space="preserve"> des risques</w:t>
      </w:r>
      <w:r w:rsidR="0062242B">
        <w:t xml:space="preserve"> faite par la fonction </w:t>
      </w:r>
      <w:r>
        <w:t xml:space="preserve">de </w:t>
      </w:r>
      <w:r w:rsidR="0062242B">
        <w:t xml:space="preserve">gestion des risques selon des scénarios appropriés au regard de la significativité des risques induits par </w:t>
      </w:r>
      <w:r>
        <w:t>c</w:t>
      </w:r>
      <w:r w:rsidR="0062242B">
        <w:t>es nouveaux produits</w:t>
      </w:r>
      <w:r>
        <w:t xml:space="preserve"> et opérations</w:t>
      </w:r>
      <w:r w:rsidR="0062242B">
        <w:t xml:space="preserve"> ; </w:t>
      </w:r>
    </w:p>
    <w:p w14:paraId="0FB6A1C6" w14:textId="77777777" w:rsidR="00331B88" w:rsidRDefault="00331B88" w:rsidP="002F6550">
      <w:pPr>
        <w:pStyle w:val="SGACP-enumerationniveau1"/>
        <w:numPr>
          <w:ilvl w:val="0"/>
          <w:numId w:val="0"/>
        </w:numPr>
        <w:ind w:left="284"/>
        <w:rPr>
          <w:szCs w:val="24"/>
        </w:rPr>
      </w:pPr>
    </w:p>
    <w:p w14:paraId="6C68D0F0" w14:textId="77777777" w:rsidR="00463A1C" w:rsidRPr="007F2900" w:rsidRDefault="00B36342" w:rsidP="00932AF1">
      <w:pPr>
        <w:pStyle w:val="SGACP-sous-titrederubriquenivaeu2"/>
        <w:keepNext/>
        <w:keepLines/>
      </w:pPr>
      <w:bookmarkStart w:id="275" w:name="_Toc244576430"/>
      <w:r>
        <w:t>1.</w:t>
      </w:r>
      <w:r w:rsidR="00FB5C0B">
        <w:t>4</w:t>
      </w:r>
      <w:r>
        <w:t>.</w:t>
      </w:r>
      <w:r>
        <w:tab/>
      </w:r>
      <w:r w:rsidR="00463A1C" w:rsidRPr="007F2900">
        <w:t>Dispositif de contrôle périodique</w:t>
      </w:r>
      <w:bookmarkEnd w:id="275"/>
      <w:r w:rsidR="00932AF1">
        <w:t> :</w:t>
      </w:r>
    </w:p>
    <w:p w14:paraId="0C24873E" w14:textId="5E9F3310"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organisation de</w:t>
      </w:r>
      <w:r w:rsidR="00291E2F">
        <w:t xml:space="preserve"> la fonction d’audit interne </w:t>
      </w:r>
      <w:r w:rsidR="00463A1C" w:rsidRPr="00267206">
        <w:t>et</w:t>
      </w:r>
      <w:r w:rsidR="00291E2F">
        <w:t xml:space="preserve"> de son</w:t>
      </w:r>
      <w:r w:rsidR="00463A1C" w:rsidRPr="00267206">
        <w:t xml:space="preserve"> champ d</w:t>
      </w:r>
      <w:r w:rsidR="001224E7" w:rsidRPr="00267206">
        <w:t>’</w:t>
      </w:r>
      <w:r w:rsidR="00463A1C" w:rsidRPr="00267206">
        <w:t>intervention 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14:paraId="70651955" w14:textId="1629D4CF" w:rsidR="002A53BE" w:rsidRDefault="00463A1C">
      <w:pPr>
        <w:pStyle w:val="SGACP-enumerationniveau1"/>
        <w:ind w:left="284" w:hanging="284"/>
      </w:pPr>
      <w:r w:rsidRPr="00267206">
        <w:t xml:space="preserve"> </w:t>
      </w:r>
      <w:r w:rsidR="0032751C">
        <w:t xml:space="preserve">moyens humains </w:t>
      </w:r>
      <w:r w:rsidRPr="00267206">
        <w:t xml:space="preserve">affectés </w:t>
      </w:r>
      <w:r w:rsidR="00291E2F">
        <w:t>à la fonction d’audit interne</w:t>
      </w:r>
      <w:r w:rsidR="00B36342" w:rsidRPr="00267206">
        <w:t xml:space="preserve"> (</w:t>
      </w:r>
      <w:r w:rsidR="004A6527">
        <w:t xml:space="preserve">cf. </w:t>
      </w:r>
      <w:r w:rsidR="00A31294">
        <w:t>article 25 de l’arrêté du 3 novembre 2014</w:t>
      </w:r>
      <w:r w:rsidR="00192F7C">
        <w:t xml:space="preserve"> modifié</w:t>
      </w:r>
      <w:r w:rsidR="00A31294">
        <w:t>)</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14:paraId="73C5B8E4" w14:textId="04AF1BCD" w:rsidR="00A85C3C" w:rsidRPr="00267206" w:rsidRDefault="00A85C3C">
      <w:pPr>
        <w:pStyle w:val="SGACP-enumerationniveau1"/>
        <w:ind w:left="284" w:hanging="284"/>
      </w:pPr>
      <w:r>
        <w:t>si recours à un prestataire externe : fréquence d’intervention et dimension de l’équipe ;</w:t>
      </w:r>
    </w:p>
    <w:p w14:paraId="1B80BCF5" w14:textId="1536CEB9" w:rsidR="00495B6F" w:rsidRDefault="00932AF1">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w:t>
      </w:r>
      <w:r w:rsidR="00291E2F">
        <w:t>a fonction d’audit interne</w:t>
      </w:r>
      <w:r w:rsidR="00463A1C" w:rsidRPr="00267206">
        <w:t xml:space="preserv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276" w:name="_Toc244576434"/>
      <w:bookmarkStart w:id="277" w:name="_Toc244938689"/>
      <w:r w:rsidR="00495B6F">
        <w:t> ;</w:t>
      </w:r>
    </w:p>
    <w:p w14:paraId="2DD22370" w14:textId="6A24B790" w:rsidR="002B7ACF" w:rsidRDefault="002B7ACF" w:rsidP="002B7ACF">
      <w:pPr>
        <w:pStyle w:val="SGACP-enumerationniveau1"/>
        <w:ind w:left="284" w:hanging="284"/>
      </w:pPr>
      <w:r w:rsidRPr="002B7ACF">
        <w:t>modalités de définition de la fréquence et des priorités des cycles d'audit notamment en fonction des risques identifiés au sein de l’établissement</w:t>
      </w:r>
      <w:r w:rsidR="00652017">
        <w:t>.</w:t>
      </w:r>
    </w:p>
    <w:bookmarkEnd w:id="276"/>
    <w:bookmarkEnd w:id="277"/>
    <w:p w14:paraId="4BC3CA0A" w14:textId="77777777" w:rsidR="00463A1C" w:rsidRDefault="00463A1C" w:rsidP="002F6550">
      <w:pPr>
        <w:pStyle w:val="Paragraphedeliste"/>
      </w:pPr>
    </w:p>
    <w:p w14:paraId="312AB4E1" w14:textId="77777777" w:rsidR="00401F2D" w:rsidRPr="007F2900" w:rsidRDefault="00401F2D" w:rsidP="00463A1C"/>
    <w:p w14:paraId="4E69EE02" w14:textId="77777777" w:rsidR="00463A1C" w:rsidRPr="007F2900" w:rsidRDefault="00463A1C" w:rsidP="00460E3D">
      <w:pPr>
        <w:pStyle w:val="SGACP-titrederubriqueniveau1"/>
        <w:numPr>
          <w:ilvl w:val="0"/>
          <w:numId w:val="104"/>
        </w:numPr>
      </w:pPr>
      <w:bookmarkStart w:id="278" w:name="_Toc266969711"/>
      <w:r w:rsidRPr="007F2900">
        <w:t>Présentation synthétique de l</w:t>
      </w:r>
      <w:r w:rsidR="001224E7">
        <w:t>’</w:t>
      </w:r>
      <w:r w:rsidRPr="007F2900">
        <w:t>organisation comptable</w:t>
      </w:r>
      <w:bookmarkEnd w:id="278"/>
    </w:p>
    <w:p w14:paraId="50DCAD80" w14:textId="77777777"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et de résolution</w:t>
      </w:r>
      <w:r w:rsidR="00E7222B">
        <w:t>, ou à la B</w:t>
      </w:r>
      <w:r w:rsidR="00C37B0D">
        <w:t>CE</w:t>
      </w:r>
      <w:r w:rsidR="00E7222B">
        <w:t xml:space="preserve"> selon les cas,</w:t>
      </w:r>
      <w:r w:rsidR="001909D5">
        <w:t xml:space="preserve"> </w:t>
      </w:r>
      <w:r w:rsidR="00463A1C" w:rsidRPr="007F2900">
        <w:t xml:space="preserve">et celles nécessaires </w:t>
      </w:r>
      <w:r>
        <w:t>au calcul des normes de gestion ;</w:t>
      </w:r>
    </w:p>
    <w:p w14:paraId="3CF8DB1F" w14:textId="77777777"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14:paraId="31FB0303" w14:textId="2D8B43D3"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192F7C">
        <w:t xml:space="preserve"> modifié</w:t>
      </w:r>
      <w:r w:rsidR="00463A1C" w:rsidRPr="007F2900">
        <w:t>)</w:t>
      </w:r>
      <w:r>
        <w:t> ;</w:t>
      </w:r>
    </w:p>
    <w:p w14:paraId="05AF6043" w14:textId="77777777"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14:paraId="340C9979" w14:textId="77777777" w:rsidR="002A53BE" w:rsidRDefault="0060140D" w:rsidP="001D505C">
      <w:pPr>
        <w:pStyle w:val="StyleSGACP-titrederubriqueniveau1CouleurpersonnaliseRVB"/>
        <w:numPr>
          <w:ilvl w:val="0"/>
          <w:numId w:val="0"/>
        </w:numPr>
        <w:jc w:val="right"/>
      </w:pPr>
      <w:bookmarkStart w:id="279" w:name="_Toc106958085"/>
      <w:r>
        <w:t>Annexe 3</w:t>
      </w:r>
      <w:bookmarkEnd w:id="279"/>
    </w:p>
    <w:p w14:paraId="62687419" w14:textId="77777777" w:rsidR="007A15AF" w:rsidRDefault="007A15AF" w:rsidP="00C544BA"/>
    <w:p w14:paraId="5C3AC550" w14:textId="77777777" w:rsidR="0060140D" w:rsidRDefault="0060140D" w:rsidP="00C544BA"/>
    <w:p w14:paraId="55B06CEC" w14:textId="380622F8" w:rsidR="0060140D" w:rsidRDefault="0060140D" w:rsidP="001D505C">
      <w:pPr>
        <w:pStyle w:val="SGACP-annexe-titre"/>
      </w:pPr>
      <w:r>
        <w:t>Mesures mises en œuvre en faveur des clients en situation de fragilité</w:t>
      </w:r>
      <w:r w:rsidR="00962893">
        <w:t xml:space="preserve"> financière</w:t>
      </w:r>
      <w:r>
        <w:t xml:space="preserve"> (arrêté du </w:t>
      </w:r>
      <w:r w:rsidR="00322544">
        <w:t>16 septembre 2020</w:t>
      </w:r>
      <w:r>
        <w:t xml:space="preserve"> portant homologation de la charte d’inclusion bancaire et de prévention du surendettement) </w:t>
      </w:r>
    </w:p>
    <w:p w14:paraId="6C4F71EC" w14:textId="77777777" w:rsidR="0060140D" w:rsidRPr="001D505C" w:rsidRDefault="0060140D" w:rsidP="001D505C">
      <w:pPr>
        <w:pStyle w:val="SGACP-annexe-titre"/>
        <w:rPr>
          <w:sz w:val="22"/>
          <w:szCs w:val="22"/>
        </w:rPr>
      </w:pPr>
    </w:p>
    <w:p w14:paraId="3ED262EB" w14:textId="77777777" w:rsidR="0060140D" w:rsidRPr="001D505C" w:rsidRDefault="0060140D" w:rsidP="001D505C">
      <w:pPr>
        <w:pStyle w:val="SGACP-annexe-titre"/>
        <w:rPr>
          <w:sz w:val="22"/>
          <w:szCs w:val="22"/>
        </w:rPr>
      </w:pPr>
    </w:p>
    <w:p w14:paraId="2829B8B3" w14:textId="77777777" w:rsidR="0060140D" w:rsidRPr="001D505C" w:rsidRDefault="0060140D" w:rsidP="001D505C">
      <w:pPr>
        <w:pStyle w:val="SGACP-annexe-titre"/>
        <w:rPr>
          <w:sz w:val="22"/>
          <w:szCs w:val="22"/>
        </w:rPr>
      </w:pPr>
    </w:p>
    <w:p w14:paraId="639F7102"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14:paraId="76BF4C97" w14:textId="77777777" w:rsidR="00372438" w:rsidRDefault="00372438" w:rsidP="00372438"/>
    <w:p w14:paraId="23EA2828"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14:paraId="69133E33"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14:paraId="22462929"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14:paraId="78A5BC51"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14:paraId="093678FF" w14:textId="77777777"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14:paraId="09CC94F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14:paraId="087CC39F" w14:textId="77777777" w:rsidR="00372438" w:rsidRDefault="00372438" w:rsidP="00372438">
      <w:pPr>
        <w:pStyle w:val="Paragraphedeliste"/>
        <w:ind w:left="1440"/>
      </w:pPr>
    </w:p>
    <w:p w14:paraId="35695B17"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18"/>
      </w:r>
      <w:r w:rsidRPr="0097056B">
        <w:rPr>
          <w:rFonts w:ascii="Arial" w:hAnsi="Arial"/>
          <w:b/>
          <w:sz w:val="24"/>
        </w:rPr>
        <w:t xml:space="preserve"> </w:t>
      </w:r>
    </w:p>
    <w:p w14:paraId="25D86144" w14:textId="77777777" w:rsidR="00372438" w:rsidRDefault="00372438" w:rsidP="00372438">
      <w:pPr>
        <w:pStyle w:val="Paragraphedeliste"/>
      </w:pPr>
    </w:p>
    <w:p w14:paraId="7918345B" w14:textId="58E68C82"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14:paraId="309D9247" w14:textId="6F1D4BAF"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u renforcement de l’accès aux services bancaires et services de paiement et à la</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14:paraId="28017427" w14:textId="77777777"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14:paraId="5AD1C526" w14:textId="77777777"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14:paraId="3C85197F" w14:textId="77777777"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14:paraId="592FFD0B"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14:paraId="210B7C05" w14:textId="77777777"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Des anomalies significatives ont-elles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14:paraId="50A18A4E" w14:textId="77777777"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14:paraId="6043BEE8"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14:paraId="21FFABB1"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Les actions correctives nécessaires ont-elles été mises en œuvre ? Oui/</w:t>
      </w:r>
      <w:r w:rsidR="004E4C3B">
        <w:rPr>
          <w:rFonts w:ascii="Arial" w:hAnsi="Arial"/>
        </w:rPr>
        <w:t xml:space="preserve"> </w:t>
      </w:r>
      <w:r w:rsidRPr="0097056B">
        <w:rPr>
          <w:rFonts w:ascii="Arial" w:hAnsi="Arial"/>
        </w:rPr>
        <w:t xml:space="preserve">Non </w:t>
      </w:r>
    </w:p>
    <w:p w14:paraId="686A5DDF" w14:textId="77777777" w:rsidR="00372438" w:rsidRPr="0097056B" w:rsidRDefault="00372438" w:rsidP="0097056B">
      <w:pPr>
        <w:pStyle w:val="Paragraphedeliste"/>
        <w:ind w:left="426"/>
        <w:jc w:val="left"/>
        <w:rPr>
          <w:rFonts w:ascii="Arial" w:hAnsi="Arial"/>
          <w:b/>
          <w:sz w:val="24"/>
        </w:rPr>
      </w:pPr>
    </w:p>
    <w:p w14:paraId="29E2F3B3" w14:textId="77777777" w:rsidR="00115EF0" w:rsidRDefault="00372438" w:rsidP="00460E3D">
      <w:pPr>
        <w:pStyle w:val="Paragraphedeliste"/>
        <w:numPr>
          <w:ilvl w:val="0"/>
          <w:numId w:val="35"/>
        </w:numPr>
        <w:ind w:left="426" w:hanging="284"/>
        <w:jc w:val="left"/>
        <w:rPr>
          <w:rFonts w:ascii="Arial" w:hAnsi="Arial"/>
          <w:b/>
          <w:sz w:val="24"/>
        </w:rPr>
        <w:sectPr w:rsidR="00115EF0" w:rsidSect="00BB6AE4">
          <w:pgSz w:w="11906" w:h="16838"/>
          <w:pgMar w:top="1134" w:right="1134" w:bottom="964" w:left="1134" w:header="720" w:footer="720" w:gutter="0"/>
          <w:cols w:space="720"/>
          <w:docGrid w:linePitch="326"/>
        </w:sectPr>
      </w:pPr>
      <w:r w:rsidRPr="0097056B">
        <w:rPr>
          <w:rFonts w:ascii="Arial" w:hAnsi="Arial"/>
          <w:b/>
          <w:sz w:val="24"/>
        </w:rPr>
        <w:t xml:space="preserve">Commentaires ou remarques sur la mise en œuvre du dispositif d’inclusion bancaire et de prévention du surendettement (facultatif) </w:t>
      </w:r>
    </w:p>
    <w:p w14:paraId="73479B6C" w14:textId="7167D5BF" w:rsidR="00C77633" w:rsidRDefault="00C77633" w:rsidP="001544D6">
      <w:pPr>
        <w:pStyle w:val="StyleSGACP-titrederubriqueniveau1CouleurpersonnaliseRVB"/>
        <w:numPr>
          <w:ilvl w:val="0"/>
          <w:numId w:val="0"/>
        </w:numPr>
        <w:jc w:val="right"/>
      </w:pPr>
      <w:bookmarkStart w:id="280" w:name="_Toc106958086"/>
      <w:r>
        <w:t>Annexe 4</w:t>
      </w:r>
      <w:bookmarkEnd w:id="280"/>
    </w:p>
    <w:p w14:paraId="7DA18B28" w14:textId="4B3971A7" w:rsidR="00115EF0" w:rsidRDefault="00115EF0" w:rsidP="001544D6">
      <w:pPr>
        <w:pStyle w:val="StyleSGACP-titrederubriqueniveau1CouleurpersonnaliseRVB"/>
        <w:numPr>
          <w:ilvl w:val="0"/>
          <w:numId w:val="0"/>
        </w:numPr>
        <w:ind w:left="7185"/>
      </w:pPr>
    </w:p>
    <w:p w14:paraId="743DBFA7" w14:textId="0E64A5F0" w:rsidR="00115EF0" w:rsidRDefault="00115EF0" w:rsidP="00115EF0">
      <w:pPr>
        <w:jc w:val="center"/>
        <w:rPr>
          <w:rFonts w:ascii="Arial" w:hAnsi="Arial"/>
          <w:b/>
          <w:sz w:val="28"/>
        </w:rPr>
      </w:pPr>
      <w:r w:rsidRPr="001544D6">
        <w:rPr>
          <w:rFonts w:ascii="Arial" w:hAnsi="Arial"/>
          <w:b/>
          <w:sz w:val="28"/>
        </w:rPr>
        <w:t>Tableau récapitulatif des facteurs K</w:t>
      </w:r>
    </w:p>
    <w:p w14:paraId="463EAFBE" w14:textId="77777777" w:rsidR="00115EF0" w:rsidRPr="001544D6" w:rsidRDefault="00115EF0" w:rsidP="00115EF0">
      <w:pPr>
        <w:jc w:val="center"/>
        <w:rPr>
          <w:rFonts w:ascii="Arial" w:hAnsi="Arial"/>
          <w:b/>
          <w:sz w:val="28"/>
        </w:rPr>
      </w:pPr>
    </w:p>
    <w:tbl>
      <w:tblPr>
        <w:tblW w:w="13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6"/>
        <w:gridCol w:w="1069"/>
        <w:gridCol w:w="1866"/>
        <w:gridCol w:w="4711"/>
        <w:gridCol w:w="4802"/>
      </w:tblGrid>
      <w:tr w:rsidR="00115EF0" w:rsidRPr="001544D6" w14:paraId="17CE0AFC" w14:textId="77777777" w:rsidTr="0029217F">
        <w:trPr>
          <w:trHeight w:val="562"/>
          <w:jc w:val="center"/>
        </w:trPr>
        <w:tc>
          <w:tcPr>
            <w:tcW w:w="1206" w:type="dxa"/>
            <w:shd w:val="clear" w:color="5B9BD5" w:fill="5B9BD5"/>
            <w:vAlign w:val="center"/>
            <w:hideMark/>
          </w:tcPr>
          <w:p w14:paraId="7FEE6525" w14:textId="77777777" w:rsidR="00115EF0" w:rsidRPr="001544D6" w:rsidRDefault="00115EF0" w:rsidP="001544D6">
            <w:pPr>
              <w:jc w:val="center"/>
              <w:rPr>
                <w:rFonts w:ascii="Calibri" w:hAnsi="Calibri" w:cs="Calibri"/>
                <w:b/>
                <w:bCs/>
                <w:color w:val="FFFFFF"/>
                <w:sz w:val="22"/>
                <w:szCs w:val="22"/>
              </w:rPr>
            </w:pPr>
            <w:r w:rsidRPr="001544D6">
              <w:rPr>
                <w:rFonts w:ascii="Calibri" w:hAnsi="Calibri" w:cs="Calibri"/>
                <w:b/>
                <w:bCs/>
                <w:color w:val="FFFFFF"/>
                <w:sz w:val="22"/>
                <w:szCs w:val="22"/>
              </w:rPr>
              <w:t>Risk to</w:t>
            </w:r>
          </w:p>
        </w:tc>
        <w:tc>
          <w:tcPr>
            <w:tcW w:w="1069" w:type="dxa"/>
            <w:shd w:val="clear" w:color="5B9BD5" w:fill="5B9BD5"/>
            <w:vAlign w:val="center"/>
            <w:hideMark/>
          </w:tcPr>
          <w:p w14:paraId="77AB49D4" w14:textId="77777777" w:rsidR="00115EF0" w:rsidRPr="001544D6" w:rsidRDefault="00115EF0" w:rsidP="001544D6">
            <w:pPr>
              <w:jc w:val="center"/>
              <w:rPr>
                <w:rFonts w:ascii="Calibri" w:hAnsi="Calibri" w:cs="Calibri"/>
                <w:b/>
                <w:bCs/>
                <w:color w:val="FFFFFF"/>
                <w:sz w:val="22"/>
                <w:szCs w:val="22"/>
              </w:rPr>
            </w:pPr>
            <w:r w:rsidRPr="001544D6">
              <w:rPr>
                <w:rFonts w:ascii="Calibri" w:hAnsi="Calibri" w:cs="Calibri"/>
                <w:b/>
                <w:bCs/>
                <w:color w:val="FFFFFF"/>
                <w:sz w:val="22"/>
                <w:szCs w:val="22"/>
              </w:rPr>
              <w:t>Facteur K</w:t>
            </w:r>
          </w:p>
        </w:tc>
        <w:tc>
          <w:tcPr>
            <w:tcW w:w="1866" w:type="dxa"/>
            <w:shd w:val="clear" w:color="5B9BD5" w:fill="5B9BD5"/>
            <w:vAlign w:val="center"/>
            <w:hideMark/>
          </w:tcPr>
          <w:p w14:paraId="013C40EE" w14:textId="77777777" w:rsidR="00115EF0" w:rsidRPr="001544D6" w:rsidRDefault="00115EF0" w:rsidP="001544D6">
            <w:pPr>
              <w:jc w:val="center"/>
              <w:rPr>
                <w:rFonts w:ascii="Calibri" w:hAnsi="Calibri" w:cs="Calibri"/>
                <w:b/>
                <w:bCs/>
                <w:color w:val="FFFFFF"/>
                <w:sz w:val="22"/>
                <w:szCs w:val="22"/>
              </w:rPr>
            </w:pPr>
            <w:r w:rsidRPr="001544D6">
              <w:rPr>
                <w:rFonts w:ascii="Calibri" w:hAnsi="Calibri" w:cs="Calibri"/>
                <w:b/>
                <w:bCs/>
                <w:color w:val="FFFFFF"/>
                <w:sz w:val="22"/>
                <w:szCs w:val="22"/>
              </w:rPr>
              <w:t>Définition</w:t>
            </w:r>
          </w:p>
        </w:tc>
        <w:tc>
          <w:tcPr>
            <w:tcW w:w="4711" w:type="dxa"/>
            <w:shd w:val="clear" w:color="5B9BD5" w:fill="5B9BD5"/>
            <w:vAlign w:val="center"/>
            <w:hideMark/>
          </w:tcPr>
          <w:p w14:paraId="7F93A820" w14:textId="77777777" w:rsidR="00115EF0" w:rsidRPr="001544D6" w:rsidRDefault="00115EF0" w:rsidP="001544D6">
            <w:pPr>
              <w:jc w:val="center"/>
              <w:rPr>
                <w:rFonts w:ascii="Calibri" w:hAnsi="Calibri" w:cs="Calibri"/>
                <w:b/>
                <w:bCs/>
                <w:color w:val="FFFFFF"/>
                <w:sz w:val="22"/>
                <w:szCs w:val="22"/>
              </w:rPr>
            </w:pPr>
            <w:r w:rsidRPr="001544D6">
              <w:rPr>
                <w:rFonts w:ascii="Calibri" w:hAnsi="Calibri" w:cs="Calibri"/>
                <w:b/>
                <w:bCs/>
                <w:color w:val="FFFFFF"/>
                <w:sz w:val="22"/>
                <w:szCs w:val="22"/>
              </w:rPr>
              <w:t>Définition IFR (art 4)</w:t>
            </w:r>
          </w:p>
        </w:tc>
        <w:tc>
          <w:tcPr>
            <w:tcW w:w="4802" w:type="dxa"/>
            <w:shd w:val="clear" w:color="5B9BD5" w:fill="5B9BD5"/>
            <w:vAlign w:val="center"/>
            <w:hideMark/>
          </w:tcPr>
          <w:p w14:paraId="5EA5C045" w14:textId="77777777" w:rsidR="00115EF0" w:rsidRPr="001544D6" w:rsidRDefault="00115EF0" w:rsidP="001544D6">
            <w:pPr>
              <w:jc w:val="center"/>
              <w:rPr>
                <w:rFonts w:ascii="Calibri" w:hAnsi="Calibri" w:cs="Calibri"/>
                <w:b/>
                <w:bCs/>
                <w:color w:val="FFFFFF"/>
                <w:sz w:val="22"/>
                <w:szCs w:val="22"/>
              </w:rPr>
            </w:pPr>
            <w:r w:rsidRPr="001544D6">
              <w:rPr>
                <w:rFonts w:ascii="Calibri" w:hAnsi="Calibri" w:cs="Calibri"/>
                <w:b/>
                <w:bCs/>
                <w:color w:val="FFFFFF"/>
                <w:sz w:val="22"/>
                <w:szCs w:val="22"/>
              </w:rPr>
              <w:t>Référence règlementaire</w:t>
            </w:r>
          </w:p>
        </w:tc>
      </w:tr>
      <w:tr w:rsidR="00115EF0" w:rsidRPr="001544D6" w14:paraId="2B6944A8" w14:textId="77777777" w:rsidTr="001544D6">
        <w:trPr>
          <w:trHeight w:val="1757"/>
          <w:jc w:val="center"/>
        </w:trPr>
        <w:tc>
          <w:tcPr>
            <w:tcW w:w="1206" w:type="dxa"/>
            <w:shd w:val="clear" w:color="DDEBF7" w:fill="FFFFFF"/>
            <w:vAlign w:val="center"/>
            <w:hideMark/>
          </w:tcPr>
          <w:p w14:paraId="568818F2" w14:textId="77777777" w:rsidR="00115EF0" w:rsidRPr="001544D6" w:rsidRDefault="00115EF0" w:rsidP="0029217F">
            <w:pPr>
              <w:rPr>
                <w:rFonts w:ascii="Calibri" w:hAnsi="Calibri" w:cs="Calibri"/>
                <w:b/>
                <w:bCs/>
                <w:sz w:val="22"/>
                <w:szCs w:val="22"/>
              </w:rPr>
            </w:pPr>
            <w:r w:rsidRPr="001544D6">
              <w:rPr>
                <w:rFonts w:ascii="Calibri" w:hAnsi="Calibri" w:cs="Calibri"/>
                <w:b/>
                <w:bCs/>
                <w:sz w:val="22"/>
                <w:szCs w:val="22"/>
              </w:rPr>
              <w:t>Client</w:t>
            </w:r>
          </w:p>
        </w:tc>
        <w:tc>
          <w:tcPr>
            <w:tcW w:w="1069" w:type="dxa"/>
            <w:shd w:val="clear" w:color="DDEBF7" w:fill="FFFFFF"/>
            <w:vAlign w:val="center"/>
            <w:hideMark/>
          </w:tcPr>
          <w:p w14:paraId="3E31ECFB" w14:textId="77777777" w:rsidR="00115EF0" w:rsidRPr="001544D6" w:rsidRDefault="00115EF0" w:rsidP="0029217F">
            <w:pPr>
              <w:rPr>
                <w:rFonts w:ascii="Calibri" w:hAnsi="Calibri" w:cs="Calibri"/>
                <w:b/>
                <w:bCs/>
                <w:sz w:val="22"/>
                <w:szCs w:val="22"/>
              </w:rPr>
            </w:pPr>
            <w:r w:rsidRPr="001544D6">
              <w:rPr>
                <w:rFonts w:ascii="Calibri" w:hAnsi="Calibri" w:cs="Calibri"/>
                <w:b/>
                <w:bCs/>
                <w:sz w:val="22"/>
                <w:szCs w:val="22"/>
              </w:rPr>
              <w:t>AUM</w:t>
            </w:r>
          </w:p>
        </w:tc>
        <w:tc>
          <w:tcPr>
            <w:tcW w:w="1866" w:type="dxa"/>
            <w:shd w:val="clear" w:color="DDEBF7" w:fill="FFFFFF"/>
            <w:vAlign w:val="center"/>
            <w:hideMark/>
          </w:tcPr>
          <w:p w14:paraId="1C5D36B2"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Actifs sous gestion</w:t>
            </w:r>
          </w:p>
        </w:tc>
        <w:tc>
          <w:tcPr>
            <w:tcW w:w="4711" w:type="dxa"/>
            <w:shd w:val="clear" w:color="DDEBF7" w:fill="FFFFFF"/>
            <w:vAlign w:val="center"/>
            <w:hideMark/>
          </w:tcPr>
          <w:p w14:paraId="3F081884"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Valeur des actifs qu’une entreprise d’investissement gère pour ses clients, que ce soit dans le cadre d’une</w:t>
            </w:r>
            <w:r w:rsidRPr="001544D6">
              <w:rPr>
                <w:rFonts w:ascii="Calibri" w:hAnsi="Calibri" w:cs="Calibri"/>
                <w:b/>
                <w:bCs/>
                <w:color w:val="000000"/>
                <w:sz w:val="22"/>
                <w:szCs w:val="22"/>
              </w:rPr>
              <w:t xml:space="preserve"> gestion discrétionnaire de portefeuille</w:t>
            </w:r>
            <w:r w:rsidRPr="001544D6">
              <w:rPr>
                <w:rFonts w:ascii="Calibri" w:hAnsi="Calibri" w:cs="Calibri"/>
                <w:color w:val="000000"/>
                <w:sz w:val="22"/>
                <w:szCs w:val="22"/>
              </w:rPr>
              <w:t xml:space="preserve"> ou dans le cadre de dispositifs non discrétionnaires relevant du </w:t>
            </w:r>
            <w:r w:rsidRPr="001544D6">
              <w:rPr>
                <w:rFonts w:ascii="Calibri" w:hAnsi="Calibri" w:cs="Calibri"/>
                <w:b/>
                <w:bCs/>
                <w:color w:val="000000"/>
                <w:sz w:val="22"/>
                <w:szCs w:val="22"/>
              </w:rPr>
              <w:t>conseil en investissement de nature continue</w:t>
            </w:r>
          </w:p>
        </w:tc>
        <w:tc>
          <w:tcPr>
            <w:tcW w:w="4802" w:type="dxa"/>
            <w:shd w:val="clear" w:color="DDEBF7" w:fill="FFFFFF"/>
            <w:vAlign w:val="center"/>
            <w:hideMark/>
          </w:tcPr>
          <w:p w14:paraId="34A14F3A"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Art 4, § 1, point 27) d'IFR (définition) ; Art 17 d'IFR (modalités de calcul)</w:t>
            </w:r>
          </w:p>
        </w:tc>
      </w:tr>
      <w:tr w:rsidR="00115EF0" w:rsidRPr="001544D6" w14:paraId="25F87015" w14:textId="77777777" w:rsidTr="001544D6">
        <w:trPr>
          <w:trHeight w:val="1839"/>
          <w:jc w:val="center"/>
        </w:trPr>
        <w:tc>
          <w:tcPr>
            <w:tcW w:w="1206" w:type="dxa"/>
            <w:shd w:val="clear" w:color="DDEBF7" w:fill="DDEBF7"/>
            <w:vAlign w:val="center"/>
            <w:hideMark/>
          </w:tcPr>
          <w:p w14:paraId="007B99AE"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Client</w:t>
            </w:r>
          </w:p>
        </w:tc>
        <w:tc>
          <w:tcPr>
            <w:tcW w:w="1069" w:type="dxa"/>
            <w:shd w:val="clear" w:color="DDEBF7" w:fill="DDEBF7"/>
            <w:vAlign w:val="center"/>
            <w:hideMark/>
          </w:tcPr>
          <w:p w14:paraId="20C367FA"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CMH</w:t>
            </w:r>
          </w:p>
        </w:tc>
        <w:tc>
          <w:tcPr>
            <w:tcW w:w="1866" w:type="dxa"/>
            <w:shd w:val="clear" w:color="DDEBF7" w:fill="DDEBF7"/>
            <w:vAlign w:val="center"/>
            <w:hideMark/>
          </w:tcPr>
          <w:p w14:paraId="0378AB68"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Fonds de clients détenus</w:t>
            </w:r>
            <w:r w:rsidRPr="001544D6">
              <w:rPr>
                <w:sz w:val="22"/>
                <w:szCs w:val="22"/>
              </w:rPr>
              <w:t xml:space="preserve"> (comptes ségrégués ou non)</w:t>
            </w:r>
          </w:p>
        </w:tc>
        <w:tc>
          <w:tcPr>
            <w:tcW w:w="4711" w:type="dxa"/>
            <w:shd w:val="clear" w:color="DDEBF7" w:fill="DDEBF7"/>
            <w:vAlign w:val="center"/>
            <w:hideMark/>
          </w:tcPr>
          <w:p w14:paraId="47545BA2"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 xml:space="preserve">Montant des </w:t>
            </w:r>
            <w:r w:rsidRPr="001544D6">
              <w:rPr>
                <w:rFonts w:ascii="Calibri" w:hAnsi="Calibri" w:cs="Calibri"/>
                <w:b/>
                <w:bCs/>
                <w:color w:val="000000"/>
                <w:sz w:val="22"/>
                <w:szCs w:val="22"/>
              </w:rPr>
              <w:t>fonds de clients</w:t>
            </w:r>
            <w:r w:rsidRPr="001544D6">
              <w:rPr>
                <w:rFonts w:ascii="Calibri" w:hAnsi="Calibri" w:cs="Calibri"/>
                <w:color w:val="000000"/>
                <w:sz w:val="22"/>
                <w:szCs w:val="22"/>
              </w:rPr>
              <w:t xml:space="preserve"> qu’une entreprise d’investissement détient, compte tenu des dispositifs juridiques en ce qui concerne la ségrégation des actifs et quel que soit le régime comptable national applicable aux fonds de clients détenus par l’entreprise d’investissement</w:t>
            </w:r>
          </w:p>
        </w:tc>
        <w:tc>
          <w:tcPr>
            <w:tcW w:w="4802" w:type="dxa"/>
            <w:shd w:val="clear" w:color="DDEBF7" w:fill="DDEBF7"/>
            <w:vAlign w:val="center"/>
            <w:hideMark/>
          </w:tcPr>
          <w:p w14:paraId="0A4C2372"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Art 4, § 1, points 28) et 49) d'IFR (définition), Art 18 d'IFR (modalités de calcul) ;  Art 1 du RTS IFR sur la définition des comptes ségrégués</w:t>
            </w:r>
          </w:p>
        </w:tc>
      </w:tr>
      <w:tr w:rsidR="00115EF0" w:rsidRPr="001544D6" w14:paraId="785A64FE" w14:textId="77777777" w:rsidTr="0029217F">
        <w:trPr>
          <w:trHeight w:val="1758"/>
          <w:jc w:val="center"/>
        </w:trPr>
        <w:tc>
          <w:tcPr>
            <w:tcW w:w="1206" w:type="dxa"/>
            <w:shd w:val="clear" w:color="auto" w:fill="auto"/>
            <w:vAlign w:val="center"/>
            <w:hideMark/>
          </w:tcPr>
          <w:p w14:paraId="46F09ACA"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Client</w:t>
            </w:r>
          </w:p>
        </w:tc>
        <w:tc>
          <w:tcPr>
            <w:tcW w:w="1069" w:type="dxa"/>
            <w:shd w:val="clear" w:color="auto" w:fill="auto"/>
            <w:vAlign w:val="center"/>
            <w:hideMark/>
          </w:tcPr>
          <w:p w14:paraId="176F03F6"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ASA</w:t>
            </w:r>
          </w:p>
        </w:tc>
        <w:tc>
          <w:tcPr>
            <w:tcW w:w="1866" w:type="dxa"/>
            <w:shd w:val="clear" w:color="auto" w:fill="auto"/>
            <w:vAlign w:val="center"/>
            <w:hideMark/>
          </w:tcPr>
          <w:p w14:paraId="18F7C046"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Actifs administrés et conservés</w:t>
            </w:r>
          </w:p>
        </w:tc>
        <w:tc>
          <w:tcPr>
            <w:tcW w:w="4711" w:type="dxa"/>
            <w:shd w:val="clear" w:color="auto" w:fill="auto"/>
            <w:vAlign w:val="center"/>
            <w:hideMark/>
          </w:tcPr>
          <w:p w14:paraId="7397F0FA"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 xml:space="preserve">Valeur des actifs qu’une entreprise d’investissement </w:t>
            </w:r>
            <w:r w:rsidRPr="001544D6">
              <w:rPr>
                <w:rFonts w:ascii="Calibri" w:hAnsi="Calibri" w:cs="Calibri"/>
                <w:b/>
                <w:bCs/>
                <w:color w:val="000000"/>
                <w:sz w:val="22"/>
                <w:szCs w:val="22"/>
              </w:rPr>
              <w:t>conserve et administre pour des clients</w:t>
            </w:r>
            <w:r w:rsidRPr="001544D6">
              <w:rPr>
                <w:rFonts w:ascii="Calibri" w:hAnsi="Calibri" w:cs="Calibri"/>
                <w:color w:val="000000"/>
                <w:sz w:val="22"/>
                <w:szCs w:val="22"/>
              </w:rPr>
              <w:t>, indépendamment de la question de savoir si les actifs figurent au bilan de l’entreprise d’investissement elle-même ou sont dans des comptes de tiers</w:t>
            </w:r>
          </w:p>
        </w:tc>
        <w:tc>
          <w:tcPr>
            <w:tcW w:w="4802" w:type="dxa"/>
            <w:shd w:val="clear" w:color="auto" w:fill="auto"/>
            <w:vAlign w:val="center"/>
            <w:hideMark/>
          </w:tcPr>
          <w:p w14:paraId="2704A5D3"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Art 4, § 1, point 29) d'IFR(définition) ; Art 19 d'IFR (modalités de calcul)</w:t>
            </w:r>
          </w:p>
        </w:tc>
      </w:tr>
      <w:tr w:rsidR="00115EF0" w:rsidRPr="001544D6" w14:paraId="4D385B05" w14:textId="77777777" w:rsidTr="0029217F">
        <w:trPr>
          <w:trHeight w:val="1406"/>
          <w:jc w:val="center"/>
        </w:trPr>
        <w:tc>
          <w:tcPr>
            <w:tcW w:w="1206" w:type="dxa"/>
            <w:shd w:val="clear" w:color="DDEBF7" w:fill="DDEBF7"/>
            <w:vAlign w:val="center"/>
            <w:hideMark/>
          </w:tcPr>
          <w:p w14:paraId="3EE16035"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Client</w:t>
            </w:r>
          </w:p>
        </w:tc>
        <w:tc>
          <w:tcPr>
            <w:tcW w:w="1069" w:type="dxa"/>
            <w:shd w:val="clear" w:color="DDEBF7" w:fill="DDEBF7"/>
            <w:vAlign w:val="center"/>
            <w:hideMark/>
          </w:tcPr>
          <w:p w14:paraId="67349583"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COH</w:t>
            </w:r>
          </w:p>
        </w:tc>
        <w:tc>
          <w:tcPr>
            <w:tcW w:w="1866" w:type="dxa"/>
            <w:shd w:val="clear" w:color="DDEBF7" w:fill="DDEBF7"/>
            <w:vAlign w:val="center"/>
            <w:hideMark/>
          </w:tcPr>
          <w:p w14:paraId="6758AEA2"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Ordres des clients traités (opérations cash et produits dérivés)</w:t>
            </w:r>
          </w:p>
        </w:tc>
        <w:tc>
          <w:tcPr>
            <w:tcW w:w="4711" w:type="dxa"/>
            <w:shd w:val="clear" w:color="DDEBF7" w:fill="DDEBF7"/>
            <w:vAlign w:val="center"/>
            <w:hideMark/>
          </w:tcPr>
          <w:p w14:paraId="50307A35"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 xml:space="preserve">Valeur des ordres qu’une entreprise d’investissement traite pour des clients en </w:t>
            </w:r>
            <w:r w:rsidRPr="001544D6">
              <w:rPr>
                <w:rFonts w:ascii="Calibri" w:hAnsi="Calibri" w:cs="Calibri"/>
                <w:b/>
                <w:bCs/>
                <w:color w:val="000000"/>
                <w:sz w:val="22"/>
                <w:szCs w:val="22"/>
              </w:rPr>
              <w:t>réceptionnant et transmettant les ordres</w:t>
            </w:r>
            <w:r w:rsidRPr="001544D6">
              <w:rPr>
                <w:rFonts w:ascii="Calibri" w:hAnsi="Calibri" w:cs="Calibri"/>
                <w:color w:val="000000"/>
                <w:sz w:val="22"/>
                <w:szCs w:val="22"/>
              </w:rPr>
              <w:t xml:space="preserve"> de clients et en e</w:t>
            </w:r>
            <w:r w:rsidRPr="001544D6">
              <w:rPr>
                <w:rFonts w:ascii="Calibri" w:hAnsi="Calibri" w:cs="Calibri"/>
                <w:b/>
                <w:bCs/>
                <w:color w:val="000000"/>
                <w:sz w:val="22"/>
                <w:szCs w:val="22"/>
              </w:rPr>
              <w:t>xécutant des ordres</w:t>
            </w:r>
            <w:r w:rsidRPr="001544D6">
              <w:rPr>
                <w:rFonts w:ascii="Calibri" w:hAnsi="Calibri" w:cs="Calibri"/>
                <w:color w:val="000000"/>
                <w:sz w:val="22"/>
                <w:szCs w:val="22"/>
              </w:rPr>
              <w:t xml:space="preserve"> pour le compte de clients</w:t>
            </w:r>
          </w:p>
        </w:tc>
        <w:tc>
          <w:tcPr>
            <w:tcW w:w="4802" w:type="dxa"/>
            <w:shd w:val="clear" w:color="DDEBF7" w:fill="DDEBF7"/>
            <w:vAlign w:val="center"/>
            <w:hideMark/>
          </w:tcPr>
          <w:p w14:paraId="6ECD18AB"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Art 4, § 1, point 30) d'IFR (définition) ; Art 20 d'IFR (modalités de calcul) ; Service d'EO défini à l'art 4 § 1, point 5) de MiFID II</w:t>
            </w:r>
          </w:p>
        </w:tc>
      </w:tr>
      <w:tr w:rsidR="00115EF0" w:rsidRPr="001544D6" w14:paraId="1C8760D2" w14:textId="77777777" w:rsidTr="001544D6">
        <w:trPr>
          <w:trHeight w:val="1278"/>
          <w:jc w:val="center"/>
        </w:trPr>
        <w:tc>
          <w:tcPr>
            <w:tcW w:w="1206" w:type="dxa"/>
            <w:shd w:val="clear" w:color="auto" w:fill="auto"/>
            <w:vAlign w:val="center"/>
            <w:hideMark/>
          </w:tcPr>
          <w:p w14:paraId="0608B53F"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Firm</w:t>
            </w:r>
          </w:p>
        </w:tc>
        <w:tc>
          <w:tcPr>
            <w:tcW w:w="1069" w:type="dxa"/>
            <w:shd w:val="clear" w:color="auto" w:fill="auto"/>
            <w:vAlign w:val="center"/>
            <w:hideMark/>
          </w:tcPr>
          <w:p w14:paraId="171DF0FB"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TCD</w:t>
            </w:r>
          </w:p>
        </w:tc>
        <w:tc>
          <w:tcPr>
            <w:tcW w:w="1866" w:type="dxa"/>
            <w:shd w:val="clear" w:color="auto" w:fill="auto"/>
            <w:vAlign w:val="center"/>
            <w:hideMark/>
          </w:tcPr>
          <w:p w14:paraId="72B27E69"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Risque de défaut d'une contrepartie</w:t>
            </w:r>
          </w:p>
        </w:tc>
        <w:tc>
          <w:tcPr>
            <w:tcW w:w="4711" w:type="dxa"/>
            <w:shd w:val="clear" w:color="auto" w:fill="auto"/>
            <w:vAlign w:val="center"/>
            <w:hideMark/>
          </w:tcPr>
          <w:p w14:paraId="44A868F2" w14:textId="77777777" w:rsidR="00115EF0" w:rsidRPr="001544D6" w:rsidRDefault="00115EF0" w:rsidP="0029217F">
            <w:pPr>
              <w:rPr>
                <w:rFonts w:ascii="Calibri" w:hAnsi="Calibri" w:cs="Calibri"/>
                <w:sz w:val="22"/>
                <w:szCs w:val="22"/>
              </w:rPr>
            </w:pPr>
            <w:r w:rsidRPr="001544D6">
              <w:rPr>
                <w:rFonts w:ascii="Calibri" w:hAnsi="Calibri" w:cs="Calibri"/>
                <w:sz w:val="22"/>
                <w:szCs w:val="22"/>
              </w:rPr>
              <w:t xml:space="preserve">Expositions, dans le </w:t>
            </w:r>
            <w:r w:rsidRPr="001544D6">
              <w:rPr>
                <w:rFonts w:ascii="Calibri" w:hAnsi="Calibri" w:cs="Calibri"/>
                <w:b/>
                <w:bCs/>
                <w:sz w:val="22"/>
                <w:szCs w:val="22"/>
              </w:rPr>
              <w:t>portefeuille de négociation</w:t>
            </w:r>
            <w:r w:rsidRPr="001544D6">
              <w:rPr>
                <w:rFonts w:ascii="Calibri" w:hAnsi="Calibri" w:cs="Calibri"/>
                <w:sz w:val="22"/>
                <w:szCs w:val="22"/>
              </w:rPr>
              <w:t xml:space="preserve"> d’une entreprise d’investissement, à des </w:t>
            </w:r>
            <w:r w:rsidRPr="001544D6">
              <w:rPr>
                <w:rFonts w:ascii="Calibri" w:hAnsi="Calibri" w:cs="Calibri"/>
                <w:b/>
                <w:bCs/>
                <w:sz w:val="22"/>
                <w:szCs w:val="22"/>
              </w:rPr>
              <w:t xml:space="preserve">instruments et opérations </w:t>
            </w:r>
            <w:r w:rsidRPr="001544D6">
              <w:rPr>
                <w:rFonts w:ascii="Calibri" w:hAnsi="Calibri" w:cs="Calibri"/>
                <w:sz w:val="22"/>
                <w:szCs w:val="22"/>
              </w:rPr>
              <w:t xml:space="preserve">visés à </w:t>
            </w:r>
            <w:r w:rsidRPr="001544D6">
              <w:rPr>
                <w:rFonts w:ascii="Calibri" w:hAnsi="Calibri" w:cs="Calibri"/>
                <w:b/>
                <w:bCs/>
                <w:sz w:val="22"/>
                <w:szCs w:val="22"/>
              </w:rPr>
              <w:t xml:space="preserve">l’article 25 d'IFR </w:t>
            </w:r>
            <w:r w:rsidRPr="001544D6">
              <w:rPr>
                <w:rFonts w:ascii="Calibri" w:hAnsi="Calibri" w:cs="Calibri"/>
                <w:sz w:val="22"/>
                <w:szCs w:val="22"/>
              </w:rPr>
              <w:t>qui génèrent un risque de défaut de la contrepartie</w:t>
            </w:r>
          </w:p>
        </w:tc>
        <w:tc>
          <w:tcPr>
            <w:tcW w:w="4802" w:type="dxa"/>
            <w:shd w:val="clear" w:color="auto" w:fill="auto"/>
            <w:vAlign w:val="center"/>
            <w:hideMark/>
          </w:tcPr>
          <w:p w14:paraId="0BCEEDD9"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Art 4 §1 point 35) d'IFR (définition) ; Art 25 (opérations et contrats concernés) ; Art 26 à 32 (modalités de calcul et modèles applicables)</w:t>
            </w:r>
          </w:p>
        </w:tc>
      </w:tr>
      <w:tr w:rsidR="00115EF0" w:rsidRPr="001544D6" w14:paraId="2261E12D" w14:textId="77777777" w:rsidTr="0029217F">
        <w:trPr>
          <w:trHeight w:val="2532"/>
          <w:jc w:val="center"/>
        </w:trPr>
        <w:tc>
          <w:tcPr>
            <w:tcW w:w="1206" w:type="dxa"/>
            <w:shd w:val="clear" w:color="DDEBF7" w:fill="DDEBF7"/>
            <w:vAlign w:val="center"/>
            <w:hideMark/>
          </w:tcPr>
          <w:p w14:paraId="109A1A9B"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Firm</w:t>
            </w:r>
          </w:p>
        </w:tc>
        <w:tc>
          <w:tcPr>
            <w:tcW w:w="1069" w:type="dxa"/>
            <w:shd w:val="clear" w:color="DDEBF7" w:fill="DDEBF7"/>
            <w:vAlign w:val="center"/>
            <w:hideMark/>
          </w:tcPr>
          <w:p w14:paraId="02FB5646"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DTF</w:t>
            </w:r>
          </w:p>
        </w:tc>
        <w:tc>
          <w:tcPr>
            <w:tcW w:w="1866" w:type="dxa"/>
            <w:shd w:val="clear" w:color="DDEBF7" w:fill="DDEBF7"/>
            <w:vAlign w:val="center"/>
            <w:hideMark/>
          </w:tcPr>
          <w:p w14:paraId="7F29641D"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Risque opérationnel</w:t>
            </w:r>
            <w:r w:rsidRPr="001544D6">
              <w:rPr>
                <w:rStyle w:val="Appelnotedebasdep"/>
                <w:rFonts w:ascii="Calibri" w:hAnsi="Calibri" w:cs="Calibri"/>
                <w:color w:val="000000"/>
                <w:sz w:val="22"/>
                <w:szCs w:val="22"/>
              </w:rPr>
              <w:footnoteReference w:id="19"/>
            </w:r>
          </w:p>
        </w:tc>
        <w:tc>
          <w:tcPr>
            <w:tcW w:w="4711" w:type="dxa"/>
            <w:shd w:val="clear" w:color="DDEBF7" w:fill="DDEBF7"/>
            <w:vAlign w:val="center"/>
            <w:hideMark/>
          </w:tcPr>
          <w:p w14:paraId="71F29E93"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 xml:space="preserve">Valeur quotidienne des opérations qu’une entreprise d’investissement effectue en </w:t>
            </w:r>
            <w:r w:rsidRPr="001544D6">
              <w:rPr>
                <w:rFonts w:ascii="Calibri" w:hAnsi="Calibri" w:cs="Calibri"/>
                <w:b/>
                <w:bCs/>
                <w:color w:val="000000"/>
                <w:sz w:val="22"/>
                <w:szCs w:val="22"/>
              </w:rPr>
              <w:t>négociant pour compte propre</w:t>
            </w:r>
            <w:r w:rsidRPr="001544D6">
              <w:rPr>
                <w:rFonts w:ascii="Calibri" w:hAnsi="Calibri" w:cs="Calibri"/>
                <w:color w:val="000000"/>
                <w:sz w:val="22"/>
                <w:szCs w:val="22"/>
              </w:rPr>
              <w:t xml:space="preserve"> ou en </w:t>
            </w:r>
            <w:r w:rsidRPr="001544D6">
              <w:rPr>
                <w:rFonts w:ascii="Calibri" w:hAnsi="Calibri" w:cs="Calibri"/>
                <w:b/>
                <w:bCs/>
                <w:color w:val="000000"/>
                <w:sz w:val="22"/>
                <w:szCs w:val="22"/>
              </w:rPr>
              <w:t>exécutant des ordres pour le compte de clients en son propre nom</w:t>
            </w:r>
            <w:r w:rsidRPr="001544D6">
              <w:rPr>
                <w:rFonts w:ascii="Calibri" w:hAnsi="Calibri" w:cs="Calibri"/>
                <w:color w:val="000000"/>
                <w:sz w:val="22"/>
                <w:szCs w:val="22"/>
              </w:rPr>
              <w:t>, à l’exclusion de la valeur des ordres qu’une entreprise d’investissement traite pour des clients en réceptionnant et transmettant leurs ordres et en exécutant des ordres pour leur compte, qui sont déjà pris en compte dans le cadre des ordres de clients traités</w:t>
            </w:r>
          </w:p>
        </w:tc>
        <w:tc>
          <w:tcPr>
            <w:tcW w:w="4802" w:type="dxa"/>
            <w:shd w:val="clear" w:color="DDEBF7" w:fill="DDEBF7"/>
            <w:vAlign w:val="center"/>
            <w:hideMark/>
          </w:tcPr>
          <w:p w14:paraId="03BA6FDB"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Art 4 §1 point 33) d'IFR (définition) ; Art 33 d'IFR (modalités de calcul)</w:t>
            </w:r>
          </w:p>
        </w:tc>
      </w:tr>
      <w:tr w:rsidR="00115EF0" w:rsidRPr="001544D6" w14:paraId="7405E340" w14:textId="77777777" w:rsidTr="0029217F">
        <w:trPr>
          <w:trHeight w:val="2250"/>
          <w:jc w:val="center"/>
        </w:trPr>
        <w:tc>
          <w:tcPr>
            <w:tcW w:w="1206" w:type="dxa"/>
            <w:shd w:val="clear" w:color="auto" w:fill="auto"/>
            <w:vAlign w:val="center"/>
            <w:hideMark/>
          </w:tcPr>
          <w:p w14:paraId="2008532A"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Firm</w:t>
            </w:r>
          </w:p>
        </w:tc>
        <w:tc>
          <w:tcPr>
            <w:tcW w:w="1069" w:type="dxa"/>
            <w:shd w:val="clear" w:color="auto" w:fill="auto"/>
            <w:vAlign w:val="center"/>
            <w:hideMark/>
          </w:tcPr>
          <w:p w14:paraId="7A6B4799"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CON</w:t>
            </w:r>
          </w:p>
        </w:tc>
        <w:tc>
          <w:tcPr>
            <w:tcW w:w="1866" w:type="dxa"/>
            <w:shd w:val="clear" w:color="auto" w:fill="auto"/>
            <w:vAlign w:val="center"/>
            <w:hideMark/>
          </w:tcPr>
          <w:p w14:paraId="00A6B485"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Risque de concentration (dépassement des grands risques)</w:t>
            </w:r>
          </w:p>
        </w:tc>
        <w:tc>
          <w:tcPr>
            <w:tcW w:w="4711" w:type="dxa"/>
            <w:shd w:val="clear" w:color="auto" w:fill="auto"/>
            <w:vAlign w:val="center"/>
            <w:hideMark/>
          </w:tcPr>
          <w:p w14:paraId="1667F037"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 xml:space="preserve">Expositions, dans le </w:t>
            </w:r>
            <w:r w:rsidRPr="001544D6">
              <w:rPr>
                <w:rFonts w:ascii="Calibri" w:hAnsi="Calibri" w:cs="Calibri"/>
                <w:b/>
                <w:bCs/>
                <w:color w:val="000000"/>
                <w:sz w:val="22"/>
                <w:szCs w:val="22"/>
              </w:rPr>
              <w:t xml:space="preserve">portefeuille de négociation </w:t>
            </w:r>
            <w:r w:rsidRPr="001544D6">
              <w:rPr>
                <w:rFonts w:ascii="Calibri" w:hAnsi="Calibri" w:cs="Calibri"/>
                <w:color w:val="000000"/>
                <w:sz w:val="22"/>
                <w:szCs w:val="22"/>
              </w:rPr>
              <w:t>d’une entreprise d’investissement, à un client ou à un groupe de clients liés dont la valeur dépasse les limites prévues à l’article 37, paragraphe 1 et qui concerne les instruments listés à l'art 25;</w:t>
            </w:r>
          </w:p>
        </w:tc>
        <w:tc>
          <w:tcPr>
            <w:tcW w:w="4802" w:type="dxa"/>
            <w:shd w:val="clear" w:color="auto" w:fill="auto"/>
            <w:vAlign w:val="center"/>
            <w:hideMark/>
          </w:tcPr>
          <w:p w14:paraId="2C7733AB" w14:textId="77777777" w:rsidR="00115EF0" w:rsidRPr="001544D6" w:rsidRDefault="00115EF0" w:rsidP="0029217F">
            <w:pPr>
              <w:rPr>
                <w:rFonts w:ascii="Calibri" w:hAnsi="Calibri" w:cs="Calibri"/>
                <w:sz w:val="22"/>
                <w:szCs w:val="22"/>
              </w:rPr>
            </w:pPr>
            <w:r w:rsidRPr="001544D6">
              <w:rPr>
                <w:rFonts w:ascii="Calibri" w:hAnsi="Calibri" w:cs="Calibri"/>
                <w:sz w:val="22"/>
                <w:szCs w:val="22"/>
              </w:rPr>
              <w:t>Art 4 §1 point 31) d'IFR (définition) ;</w:t>
            </w:r>
            <w:r w:rsidRPr="001544D6">
              <w:rPr>
                <w:rFonts w:ascii="Calibri" w:hAnsi="Calibri" w:cs="Calibri"/>
                <w:sz w:val="22"/>
                <w:szCs w:val="22"/>
                <w:u w:val="single"/>
              </w:rPr>
              <w:t xml:space="preserve"> Art 37 d'IFR (seuils)</w:t>
            </w:r>
            <w:r w:rsidRPr="001544D6">
              <w:rPr>
                <w:rFonts w:ascii="Calibri" w:hAnsi="Calibri" w:cs="Calibri"/>
                <w:sz w:val="22"/>
                <w:szCs w:val="22"/>
              </w:rPr>
              <w:t xml:space="preserve"> ; Art 36 et 37 d'IFR (modalités de calcul); Art 38 d'IFR (obligation de notification en cas de dépassement des seuils) ; Art 39 d'IFR (nouvelles exigences de FP en cas de dépassement des seuils) ;</w:t>
            </w:r>
            <w:r w:rsidRPr="001544D6">
              <w:rPr>
                <w:rFonts w:ascii="Calibri" w:hAnsi="Calibri" w:cs="Calibri"/>
                <w:sz w:val="22"/>
                <w:szCs w:val="22"/>
                <w:u w:val="single"/>
              </w:rPr>
              <w:t xml:space="preserve"> i</w:t>
            </w:r>
            <w:r w:rsidRPr="001544D6">
              <w:rPr>
                <w:rFonts w:ascii="Calibri" w:hAnsi="Calibri" w:cs="Calibri"/>
                <w:b/>
                <w:bCs/>
                <w:sz w:val="22"/>
                <w:szCs w:val="22"/>
                <w:u w:val="single"/>
              </w:rPr>
              <w:t xml:space="preserve">nstruments listés à l'Art 25 </w:t>
            </w:r>
            <w:r w:rsidRPr="001544D6">
              <w:rPr>
                <w:rFonts w:ascii="Calibri" w:hAnsi="Calibri" w:cs="Calibri"/>
                <w:sz w:val="22"/>
                <w:szCs w:val="22"/>
                <w:u w:val="single"/>
              </w:rPr>
              <w:t>(opérations et contrats concernés, voir K-TCD)</w:t>
            </w:r>
            <w:r w:rsidRPr="001544D6">
              <w:rPr>
                <w:rFonts w:ascii="Calibri" w:hAnsi="Calibri" w:cs="Calibri"/>
                <w:sz w:val="22"/>
                <w:szCs w:val="22"/>
              </w:rPr>
              <w:t xml:space="preserve"> et tous les </w:t>
            </w:r>
            <w:r w:rsidRPr="001544D6">
              <w:rPr>
                <w:rFonts w:ascii="Calibri" w:hAnsi="Calibri" w:cs="Calibri"/>
                <w:b/>
                <w:bCs/>
                <w:sz w:val="22"/>
                <w:szCs w:val="22"/>
              </w:rPr>
              <w:t>instruments du portefeuille de négociation</w:t>
            </w:r>
            <w:r w:rsidRPr="001544D6">
              <w:rPr>
                <w:rFonts w:ascii="Calibri" w:hAnsi="Calibri" w:cs="Calibri"/>
                <w:sz w:val="22"/>
                <w:szCs w:val="22"/>
              </w:rPr>
              <w:t xml:space="preserve"> ; Art 22 (calcul de la position nette pour chaque instrument)</w:t>
            </w:r>
          </w:p>
        </w:tc>
      </w:tr>
      <w:tr w:rsidR="00115EF0" w:rsidRPr="001544D6" w14:paraId="4AABCEB6" w14:textId="77777777" w:rsidTr="001544D6">
        <w:trPr>
          <w:trHeight w:val="2271"/>
          <w:jc w:val="center"/>
        </w:trPr>
        <w:tc>
          <w:tcPr>
            <w:tcW w:w="1206" w:type="dxa"/>
            <w:shd w:val="clear" w:color="auto" w:fill="auto"/>
            <w:vAlign w:val="center"/>
            <w:hideMark/>
          </w:tcPr>
          <w:p w14:paraId="20EBF252"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Market</w:t>
            </w:r>
          </w:p>
        </w:tc>
        <w:tc>
          <w:tcPr>
            <w:tcW w:w="1069" w:type="dxa"/>
            <w:shd w:val="clear" w:color="auto" w:fill="auto"/>
            <w:vAlign w:val="center"/>
            <w:hideMark/>
          </w:tcPr>
          <w:p w14:paraId="16BBEA6A"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NPR</w:t>
            </w:r>
          </w:p>
        </w:tc>
        <w:tc>
          <w:tcPr>
            <w:tcW w:w="1866" w:type="dxa"/>
            <w:shd w:val="clear" w:color="auto" w:fill="auto"/>
            <w:vAlign w:val="center"/>
            <w:hideMark/>
          </w:tcPr>
          <w:p w14:paraId="421CA7F2"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Risque de position nette (Marges nettes)</w:t>
            </w:r>
          </w:p>
        </w:tc>
        <w:tc>
          <w:tcPr>
            <w:tcW w:w="4711" w:type="dxa"/>
            <w:shd w:val="clear" w:color="auto" w:fill="auto"/>
            <w:vAlign w:val="center"/>
            <w:hideMark/>
          </w:tcPr>
          <w:p w14:paraId="6063B4AC"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 xml:space="preserve">Valeur des opérations enregistrées dans le </w:t>
            </w:r>
            <w:r w:rsidRPr="001544D6">
              <w:rPr>
                <w:rFonts w:ascii="Calibri" w:hAnsi="Calibri" w:cs="Calibri"/>
                <w:b/>
                <w:bCs/>
                <w:color w:val="000000"/>
                <w:sz w:val="22"/>
                <w:szCs w:val="22"/>
              </w:rPr>
              <w:t>portefeuille de négociation</w:t>
            </w:r>
            <w:r w:rsidRPr="001544D6">
              <w:rPr>
                <w:rFonts w:ascii="Calibri" w:hAnsi="Calibri" w:cs="Calibri"/>
                <w:color w:val="000000"/>
                <w:sz w:val="22"/>
                <w:szCs w:val="22"/>
              </w:rPr>
              <w:t xml:space="preserve"> d’une entreprise d’investissement</w:t>
            </w:r>
          </w:p>
        </w:tc>
        <w:tc>
          <w:tcPr>
            <w:tcW w:w="4802" w:type="dxa"/>
            <w:shd w:val="clear" w:color="auto" w:fill="auto"/>
            <w:vAlign w:val="center"/>
            <w:hideMark/>
          </w:tcPr>
          <w:p w14:paraId="6C170871"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 xml:space="preserve">Art 4 §1 point 34) d'IFR (définition) ; Art 22, point a) d'IFR (modalités de calcul) ; 3 approches : </w:t>
            </w:r>
            <w:r w:rsidRPr="001544D6">
              <w:rPr>
                <w:rFonts w:ascii="Calibri" w:hAnsi="Calibri" w:cs="Calibri"/>
                <w:color w:val="000000"/>
                <w:sz w:val="22"/>
                <w:szCs w:val="22"/>
                <w:u w:val="single"/>
              </w:rPr>
              <w:t>standard</w:t>
            </w:r>
            <w:r w:rsidRPr="001544D6">
              <w:rPr>
                <w:rFonts w:ascii="Calibri" w:hAnsi="Calibri" w:cs="Calibri"/>
                <w:color w:val="000000"/>
                <w:sz w:val="22"/>
                <w:szCs w:val="22"/>
              </w:rPr>
              <w:t xml:space="preserve"> TSA (3ème partie, titre IV, chap 2, 3 et 4 de CRR), </w:t>
            </w:r>
            <w:r w:rsidRPr="001544D6">
              <w:rPr>
                <w:rFonts w:ascii="Calibri" w:hAnsi="Calibri" w:cs="Calibri"/>
                <w:color w:val="000000"/>
                <w:sz w:val="22"/>
                <w:szCs w:val="22"/>
                <w:u w:val="single"/>
              </w:rPr>
              <w:t>standard alternative</w:t>
            </w:r>
            <w:r w:rsidRPr="001544D6">
              <w:rPr>
                <w:rFonts w:ascii="Calibri" w:hAnsi="Calibri" w:cs="Calibri"/>
                <w:color w:val="000000"/>
                <w:sz w:val="22"/>
                <w:szCs w:val="22"/>
              </w:rPr>
              <w:t xml:space="preserve"> ASA (3ème partie, titre IV, chap 1 bis de CRR) et méthodes alternatives fondées sur des </w:t>
            </w:r>
            <w:r w:rsidRPr="001544D6">
              <w:rPr>
                <w:rFonts w:ascii="Calibri" w:hAnsi="Calibri" w:cs="Calibri"/>
                <w:color w:val="000000"/>
                <w:sz w:val="22"/>
                <w:szCs w:val="22"/>
                <w:u w:val="single"/>
              </w:rPr>
              <w:t>modèles internes</w:t>
            </w:r>
            <w:r w:rsidRPr="001544D6">
              <w:rPr>
                <w:rFonts w:ascii="Calibri" w:hAnsi="Calibri" w:cs="Calibri"/>
                <w:color w:val="000000"/>
                <w:sz w:val="22"/>
                <w:szCs w:val="22"/>
              </w:rPr>
              <w:t xml:space="preserve"> AMA (3ème partie, titre IV, chap 1 ter de CRR)</w:t>
            </w:r>
          </w:p>
        </w:tc>
      </w:tr>
      <w:tr w:rsidR="00115EF0" w:rsidRPr="001544D6" w14:paraId="2F734EA2" w14:textId="77777777" w:rsidTr="001544D6">
        <w:trPr>
          <w:trHeight w:val="2428"/>
          <w:jc w:val="center"/>
        </w:trPr>
        <w:tc>
          <w:tcPr>
            <w:tcW w:w="1206" w:type="dxa"/>
            <w:shd w:val="clear" w:color="DDEBF7" w:fill="DDEBF7"/>
            <w:vAlign w:val="center"/>
            <w:hideMark/>
          </w:tcPr>
          <w:p w14:paraId="3C25F91B"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Market</w:t>
            </w:r>
          </w:p>
        </w:tc>
        <w:tc>
          <w:tcPr>
            <w:tcW w:w="1069" w:type="dxa"/>
            <w:shd w:val="clear" w:color="DDEBF7" w:fill="DDEBF7"/>
            <w:vAlign w:val="center"/>
            <w:hideMark/>
          </w:tcPr>
          <w:p w14:paraId="17D2443F" w14:textId="77777777" w:rsidR="00115EF0" w:rsidRPr="001544D6" w:rsidRDefault="00115EF0" w:rsidP="0029217F">
            <w:pPr>
              <w:rPr>
                <w:rFonts w:ascii="Calibri" w:hAnsi="Calibri" w:cs="Calibri"/>
                <w:b/>
                <w:bCs/>
                <w:color w:val="000000"/>
                <w:sz w:val="22"/>
                <w:szCs w:val="22"/>
              </w:rPr>
            </w:pPr>
            <w:r w:rsidRPr="001544D6">
              <w:rPr>
                <w:rFonts w:ascii="Calibri" w:hAnsi="Calibri" w:cs="Calibri"/>
                <w:b/>
                <w:bCs/>
                <w:color w:val="000000"/>
                <w:sz w:val="22"/>
                <w:szCs w:val="22"/>
              </w:rPr>
              <w:t>CMG</w:t>
            </w:r>
          </w:p>
        </w:tc>
        <w:tc>
          <w:tcPr>
            <w:tcW w:w="1866" w:type="dxa"/>
            <w:shd w:val="clear" w:color="DDEBF7" w:fill="DDEBF7"/>
            <w:vAlign w:val="center"/>
            <w:hideMark/>
          </w:tcPr>
          <w:p w14:paraId="7890EAA4"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Marge totale requise par un membre compensateur ou une contrepartie centrale éligible</w:t>
            </w:r>
          </w:p>
        </w:tc>
        <w:tc>
          <w:tcPr>
            <w:tcW w:w="4711" w:type="dxa"/>
            <w:shd w:val="clear" w:color="DDEBF7" w:fill="DDEBF7"/>
            <w:vAlign w:val="center"/>
            <w:hideMark/>
          </w:tcPr>
          <w:p w14:paraId="6A8699E6"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 xml:space="preserve">Montant de la </w:t>
            </w:r>
            <w:r w:rsidRPr="001544D6">
              <w:rPr>
                <w:rFonts w:ascii="Calibri" w:hAnsi="Calibri" w:cs="Calibri"/>
                <w:b/>
                <w:bCs/>
                <w:color w:val="000000"/>
                <w:sz w:val="22"/>
                <w:szCs w:val="22"/>
              </w:rPr>
              <w:t>marge totale</w:t>
            </w:r>
            <w:r w:rsidRPr="001544D6">
              <w:rPr>
                <w:rFonts w:ascii="Calibri" w:hAnsi="Calibri" w:cs="Calibri"/>
                <w:color w:val="000000"/>
                <w:sz w:val="22"/>
                <w:szCs w:val="22"/>
              </w:rPr>
              <w:t xml:space="preserve"> requise par un membre compensateur ou une contrepartie centrale éligible, lorsque l’exécution et le règlement des opérations d’une entreprise d’investissement qui </w:t>
            </w:r>
            <w:r w:rsidRPr="001544D6">
              <w:rPr>
                <w:rFonts w:ascii="Calibri" w:hAnsi="Calibri" w:cs="Calibri"/>
                <w:b/>
                <w:bCs/>
                <w:color w:val="000000"/>
                <w:sz w:val="22"/>
                <w:szCs w:val="22"/>
              </w:rPr>
              <w:t>négocie pour compte propre</w:t>
            </w:r>
            <w:r w:rsidRPr="001544D6">
              <w:rPr>
                <w:rFonts w:ascii="Calibri" w:hAnsi="Calibri" w:cs="Calibri"/>
                <w:color w:val="000000"/>
                <w:sz w:val="22"/>
                <w:szCs w:val="22"/>
              </w:rPr>
              <w:t xml:space="preserve"> ont lieu sous la responsabilité d’un </w:t>
            </w:r>
            <w:r w:rsidRPr="001544D6">
              <w:rPr>
                <w:rFonts w:ascii="Calibri" w:hAnsi="Calibri" w:cs="Calibri"/>
                <w:b/>
                <w:bCs/>
                <w:color w:val="000000"/>
                <w:sz w:val="22"/>
                <w:szCs w:val="22"/>
              </w:rPr>
              <w:t xml:space="preserve">membre compensateur </w:t>
            </w:r>
            <w:r w:rsidRPr="001544D6">
              <w:rPr>
                <w:rFonts w:ascii="Calibri" w:hAnsi="Calibri" w:cs="Calibri"/>
                <w:color w:val="000000"/>
                <w:sz w:val="22"/>
                <w:szCs w:val="22"/>
              </w:rPr>
              <w:t>ou d’</w:t>
            </w:r>
            <w:r w:rsidRPr="001544D6">
              <w:rPr>
                <w:rFonts w:ascii="Calibri" w:hAnsi="Calibri" w:cs="Calibri"/>
                <w:b/>
                <w:bCs/>
                <w:color w:val="000000"/>
                <w:sz w:val="22"/>
                <w:szCs w:val="22"/>
              </w:rPr>
              <w:t>une contrepartie centrale éligible</w:t>
            </w:r>
          </w:p>
        </w:tc>
        <w:tc>
          <w:tcPr>
            <w:tcW w:w="4802" w:type="dxa"/>
            <w:shd w:val="clear" w:color="DDEBF7" w:fill="DDEBF7"/>
            <w:vAlign w:val="center"/>
            <w:hideMark/>
          </w:tcPr>
          <w:p w14:paraId="48CB045D" w14:textId="77777777" w:rsidR="00115EF0" w:rsidRPr="001544D6" w:rsidRDefault="00115EF0" w:rsidP="0029217F">
            <w:pPr>
              <w:rPr>
                <w:rFonts w:ascii="Calibri" w:hAnsi="Calibri" w:cs="Calibri"/>
                <w:color w:val="000000"/>
                <w:sz w:val="22"/>
                <w:szCs w:val="22"/>
              </w:rPr>
            </w:pPr>
            <w:r w:rsidRPr="001544D6">
              <w:rPr>
                <w:rFonts w:ascii="Calibri" w:hAnsi="Calibri" w:cs="Calibri"/>
                <w:color w:val="000000"/>
                <w:sz w:val="22"/>
                <w:szCs w:val="22"/>
              </w:rPr>
              <w:t>Art 4 §1 point 31) d'IFR (définition) ; Art 23 d'IFR (modalités de calcul)</w:t>
            </w:r>
          </w:p>
        </w:tc>
      </w:tr>
    </w:tbl>
    <w:p w14:paraId="759C7770" w14:textId="77777777" w:rsidR="00115EF0" w:rsidRPr="001544D6" w:rsidRDefault="00115EF0" w:rsidP="00115EF0">
      <w:pPr>
        <w:rPr>
          <w:rFonts w:ascii="Arial" w:hAnsi="Arial" w:cs="Arial"/>
          <w:sz w:val="22"/>
          <w:szCs w:val="22"/>
        </w:rPr>
      </w:pPr>
    </w:p>
    <w:p w14:paraId="3F0C4CAF" w14:textId="77777777" w:rsidR="0060140D" w:rsidRPr="001544D6" w:rsidRDefault="0060140D" w:rsidP="00372438">
      <w:pPr>
        <w:pStyle w:val="SGACP-annexe-titre"/>
        <w:jc w:val="left"/>
        <w:rPr>
          <w:sz w:val="22"/>
          <w:szCs w:val="22"/>
        </w:rPr>
      </w:pPr>
    </w:p>
    <w:sectPr w:rsidR="0060140D" w:rsidRPr="001544D6" w:rsidSect="001544D6">
      <w:pgSz w:w="16838" w:h="11906" w:orient="landscape"/>
      <w:pgMar w:top="1134" w:right="1134" w:bottom="1134" w:left="9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05AC" w14:textId="77777777" w:rsidR="0029217F" w:rsidRDefault="0029217F" w:rsidP="00463A1C">
      <w:r>
        <w:separator/>
      </w:r>
    </w:p>
  </w:endnote>
  <w:endnote w:type="continuationSeparator" w:id="0">
    <w:p w14:paraId="6F04B682" w14:textId="77777777" w:rsidR="0029217F" w:rsidRDefault="0029217F"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E509" w14:textId="77777777" w:rsidR="0029217F" w:rsidRDefault="0029217F"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52558AEC" w14:textId="0078DC33" w:rsidR="0029217F" w:rsidRDefault="0029217F"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89</w:t>
    </w:r>
    <w:r>
      <w:rPr>
        <w:rStyle w:val="Numrodepag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F617" w14:textId="2B04BDAE" w:rsidR="0029217F" w:rsidRDefault="0029217F" w:rsidP="00D1728C">
    <w:pPr>
      <w:pStyle w:val="Pieddepage"/>
      <w:pBdr>
        <w:top w:val="single" w:sz="4" w:space="1" w:color="000000"/>
      </w:pBdr>
      <w:tabs>
        <w:tab w:val="clear" w:pos="8222"/>
        <w:tab w:val="left" w:pos="8789"/>
      </w:tabs>
      <w:jc w:val="left"/>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90013">
      <w:rPr>
        <w:rFonts w:cs="Arial"/>
        <w:noProof/>
        <w:szCs w:val="18"/>
      </w:rPr>
      <w:t>67</w:t>
    </w:r>
    <w:r>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66E6" w14:textId="694DD7B6" w:rsidR="0029217F" w:rsidRDefault="0029217F"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90013">
      <w:rPr>
        <w:rFonts w:cs="Arial"/>
        <w:noProof/>
        <w:szCs w:val="18"/>
      </w:rPr>
      <w:t>70</w:t>
    </w:r>
    <w:r>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023C" w14:textId="3C8EE07C" w:rsidR="0029217F" w:rsidRDefault="0029217F"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90013">
      <w:rPr>
        <w:rFonts w:cs="Arial"/>
        <w:noProof/>
        <w:szCs w:val="18"/>
      </w:rPr>
      <w:t>93</w:t>
    </w:r>
    <w:r>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4CEE" w14:textId="77777777" w:rsidR="0029217F" w:rsidRDefault="0029217F"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69DFFD62" w14:textId="33AC4DB8" w:rsidR="0029217F" w:rsidRDefault="0029217F"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89</w:t>
    </w:r>
    <w:r>
      <w:rPr>
        <w:rStyle w:val="Numrodepage"/>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0148" w14:textId="123CAA41" w:rsidR="0029217F" w:rsidRPr="00010F0F" w:rsidRDefault="0029217F"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90013">
      <w:rPr>
        <w:rFonts w:cs="Arial"/>
        <w:noProof/>
        <w:szCs w:val="18"/>
      </w:rPr>
      <w:t>100</w:t>
    </w:r>
    <w:r>
      <w:rPr>
        <w:rFonts w:cs="Arial"/>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9E9D" w14:textId="77777777" w:rsidR="0029217F" w:rsidRPr="005612E1" w:rsidRDefault="0029217F" w:rsidP="00463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B94F" w14:textId="77777777" w:rsidR="0029217F" w:rsidRDefault="0029217F" w:rsidP="00463A1C">
      <w:r>
        <w:separator/>
      </w:r>
    </w:p>
  </w:footnote>
  <w:footnote w:type="continuationSeparator" w:id="0">
    <w:p w14:paraId="63B4B1D6" w14:textId="77777777" w:rsidR="0029217F" w:rsidRDefault="0029217F" w:rsidP="00463A1C">
      <w:r>
        <w:continuationSeparator/>
      </w:r>
    </w:p>
  </w:footnote>
  <w:footnote w:id="1">
    <w:p w14:paraId="6D0A6B59" w14:textId="6202CC8C" w:rsidR="0029217F" w:rsidRDefault="0029217F" w:rsidP="00890013">
      <w:pPr>
        <w:pStyle w:val="Notedebasdepage"/>
        <w:spacing w:before="0" w:after="0"/>
        <w:ind w:right="0"/>
      </w:pPr>
      <w:r>
        <w:rPr>
          <w:rStyle w:val="Appelnotedebasdep"/>
        </w:rPr>
        <w:footnoteRef/>
      </w:r>
      <w:r>
        <w:t xml:space="preserve"> Il est rappelé que les EI de classe 2 et 3 sont tenues de décrire les systèmes de surveillance et de maîtrise des risques auxquels elles sont exposées, </w:t>
      </w:r>
      <w:r w:rsidRPr="00F703DC">
        <w:t xml:space="preserve">notamment </w:t>
      </w:r>
      <w:r>
        <w:t xml:space="preserve">concernant </w:t>
      </w:r>
      <w:r w:rsidRPr="00F703DC">
        <w:t>les risques de crédit et de contrepartie, résidue</w:t>
      </w:r>
      <w:r>
        <w:t>l, de concentration, de marché</w:t>
      </w:r>
      <w:r w:rsidRPr="00F703DC">
        <w:t>, d'intermédiation, de règ</w:t>
      </w:r>
      <w:r>
        <w:t xml:space="preserve">lement-livraison, de liquidité, </w:t>
      </w:r>
      <w:r w:rsidRPr="00F703DC">
        <w:t>le risque opérationnel</w:t>
      </w:r>
      <w:r>
        <w:t xml:space="preserve">, </w:t>
      </w:r>
      <w:r w:rsidRPr="00F703DC">
        <w:t xml:space="preserve">le risque de sécurité </w:t>
      </w:r>
      <w:r>
        <w:t xml:space="preserve">et </w:t>
      </w:r>
      <w:r w:rsidRPr="00F703DC">
        <w:t>les risques pour les clients, les risques pour le marché et les risques pour l'entreprise au sens du règlement (UE) n° 2019/2033 du Parlement européen et</w:t>
      </w:r>
      <w:r>
        <w:t xml:space="preserve"> du Conseil du 27 novembre 2019.</w:t>
      </w:r>
    </w:p>
  </w:footnote>
  <w:footnote w:id="2">
    <w:p w14:paraId="51FF9471" w14:textId="48759BC9" w:rsidR="0029217F" w:rsidRDefault="0029217F" w:rsidP="00B13BB1">
      <w:pPr>
        <w:pStyle w:val="Notedebasdepage"/>
        <w:ind w:right="0"/>
      </w:pPr>
      <w:r>
        <w:rPr>
          <w:rStyle w:val="Appelnotedebasdep"/>
        </w:rPr>
        <w:footnoteRef/>
      </w:r>
      <w:r>
        <w:t xml:space="preserve"> À savoir les preneurs de risque, à l'exclusion des membres de l'organe de direction, les membres de l'organe de direction dans sa fonction exécutive, les membres de l’organe de surveillance et les autres membres du personnel (cf. paragraphe 101 des Orientations ABE n°2021/05 ou paragraphe 92 des Orientations ABE n°2021/14).</w:t>
      </w:r>
    </w:p>
  </w:footnote>
  <w:footnote w:id="3">
    <w:p w14:paraId="0C41D08F" w14:textId="77777777" w:rsidR="0029217F" w:rsidRDefault="0029217F" w:rsidP="004A229A">
      <w:pPr>
        <w:pStyle w:val="SGACP-notedebasdepages"/>
        <w:ind w:left="284" w:hanging="284"/>
        <w:rPr>
          <w:szCs w:val="16"/>
        </w:rPr>
      </w:pPr>
      <w:r w:rsidRPr="004A229A">
        <w:rPr>
          <w:rStyle w:val="Appelnotedebasdep"/>
          <w:position w:val="0"/>
          <w:sz w:val="16"/>
          <w:szCs w:val="16"/>
        </w:rPr>
        <w:footnoteRef/>
      </w:r>
      <w:r>
        <w:rPr>
          <w:szCs w:val="16"/>
        </w:rPr>
        <w:t>.</w:t>
      </w:r>
      <w:r>
        <w:rPr>
          <w:szCs w:val="16"/>
        </w:rPr>
        <w:tab/>
      </w:r>
      <w:r w:rsidRPr="00063939">
        <w:rPr>
          <w:szCs w:val="16"/>
        </w:rPr>
        <w:t xml:space="preserve">Le risque de crédit intra-journalier recouvre également le risque de crédit </w:t>
      </w:r>
      <w:r w:rsidRPr="004A229A">
        <w:rPr>
          <w:i/>
          <w:szCs w:val="16"/>
        </w:rPr>
        <w:t>overnight</w:t>
      </w:r>
      <w:r w:rsidRPr="00063939">
        <w:rPr>
          <w:szCs w:val="16"/>
        </w:rPr>
        <w:t xml:space="preserve"> pour les opérations dont le règlement intervient pendant la nuit.</w:t>
      </w:r>
    </w:p>
  </w:footnote>
  <w:footnote w:id="4">
    <w:p w14:paraId="6EEA17C7" w14:textId="19CBB286" w:rsidR="0029217F" w:rsidRDefault="0029217F" w:rsidP="009F04CF">
      <w:pPr>
        <w:pStyle w:val="Notedebasdepage"/>
      </w:pPr>
      <w:r>
        <w:rPr>
          <w:rStyle w:val="Appelnotedebasdep"/>
        </w:rPr>
        <w:footnoteRef/>
      </w:r>
      <w:r>
        <w:t xml:space="preserve"> Notamment ceux de la fonction informatique.</w:t>
      </w:r>
    </w:p>
  </w:footnote>
  <w:footnote w:id="5">
    <w:p w14:paraId="259F2268" w14:textId="368C8497" w:rsidR="0029217F" w:rsidRDefault="0029217F" w:rsidP="009F04CF">
      <w:pPr>
        <w:pStyle w:val="Notedebasdepage"/>
      </w:pPr>
      <w:r>
        <w:rPr>
          <w:rStyle w:val="Appelnotedebasdep"/>
        </w:rPr>
        <w:footnoteRef/>
      </w:r>
      <w:r>
        <w:t xml:space="preserve"> Joindre le dernier tableau de bord destiné à les informer.</w:t>
      </w:r>
    </w:p>
  </w:footnote>
  <w:footnote w:id="6">
    <w:p w14:paraId="2CB521FA" w14:textId="47C75A64" w:rsidR="0029217F" w:rsidRDefault="0029217F" w:rsidP="009430F9">
      <w:pPr>
        <w:pStyle w:val="Notedebasdepage"/>
      </w:pPr>
      <w:r>
        <w:rPr>
          <w:rStyle w:val="Appelnotedebasdep"/>
        </w:rPr>
        <w:footnoteRef/>
      </w:r>
      <w:r>
        <w:t xml:space="preserve"> En particulier, préciser si l’établissement est exposé à des risques particuliers et les mesures spécifiques prises pour les gérer.</w:t>
      </w:r>
    </w:p>
  </w:footnote>
  <w:footnote w:id="7">
    <w:p w14:paraId="26990647" w14:textId="77777777" w:rsidR="0029217F" w:rsidRDefault="0029217F" w:rsidP="00A46A69">
      <w:pPr>
        <w:pStyle w:val="Notedebasdepage"/>
        <w:ind w:right="0"/>
      </w:pPr>
      <w:r>
        <w:rPr>
          <w:rStyle w:val="Appelnotedebasdep"/>
        </w:rPr>
        <w:footnoteRef/>
      </w:r>
      <w:r>
        <w:t xml:space="preserve"> C’est-à-dire ceux dont l’impact financier dépasse soit 25 millions d’euros soit 0,5% du CET1 de l’établissement. Par exemple, une cyber-attaque.</w:t>
      </w:r>
    </w:p>
  </w:footnote>
  <w:footnote w:id="8">
    <w:p w14:paraId="7F37C95B" w14:textId="5A27C692" w:rsidR="0029217F" w:rsidRDefault="0029217F" w:rsidP="00A46A69">
      <w:pPr>
        <w:pStyle w:val="Notedebasdepage"/>
        <w:tabs>
          <w:tab w:val="left" w:pos="9072"/>
        </w:tabs>
        <w:ind w:right="0"/>
      </w:pPr>
      <w:r>
        <w:rPr>
          <w:rStyle w:val="Appelnotedebasdep"/>
        </w:rPr>
        <w:footnoteRef/>
      </w:r>
      <w:r>
        <w:t xml:space="preserve"> Comme précisé dans le paragraphe 23 des Orientations ABE (</w:t>
      </w:r>
      <w:r w:rsidRPr="00593678">
        <w:t>ABE/GL/2018/02</w:t>
      </w:r>
      <w:r>
        <w:t xml:space="preserve">), les deux mesures doivent être prises en compte dans le processus d’allocation de capital interne, cependant les établissements ne sont pas censés capitaliser deux fois – au titre de chaque mesure (revenus et valeur économique) </w:t>
      </w:r>
    </w:p>
  </w:footnote>
  <w:footnote w:id="9">
    <w:p w14:paraId="42CC4A4A" w14:textId="2EF07D6C" w:rsidR="0029217F" w:rsidRDefault="0029217F" w:rsidP="008C04C9">
      <w:pPr>
        <w:pStyle w:val="Notedebasdepage"/>
        <w:ind w:right="0"/>
      </w:pPr>
      <w:r>
        <w:rPr>
          <w:rStyle w:val="Appelnotedebasdep"/>
        </w:rPr>
        <w:footnoteRef/>
      </w:r>
      <w:r>
        <w:t xml:space="preserve"> Le plancher post-choc commençant à -100bps (cf. paragraphe 115) s’applique bien aux deux séries de Supervisory Outlier tests (+/-200bps indifférenciés et les 6 chocs différenciés par devise).</w:t>
      </w:r>
    </w:p>
  </w:footnote>
  <w:footnote w:id="10">
    <w:p w14:paraId="69F9A384" w14:textId="655C6C53" w:rsidR="0029217F" w:rsidRDefault="0029217F" w:rsidP="008C04C9">
      <w:pPr>
        <w:pStyle w:val="Notedebasdepage"/>
        <w:ind w:right="0"/>
      </w:pPr>
      <w:r>
        <w:rPr>
          <w:rStyle w:val="Appelnotedebasdep"/>
        </w:rPr>
        <w:footnoteRef/>
      </w:r>
      <w:r>
        <w:t xml:space="preserve"> Le plafond de 5 ans s’applique au niveau global, par monnaie, et sur la moyenne pondérée par les volumes (cf. rapport final sur les Orientations ABE 2018, section Sommaire des réponses apportées par l’EBA à la consultation – Question 9)</w:t>
      </w:r>
    </w:p>
  </w:footnote>
  <w:footnote w:id="11">
    <w:p w14:paraId="5DADE18D" w14:textId="7FD90BC0" w:rsidR="0029217F" w:rsidRDefault="0029217F">
      <w:pPr>
        <w:pStyle w:val="Notedebasdepage"/>
      </w:pPr>
      <w:r>
        <w:rPr>
          <w:rStyle w:val="Appelnotedebasdep"/>
        </w:rPr>
        <w:footnoteRef/>
      </w:r>
      <w:r>
        <w:t xml:space="preserve"> </w:t>
      </w:r>
      <w:r w:rsidRPr="003333DA">
        <w:t>au sens de l'article 111 du règlement délégué n° 231/2013 de la Commission du 19 décembre 2012</w:t>
      </w:r>
    </w:p>
  </w:footnote>
  <w:footnote w:id="12">
    <w:p w14:paraId="35BE792D" w14:textId="52756141" w:rsidR="0029217F" w:rsidRDefault="0029217F">
      <w:pPr>
        <w:pStyle w:val="Notedebasdepage"/>
      </w:pPr>
      <w:r>
        <w:rPr>
          <w:rStyle w:val="Appelnotedebasdep"/>
        </w:rPr>
        <w:footnoteRef/>
      </w:r>
      <w:r>
        <w:t xml:space="preserve"> </w:t>
      </w:r>
      <w:r w:rsidRPr="003333DA">
        <w:t>au-delà du seuil de l'article 7 de l'arrêté du 9 septembre 2014</w:t>
      </w:r>
    </w:p>
  </w:footnote>
  <w:footnote w:id="13">
    <w:p w14:paraId="53EABF10" w14:textId="77777777" w:rsidR="0029217F" w:rsidRPr="003632D1" w:rsidRDefault="0029217F">
      <w:pPr>
        <w:pStyle w:val="Notedebasdepage"/>
      </w:pPr>
      <w:r>
        <w:rPr>
          <w:rStyle w:val="Appelnotedebasdep"/>
        </w:rPr>
        <w:footnoteRef/>
      </w:r>
      <w:r>
        <w:t xml:space="preserve"> En précisant celles qui le sont par recours à un prestataire de services en nuage (</w:t>
      </w:r>
      <w:r w:rsidRPr="003632D1">
        <w:rPr>
          <w:i/>
        </w:rPr>
        <w:t>cloud computing</w:t>
      </w:r>
      <w:r>
        <w:t>)</w:t>
      </w:r>
    </w:p>
  </w:footnote>
  <w:footnote w:id="14">
    <w:p w14:paraId="75B64EE6" w14:textId="77777777" w:rsidR="0029217F" w:rsidRDefault="0029217F" w:rsidP="003D2E0B">
      <w:pPr>
        <w:pStyle w:val="Notedebasdepage"/>
        <w:ind w:right="0"/>
      </w:pPr>
      <w:r>
        <w:rPr>
          <w:rStyle w:val="Appelnotedebasdep"/>
        </w:rPr>
        <w:footnoteRef/>
      </w:r>
      <w:r>
        <w:t xml:space="preserve"> </w:t>
      </w:r>
      <w:r w:rsidRPr="009616A9">
        <w:t>Pour les prestataires de services de paiement ayant leur siège social dans une Collectivité française du Pacifique (Nouvelle-Calédonie, Polynésie française, îles Wallis-et-Futuna), la mention « Banque de France » doit être remplacée par celle de « IEOM » dans la présente annexe</w:t>
      </w:r>
      <w:r w:rsidRPr="008F4461">
        <w:t xml:space="preserve"> et les références </w:t>
      </w:r>
      <w:r>
        <w:t>au « territoire français » par « Collectivités françaises du Pacifique ».  </w:t>
      </w:r>
    </w:p>
  </w:footnote>
  <w:footnote w:id="15">
    <w:p w14:paraId="3DFEDB0C" w14:textId="77777777" w:rsidR="0029217F" w:rsidRDefault="0029217F" w:rsidP="0029217F">
      <w:pPr>
        <w:pStyle w:val="Notedebasdepage"/>
        <w:ind w:right="0"/>
      </w:pPr>
      <w:r>
        <w:rPr>
          <w:rStyle w:val="Appelnotedebasdep"/>
        </w:rPr>
        <w:footnoteRef/>
      </w:r>
      <w:r>
        <w:t xml:space="preserve"> Règlement délégué (UE) 2018/389 de la Commission du 27 novembre 2017 complétant la directive (UE) 2015/2366 du Parlement européen et du Conseil par des normes techniques de réglementation relatives à l’authentification forte du client et à des normes ouvertes communes et sécurisées de communication</w:t>
      </w:r>
    </w:p>
  </w:footnote>
  <w:footnote w:id="16">
    <w:p w14:paraId="65799C8E" w14:textId="3CB7B8AE" w:rsidR="0029217F" w:rsidRDefault="0029217F" w:rsidP="00460E3D">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Pr>
            <w:rStyle w:val="Lienhypertexte"/>
          </w:rPr>
          <w:t>https://www.banque-france.fr/stabilite-financiere/securite-des-moyens-de-paiement-scripturaux/collectes-statistiques-reglementaires-espace-declarants</w:t>
        </w:r>
      </w:hyperlink>
      <w:r>
        <w:t xml:space="preserve"> </w:t>
      </w:r>
      <w:r>
        <w:rPr>
          <w:rFonts w:cstheme="minorHAnsi"/>
        </w:rPr>
        <w:t xml:space="preserve"> </w:t>
      </w:r>
    </w:p>
  </w:footnote>
  <w:footnote w:id="17">
    <w:p w14:paraId="0577DFB6" w14:textId="77777777" w:rsidR="0029217F" w:rsidRDefault="0029217F"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bookmarkStart w:id="272" w:name="Nbp4"/>
      <w:bookmarkEnd w:id="272"/>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18">
    <w:p w14:paraId="62CE00B6" w14:textId="77777777" w:rsidR="0029217F" w:rsidRDefault="0029217F" w:rsidP="004E4C3B">
      <w:pPr>
        <w:pStyle w:val="Notedebasdepage"/>
      </w:pPr>
      <w:r>
        <w:rPr>
          <w:rStyle w:val="Appelnotedebasdep"/>
        </w:rPr>
        <w:footnoteRef/>
      </w:r>
      <w:r>
        <w:t xml:space="preserve"> Commentaires explicatifs à apporter en partie III en cas de réponse « non » à l’une des questions ci-dessous.</w:t>
      </w:r>
    </w:p>
  </w:footnote>
  <w:footnote w:id="19">
    <w:p w14:paraId="1FD3F716" w14:textId="77777777" w:rsidR="0029217F" w:rsidRDefault="0029217F" w:rsidP="00115EF0">
      <w:pPr>
        <w:pStyle w:val="Notedebasdepage"/>
      </w:pPr>
      <w:r>
        <w:rPr>
          <w:rStyle w:val="Appelnotedebasdep"/>
        </w:rPr>
        <w:footnoteRef/>
      </w:r>
      <w:r>
        <w:t xml:space="preserve"> Sur les flux d’échanges quotidiens (opérations cash et produits dérivés)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5B35" w14:textId="048E757C" w:rsidR="0029217F" w:rsidRPr="00FC763A" w:rsidRDefault="0029217F"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w:t>
    </w:r>
    <w:r>
      <w:rPr>
        <w:rFonts w:ascii="Arial Narrow" w:hAnsi="Arial Narrow"/>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A1E5" w14:textId="310DEDF7" w:rsidR="0029217F" w:rsidRDefault="0029217F"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1D3FB" w14:textId="3CA58221" w:rsidR="0029217F" w:rsidRPr="00A02798" w:rsidRDefault="0029217F"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815636"/>
    <w:multiLevelType w:val="hybridMultilevel"/>
    <w:tmpl w:val="5D5CF946"/>
    <w:lvl w:ilvl="0" w:tplc="9A6A681A">
      <w:start w:val="4"/>
      <w:numFmt w:val="bullet"/>
      <w:pStyle w:val="SGACP-enumerationniveau1"/>
      <w:lvlText w:val="–"/>
      <w:lvlJc w:val="left"/>
      <w:pPr>
        <w:ind w:left="1069" w:hanging="360"/>
      </w:pPr>
      <w:rPr>
        <w:rFonts w:ascii="Times New Roman" w:eastAsia="Times New Roman" w:hAnsi="Times New Roman" w:cs="Times New Roman" w:hint="default"/>
      </w:rPr>
    </w:lvl>
    <w:lvl w:ilvl="1" w:tplc="040C0001">
      <w:start w:val="1"/>
      <w:numFmt w:val="bullet"/>
      <w:lvlText w:val=""/>
      <w:lvlJc w:val="left"/>
      <w:pPr>
        <w:ind w:left="2357" w:hanging="360"/>
      </w:pPr>
      <w:rPr>
        <w:rFonts w:ascii="Symbol" w:hAnsi="Symbol" w:hint="default"/>
      </w:rPr>
    </w:lvl>
    <w:lvl w:ilvl="2" w:tplc="78A24F44">
      <w:start w:val="1"/>
      <w:numFmt w:val="bullet"/>
      <w:lvlText w:val=""/>
      <w:lvlJc w:val="left"/>
      <w:pPr>
        <w:ind w:left="2912" w:hanging="195"/>
      </w:pPr>
      <w:rPr>
        <w:rFonts w:ascii="Symbol" w:hAnsi="Symbol"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2" w15:restartNumberingAfterBreak="0">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5"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2" w15:restartNumberingAfterBreak="0">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E985A9B"/>
    <w:multiLevelType w:val="hybridMultilevel"/>
    <w:tmpl w:val="820A551E"/>
    <w:lvl w:ilvl="0" w:tplc="040C0001">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7" w15:restartNumberingAfterBreak="0">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4DE1F7A"/>
    <w:multiLevelType w:val="hybridMultilevel"/>
    <w:tmpl w:val="9AEE4C9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258050D5"/>
    <w:multiLevelType w:val="hybridMultilevel"/>
    <w:tmpl w:val="E7648B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B2A1890"/>
    <w:multiLevelType w:val="hybridMultilevel"/>
    <w:tmpl w:val="F8DC9B1A"/>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9"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4"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7" w15:restartNumberingAfterBreak="0">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8182429"/>
    <w:multiLevelType w:val="hybridMultilevel"/>
    <w:tmpl w:val="566004C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A340C87"/>
    <w:multiLevelType w:val="hybridMultilevel"/>
    <w:tmpl w:val="78CA759A"/>
    <w:lvl w:ilvl="0" w:tplc="F0965CD2">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3B8A4A63"/>
    <w:multiLevelType w:val="hybridMultilevel"/>
    <w:tmpl w:val="DCC623D0"/>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3"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6027E4F"/>
    <w:multiLevelType w:val="hybridMultilevel"/>
    <w:tmpl w:val="DA6AD32E"/>
    <w:lvl w:ilvl="0" w:tplc="040C0019">
      <w:start w:val="1"/>
      <w:numFmt w:val="low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57" w15:restartNumberingAfterBreak="0">
    <w:nsid w:val="47030436"/>
    <w:multiLevelType w:val="hybridMultilevel"/>
    <w:tmpl w:val="75BC26E2"/>
    <w:lvl w:ilvl="0" w:tplc="0BEA55F2">
      <w:numFmt w:val="bullet"/>
      <w:lvlText w:val="-"/>
      <w:lvlJc w:val="left"/>
      <w:pPr>
        <w:ind w:left="1080" w:hanging="796"/>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48396DC4"/>
    <w:multiLevelType w:val="hybridMultilevel"/>
    <w:tmpl w:val="999A295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87B4DA7"/>
    <w:multiLevelType w:val="hybridMultilevel"/>
    <w:tmpl w:val="004A995A"/>
    <w:lvl w:ilvl="0" w:tplc="040C0003">
      <w:start w:val="1"/>
      <w:numFmt w:val="bullet"/>
      <w:lvlText w:val="o"/>
      <w:lvlJc w:val="left"/>
      <w:pPr>
        <w:ind w:left="720" w:hanging="360"/>
      </w:pPr>
      <w:rPr>
        <w:rFonts w:ascii="Courier New" w:hAnsi="Courier New" w:cs="Courier New" w:hint="default"/>
      </w:rPr>
    </w:lvl>
    <w:lvl w:ilvl="1" w:tplc="AFF8695A">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90511C8"/>
    <w:multiLevelType w:val="hybridMultilevel"/>
    <w:tmpl w:val="0D48DEBA"/>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62" w15:restartNumberingAfterBreak="0">
    <w:nsid w:val="4C48225D"/>
    <w:multiLevelType w:val="hybridMultilevel"/>
    <w:tmpl w:val="65225FCE"/>
    <w:lvl w:ilvl="0" w:tplc="78B679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64"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7" w15:restartNumberingAfterBreak="0">
    <w:nsid w:val="54B20603"/>
    <w:multiLevelType w:val="hybridMultilevel"/>
    <w:tmpl w:val="993C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2"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D17105F"/>
    <w:multiLevelType w:val="hybridMultilevel"/>
    <w:tmpl w:val="8042D0C6"/>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6"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F48081D"/>
    <w:multiLevelType w:val="hybridMultilevel"/>
    <w:tmpl w:val="7AE41F58"/>
    <w:lvl w:ilvl="0" w:tplc="8162087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1" w15:restartNumberingAfterBreak="0">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2" w15:restartNumberingAfterBreak="0">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675F7110"/>
    <w:multiLevelType w:val="hybridMultilevel"/>
    <w:tmpl w:val="7EB0BCF4"/>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6" w15:restartNumberingAfterBreak="0">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7"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9" w15:restartNumberingAfterBreak="0">
    <w:nsid w:val="6CC45807"/>
    <w:multiLevelType w:val="hybridMultilevel"/>
    <w:tmpl w:val="AD50405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E7B2DFE"/>
    <w:multiLevelType w:val="hybridMultilevel"/>
    <w:tmpl w:val="BF2C8E96"/>
    <w:lvl w:ilvl="0" w:tplc="812876E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36C40D9"/>
    <w:multiLevelType w:val="hybridMultilevel"/>
    <w:tmpl w:val="57B07B1A"/>
    <w:lvl w:ilvl="0" w:tplc="14A8E7D6">
      <w:start w:val="1"/>
      <w:numFmt w:val="bullet"/>
      <w:lvlText w:val="-"/>
      <w:lvlJc w:val="left"/>
      <w:pPr>
        <w:ind w:left="360" w:hanging="360"/>
      </w:pPr>
      <w:rPr>
        <w:rFonts w:ascii="Courier New" w:hAnsi="Courier Ne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7AEB4B51"/>
    <w:multiLevelType w:val="hybridMultilevel"/>
    <w:tmpl w:val="4E1018E6"/>
    <w:lvl w:ilvl="0" w:tplc="2FB49C84">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8"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5"/>
  </w:num>
  <w:num w:numId="2">
    <w:abstractNumId w:val="47"/>
  </w:num>
  <w:num w:numId="3">
    <w:abstractNumId w:val="11"/>
  </w:num>
  <w:num w:numId="4">
    <w:abstractNumId w:val="70"/>
  </w:num>
  <w:num w:numId="5">
    <w:abstractNumId w:val="28"/>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num>
  <w:num w:numId="8">
    <w:abstractNumId w:val="27"/>
  </w:num>
  <w:num w:numId="9">
    <w:abstractNumId w:val="81"/>
  </w:num>
  <w:num w:numId="10">
    <w:abstractNumId w:val="71"/>
  </w:num>
  <w:num w:numId="11">
    <w:abstractNumId w:val="40"/>
  </w:num>
  <w:num w:numId="12">
    <w:abstractNumId w:val="26"/>
  </w:num>
  <w:num w:numId="13">
    <w:abstractNumId w:val="3"/>
  </w:num>
  <w:num w:numId="14">
    <w:abstractNumId w:val="29"/>
  </w:num>
  <w:num w:numId="15">
    <w:abstractNumId w:val="86"/>
  </w:num>
  <w:num w:numId="16">
    <w:abstractNumId w:val="38"/>
  </w:num>
  <w:num w:numId="17">
    <w:abstractNumId w:val="18"/>
  </w:num>
  <w:num w:numId="18">
    <w:abstractNumId w:val="33"/>
  </w:num>
  <w:num w:numId="19">
    <w:abstractNumId w:val="34"/>
  </w:num>
  <w:num w:numId="20">
    <w:abstractNumId w:val="10"/>
  </w:num>
  <w:num w:numId="21">
    <w:abstractNumId w:val="90"/>
  </w:num>
  <w:num w:numId="22">
    <w:abstractNumId w:val="65"/>
  </w:num>
  <w:num w:numId="23">
    <w:abstractNumId w:val="7"/>
  </w:num>
  <w:num w:numId="24">
    <w:abstractNumId w:val="35"/>
  </w:num>
  <w:num w:numId="25">
    <w:abstractNumId w:val="94"/>
  </w:num>
  <w:num w:numId="26">
    <w:abstractNumId w:val="68"/>
  </w:num>
  <w:num w:numId="27">
    <w:abstractNumId w:val="74"/>
  </w:num>
  <w:num w:numId="28">
    <w:abstractNumId w:val="64"/>
  </w:num>
  <w:num w:numId="29">
    <w:abstractNumId w:val="15"/>
  </w:num>
  <w:num w:numId="30">
    <w:abstractNumId w:val="55"/>
  </w:num>
  <w:num w:numId="31">
    <w:abstractNumId w:val="13"/>
  </w:num>
  <w:num w:numId="32">
    <w:abstractNumId w:val="99"/>
  </w:num>
  <w:num w:numId="33">
    <w:abstractNumId w:val="95"/>
  </w:num>
  <w:num w:numId="34">
    <w:abstractNumId w:val="4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num>
  <w:num w:numId="38">
    <w:abstractNumId w:val="66"/>
  </w:num>
  <w:num w:numId="39">
    <w:abstractNumId w:val="60"/>
  </w:num>
  <w:num w:numId="40">
    <w:abstractNumId w:val="48"/>
  </w:num>
  <w:num w:numId="41">
    <w:abstractNumId w:val="77"/>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lvlOverride w:ilvl="1">
      <w:startOverride w:val="1"/>
    </w:lvlOverride>
    <w:lvlOverride w:ilvl="2"/>
    <w:lvlOverride w:ilvl="3"/>
    <w:lvlOverride w:ilvl="4"/>
    <w:lvlOverride w:ilvl="5"/>
    <w:lvlOverride w:ilvl="6"/>
    <w:lvlOverride w:ilvl="7"/>
    <w:lvlOverride w:ilvl="8"/>
  </w:num>
  <w:num w:numId="64">
    <w:abstractNumId w:val="14"/>
  </w:num>
  <w:num w:numId="65">
    <w:abstractNumId w:val="19"/>
  </w:num>
  <w:num w:numId="66">
    <w:abstractNumId w:val="92"/>
  </w:num>
  <w:num w:numId="67">
    <w:abstractNumId w:val="21"/>
  </w:num>
  <w:num w:numId="68">
    <w:abstractNumId w:val="84"/>
  </w:num>
  <w:num w:numId="69">
    <w:abstractNumId w:val="30"/>
  </w:num>
  <w:num w:numId="70">
    <w:abstractNumId w:val="43"/>
  </w:num>
  <w:num w:numId="71">
    <w:abstractNumId w:val="5"/>
  </w:num>
  <w:num w:numId="72">
    <w:abstractNumId w:val="22"/>
  </w:num>
  <w:num w:numId="73">
    <w:abstractNumId w:val="76"/>
  </w:num>
  <w:num w:numId="74">
    <w:abstractNumId w:val="93"/>
  </w:num>
  <w:num w:numId="75">
    <w:abstractNumId w:val="41"/>
  </w:num>
  <w:num w:numId="76">
    <w:abstractNumId w:val="17"/>
  </w:num>
  <w:num w:numId="77">
    <w:abstractNumId w:val="96"/>
  </w:num>
  <w:num w:numId="78">
    <w:abstractNumId w:val="20"/>
  </w:num>
  <w:num w:numId="79">
    <w:abstractNumId w:val="82"/>
  </w:num>
  <w:num w:numId="80">
    <w:abstractNumId w:val="67"/>
  </w:num>
  <w:num w:numId="81">
    <w:abstractNumId w:val="54"/>
  </w:num>
  <w:num w:numId="82">
    <w:abstractNumId w:val="53"/>
  </w:num>
  <w:num w:numId="83">
    <w:abstractNumId w:val="73"/>
  </w:num>
  <w:num w:numId="84">
    <w:abstractNumId w:val="98"/>
  </w:num>
  <w:num w:numId="85">
    <w:abstractNumId w:val="87"/>
  </w:num>
  <w:num w:numId="86">
    <w:abstractNumId w:val="50"/>
  </w:num>
  <w:num w:numId="87">
    <w:abstractNumId w:val="6"/>
  </w:num>
  <w:num w:numId="88">
    <w:abstractNumId w:val="44"/>
  </w:num>
  <w:num w:numId="89">
    <w:abstractNumId w:val="12"/>
  </w:num>
  <w:num w:numId="90">
    <w:abstractNumId w:val="88"/>
  </w:num>
  <w:num w:numId="91">
    <w:abstractNumId w:val="23"/>
  </w:num>
  <w:num w:numId="92">
    <w:abstractNumId w:val="45"/>
  </w:num>
  <w:num w:numId="93">
    <w:abstractNumId w:val="79"/>
  </w:num>
  <w:num w:numId="94">
    <w:abstractNumId w:val="69"/>
  </w:num>
  <w:num w:numId="95">
    <w:abstractNumId w:val="72"/>
  </w:num>
  <w:num w:numId="96">
    <w:abstractNumId w:val="39"/>
  </w:num>
  <w:num w:numId="97">
    <w:abstractNumId w:val="16"/>
  </w:num>
  <w:num w:numId="98">
    <w:abstractNumId w:val="37"/>
  </w:num>
  <w:num w:numId="99">
    <w:abstractNumId w:val="32"/>
  </w:num>
  <w:num w:numId="100">
    <w:abstractNumId w:val="8"/>
  </w:num>
  <w:num w:numId="101">
    <w:abstractNumId w:val="42"/>
  </w:num>
  <w:num w:numId="102">
    <w:abstractNumId w:val="25"/>
  </w:num>
  <w:num w:numId="103">
    <w:abstractNumId w:val="2"/>
  </w:num>
  <w:num w:numId="104">
    <w:abstractNumId w:val="9"/>
  </w:num>
  <w:num w:numId="105">
    <w:abstractNumId w:val="11"/>
    <w:lvlOverride w:ilvl="0"/>
    <w:lvlOverride w:ilvl="1">
      <w:startOverride w:val="1"/>
    </w:lvlOverride>
    <w:lvlOverride w:ilvl="2"/>
    <w:lvlOverride w:ilvl="3"/>
    <w:lvlOverride w:ilvl="4"/>
    <w:lvlOverride w:ilvl="5"/>
    <w:lvlOverride w:ilvl="6"/>
    <w:lvlOverride w:ilvl="7"/>
    <w:lvlOverride w:ilvl="8"/>
  </w:num>
  <w:num w:numId="106">
    <w:abstractNumId w:val="11"/>
  </w:num>
  <w:num w:numId="107">
    <w:abstractNumId w:val="11"/>
  </w:num>
  <w:num w:numId="108">
    <w:abstractNumId w:val="11"/>
  </w:num>
  <w:num w:numId="109">
    <w:abstractNumId w:val="24"/>
  </w:num>
  <w:num w:numId="110">
    <w:abstractNumId w:val="4"/>
  </w:num>
  <w:num w:numId="111">
    <w:abstractNumId w:val="56"/>
  </w:num>
  <w:num w:numId="112">
    <w:abstractNumId w:val="78"/>
  </w:num>
  <w:num w:numId="113">
    <w:abstractNumId w:val="11"/>
  </w:num>
  <w:num w:numId="114">
    <w:abstractNumId w:val="62"/>
  </w:num>
  <w:num w:numId="115">
    <w:abstractNumId w:val="11"/>
  </w:num>
  <w:num w:numId="116">
    <w:abstractNumId w:val="31"/>
  </w:num>
  <w:num w:numId="117">
    <w:abstractNumId w:val="57"/>
  </w:num>
  <w:num w:numId="118">
    <w:abstractNumId w:val="97"/>
  </w:num>
  <w:num w:numId="119">
    <w:abstractNumId w:val="51"/>
  </w:num>
  <w:num w:numId="120">
    <w:abstractNumId w:val="11"/>
  </w:num>
  <w:num w:numId="121">
    <w:abstractNumId w:val="83"/>
  </w:num>
  <w:num w:numId="122">
    <w:abstractNumId w:val="11"/>
  </w:num>
  <w:num w:numId="123">
    <w:abstractNumId w:val="11"/>
  </w:num>
  <w:num w:numId="124">
    <w:abstractNumId w:val="11"/>
  </w:num>
  <w:num w:numId="125">
    <w:abstractNumId w:val="11"/>
  </w:num>
  <w:num w:numId="126">
    <w:abstractNumId w:val="58"/>
  </w:num>
  <w:num w:numId="127">
    <w:abstractNumId w:val="11"/>
  </w:num>
  <w:num w:numId="128">
    <w:abstractNumId w:val="46"/>
  </w:num>
  <w:num w:numId="129">
    <w:abstractNumId w:val="11"/>
  </w:num>
  <w:num w:numId="130">
    <w:abstractNumId w:val="11"/>
  </w:num>
  <w:num w:numId="131">
    <w:abstractNumId w:val="75"/>
  </w:num>
  <w:num w:numId="132">
    <w:abstractNumId w:val="59"/>
  </w:num>
  <w:num w:numId="133">
    <w:abstractNumId w:val="36"/>
  </w:num>
  <w:num w:numId="134">
    <w:abstractNumId w:val="11"/>
  </w:num>
  <w:num w:numId="135">
    <w:abstractNumId w:val="11"/>
  </w:num>
  <w:num w:numId="136">
    <w:abstractNumId w:val="11"/>
  </w:num>
  <w:num w:numId="137">
    <w:abstractNumId w:val="11"/>
  </w:num>
  <w:num w:numId="138">
    <w:abstractNumId w:val="11"/>
  </w:num>
  <w:num w:numId="139">
    <w:abstractNumId w:val="11"/>
  </w:num>
  <w:num w:numId="140">
    <w:abstractNumId w:val="11"/>
  </w:num>
  <w:num w:numId="141">
    <w:abstractNumId w:val="70"/>
  </w:num>
  <w:num w:numId="142">
    <w:abstractNumId w:val="68"/>
  </w:num>
  <w:num w:numId="143">
    <w:abstractNumId w:val="52"/>
  </w:num>
  <w:num w:numId="144">
    <w:abstractNumId w:val="91"/>
  </w:num>
  <w:num w:numId="145">
    <w:abstractNumId w:val="89"/>
  </w:num>
  <w:num w:numId="146">
    <w:abstractNumId w:val="4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1392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12A17"/>
    <w:rsid w:val="000001E8"/>
    <w:rsid w:val="00000212"/>
    <w:rsid w:val="000003DE"/>
    <w:rsid w:val="0000299A"/>
    <w:rsid w:val="00002DF0"/>
    <w:rsid w:val="00002F5C"/>
    <w:rsid w:val="00004C1E"/>
    <w:rsid w:val="00005FB1"/>
    <w:rsid w:val="00007435"/>
    <w:rsid w:val="000076E8"/>
    <w:rsid w:val="000108D0"/>
    <w:rsid w:val="00010F0F"/>
    <w:rsid w:val="00015F28"/>
    <w:rsid w:val="000202BD"/>
    <w:rsid w:val="0002312D"/>
    <w:rsid w:val="00023B27"/>
    <w:rsid w:val="00024EC2"/>
    <w:rsid w:val="00026A01"/>
    <w:rsid w:val="000271A0"/>
    <w:rsid w:val="00027D79"/>
    <w:rsid w:val="00030CB2"/>
    <w:rsid w:val="000319CD"/>
    <w:rsid w:val="00035488"/>
    <w:rsid w:val="00035A01"/>
    <w:rsid w:val="00036807"/>
    <w:rsid w:val="00036F86"/>
    <w:rsid w:val="0003780F"/>
    <w:rsid w:val="00040EA3"/>
    <w:rsid w:val="00045D2D"/>
    <w:rsid w:val="00052B4E"/>
    <w:rsid w:val="00055D51"/>
    <w:rsid w:val="00057D83"/>
    <w:rsid w:val="00061399"/>
    <w:rsid w:val="000623EE"/>
    <w:rsid w:val="00063939"/>
    <w:rsid w:val="0006478D"/>
    <w:rsid w:val="00065BBD"/>
    <w:rsid w:val="00065E47"/>
    <w:rsid w:val="00066305"/>
    <w:rsid w:val="0006646A"/>
    <w:rsid w:val="000709B0"/>
    <w:rsid w:val="000714AC"/>
    <w:rsid w:val="00072003"/>
    <w:rsid w:val="00073AA7"/>
    <w:rsid w:val="0007431B"/>
    <w:rsid w:val="00076A02"/>
    <w:rsid w:val="00077D88"/>
    <w:rsid w:val="00080007"/>
    <w:rsid w:val="000818A0"/>
    <w:rsid w:val="0008212F"/>
    <w:rsid w:val="000821BD"/>
    <w:rsid w:val="000830A2"/>
    <w:rsid w:val="000845E4"/>
    <w:rsid w:val="00085FF6"/>
    <w:rsid w:val="000862BD"/>
    <w:rsid w:val="000871E3"/>
    <w:rsid w:val="00087359"/>
    <w:rsid w:val="00087B84"/>
    <w:rsid w:val="0009005A"/>
    <w:rsid w:val="000904B6"/>
    <w:rsid w:val="000907F4"/>
    <w:rsid w:val="00091CBC"/>
    <w:rsid w:val="00092995"/>
    <w:rsid w:val="00095155"/>
    <w:rsid w:val="000955A0"/>
    <w:rsid w:val="00096096"/>
    <w:rsid w:val="00096542"/>
    <w:rsid w:val="000A0FB6"/>
    <w:rsid w:val="000A1220"/>
    <w:rsid w:val="000A32B4"/>
    <w:rsid w:val="000A7596"/>
    <w:rsid w:val="000B0226"/>
    <w:rsid w:val="000B0FFE"/>
    <w:rsid w:val="000B1005"/>
    <w:rsid w:val="000B2FB6"/>
    <w:rsid w:val="000B31DF"/>
    <w:rsid w:val="000B3D13"/>
    <w:rsid w:val="000B4FF0"/>
    <w:rsid w:val="000B5084"/>
    <w:rsid w:val="000B5A93"/>
    <w:rsid w:val="000C0763"/>
    <w:rsid w:val="000C32D1"/>
    <w:rsid w:val="000C3928"/>
    <w:rsid w:val="000C45F5"/>
    <w:rsid w:val="000C7A4A"/>
    <w:rsid w:val="000C7C6C"/>
    <w:rsid w:val="000D1BED"/>
    <w:rsid w:val="000D598E"/>
    <w:rsid w:val="000D5C68"/>
    <w:rsid w:val="000D6889"/>
    <w:rsid w:val="000D6C84"/>
    <w:rsid w:val="000D716D"/>
    <w:rsid w:val="000D7511"/>
    <w:rsid w:val="000E06F0"/>
    <w:rsid w:val="000E1688"/>
    <w:rsid w:val="000E1D57"/>
    <w:rsid w:val="000E2349"/>
    <w:rsid w:val="000E2922"/>
    <w:rsid w:val="000E29C7"/>
    <w:rsid w:val="000E3BD9"/>
    <w:rsid w:val="000E3C71"/>
    <w:rsid w:val="000E6CFB"/>
    <w:rsid w:val="000E6E9F"/>
    <w:rsid w:val="000F0DE6"/>
    <w:rsid w:val="000F1221"/>
    <w:rsid w:val="000F1568"/>
    <w:rsid w:val="000F67F4"/>
    <w:rsid w:val="000F6A5C"/>
    <w:rsid w:val="000F6D01"/>
    <w:rsid w:val="000F7286"/>
    <w:rsid w:val="000F7795"/>
    <w:rsid w:val="0010109B"/>
    <w:rsid w:val="001027D2"/>
    <w:rsid w:val="00104225"/>
    <w:rsid w:val="001060EB"/>
    <w:rsid w:val="00107C50"/>
    <w:rsid w:val="00110755"/>
    <w:rsid w:val="00111000"/>
    <w:rsid w:val="001118FC"/>
    <w:rsid w:val="00111D78"/>
    <w:rsid w:val="00112009"/>
    <w:rsid w:val="0011204C"/>
    <w:rsid w:val="00112214"/>
    <w:rsid w:val="00112E0C"/>
    <w:rsid w:val="0011461F"/>
    <w:rsid w:val="0011503B"/>
    <w:rsid w:val="00115C0E"/>
    <w:rsid w:val="00115EF0"/>
    <w:rsid w:val="001166A6"/>
    <w:rsid w:val="0011691E"/>
    <w:rsid w:val="00117AC4"/>
    <w:rsid w:val="00117D71"/>
    <w:rsid w:val="0012088A"/>
    <w:rsid w:val="00122345"/>
    <w:rsid w:val="0012249E"/>
    <w:rsid w:val="001224E7"/>
    <w:rsid w:val="00123989"/>
    <w:rsid w:val="001258AA"/>
    <w:rsid w:val="00126708"/>
    <w:rsid w:val="00127747"/>
    <w:rsid w:val="00131209"/>
    <w:rsid w:val="00133BB2"/>
    <w:rsid w:val="00133BB7"/>
    <w:rsid w:val="00133F0B"/>
    <w:rsid w:val="00134277"/>
    <w:rsid w:val="001345AA"/>
    <w:rsid w:val="001356BB"/>
    <w:rsid w:val="0013615B"/>
    <w:rsid w:val="001362AD"/>
    <w:rsid w:val="001363D4"/>
    <w:rsid w:val="0013740F"/>
    <w:rsid w:val="00140451"/>
    <w:rsid w:val="00143730"/>
    <w:rsid w:val="0014493E"/>
    <w:rsid w:val="001462A6"/>
    <w:rsid w:val="00146E0C"/>
    <w:rsid w:val="00150521"/>
    <w:rsid w:val="001505E4"/>
    <w:rsid w:val="00150CF1"/>
    <w:rsid w:val="001511E1"/>
    <w:rsid w:val="00151B8C"/>
    <w:rsid w:val="001534B1"/>
    <w:rsid w:val="001544D6"/>
    <w:rsid w:val="00154A06"/>
    <w:rsid w:val="00154A9A"/>
    <w:rsid w:val="00156279"/>
    <w:rsid w:val="00156BD6"/>
    <w:rsid w:val="0015764F"/>
    <w:rsid w:val="001601B6"/>
    <w:rsid w:val="00162B47"/>
    <w:rsid w:val="001643CF"/>
    <w:rsid w:val="001645F5"/>
    <w:rsid w:val="0016549D"/>
    <w:rsid w:val="001659F0"/>
    <w:rsid w:val="0016696D"/>
    <w:rsid w:val="00166E08"/>
    <w:rsid w:val="0017165A"/>
    <w:rsid w:val="001729B0"/>
    <w:rsid w:val="00174248"/>
    <w:rsid w:val="0017657F"/>
    <w:rsid w:val="001766BE"/>
    <w:rsid w:val="00177C3C"/>
    <w:rsid w:val="00180156"/>
    <w:rsid w:val="00180AAC"/>
    <w:rsid w:val="00181012"/>
    <w:rsid w:val="00182A38"/>
    <w:rsid w:val="001839DC"/>
    <w:rsid w:val="00185B20"/>
    <w:rsid w:val="00185BB4"/>
    <w:rsid w:val="00186B7C"/>
    <w:rsid w:val="00187F7B"/>
    <w:rsid w:val="00190072"/>
    <w:rsid w:val="001909D5"/>
    <w:rsid w:val="00192789"/>
    <w:rsid w:val="00192F7C"/>
    <w:rsid w:val="00194731"/>
    <w:rsid w:val="00197F2E"/>
    <w:rsid w:val="001A0E62"/>
    <w:rsid w:val="001A1A27"/>
    <w:rsid w:val="001A1C5F"/>
    <w:rsid w:val="001A37BC"/>
    <w:rsid w:val="001A4318"/>
    <w:rsid w:val="001A5BD8"/>
    <w:rsid w:val="001A5F8B"/>
    <w:rsid w:val="001B1459"/>
    <w:rsid w:val="001B27AD"/>
    <w:rsid w:val="001B346C"/>
    <w:rsid w:val="001B388A"/>
    <w:rsid w:val="001B43FF"/>
    <w:rsid w:val="001B546B"/>
    <w:rsid w:val="001B67AB"/>
    <w:rsid w:val="001B7141"/>
    <w:rsid w:val="001C3282"/>
    <w:rsid w:val="001C5B1C"/>
    <w:rsid w:val="001C64D2"/>
    <w:rsid w:val="001C79CB"/>
    <w:rsid w:val="001D240A"/>
    <w:rsid w:val="001D2468"/>
    <w:rsid w:val="001D505C"/>
    <w:rsid w:val="001D579A"/>
    <w:rsid w:val="001D7641"/>
    <w:rsid w:val="001E10F9"/>
    <w:rsid w:val="001E50C6"/>
    <w:rsid w:val="001E5643"/>
    <w:rsid w:val="001E6030"/>
    <w:rsid w:val="001E636A"/>
    <w:rsid w:val="001E6D19"/>
    <w:rsid w:val="001E75C1"/>
    <w:rsid w:val="001E781C"/>
    <w:rsid w:val="001E7E44"/>
    <w:rsid w:val="001F03C7"/>
    <w:rsid w:val="001F0CE4"/>
    <w:rsid w:val="001F19C0"/>
    <w:rsid w:val="001F4FEF"/>
    <w:rsid w:val="001F6E5F"/>
    <w:rsid w:val="001F786C"/>
    <w:rsid w:val="0020400A"/>
    <w:rsid w:val="002040C6"/>
    <w:rsid w:val="00204266"/>
    <w:rsid w:val="00204AC7"/>
    <w:rsid w:val="00205046"/>
    <w:rsid w:val="0020599E"/>
    <w:rsid w:val="00206583"/>
    <w:rsid w:val="00210431"/>
    <w:rsid w:val="00212738"/>
    <w:rsid w:val="00212758"/>
    <w:rsid w:val="00212C15"/>
    <w:rsid w:val="002143B5"/>
    <w:rsid w:val="002202FC"/>
    <w:rsid w:val="0022034D"/>
    <w:rsid w:val="00220929"/>
    <w:rsid w:val="00220E17"/>
    <w:rsid w:val="00223533"/>
    <w:rsid w:val="002251F0"/>
    <w:rsid w:val="00225787"/>
    <w:rsid w:val="00225EDD"/>
    <w:rsid w:val="002266BC"/>
    <w:rsid w:val="00230745"/>
    <w:rsid w:val="00230D10"/>
    <w:rsid w:val="002312BD"/>
    <w:rsid w:val="00231890"/>
    <w:rsid w:val="00232A13"/>
    <w:rsid w:val="00233A9A"/>
    <w:rsid w:val="00234078"/>
    <w:rsid w:val="002349D7"/>
    <w:rsid w:val="00237305"/>
    <w:rsid w:val="002375A3"/>
    <w:rsid w:val="002411DC"/>
    <w:rsid w:val="0024125E"/>
    <w:rsid w:val="002416E6"/>
    <w:rsid w:val="00242E9D"/>
    <w:rsid w:val="002435AD"/>
    <w:rsid w:val="00244480"/>
    <w:rsid w:val="00244B74"/>
    <w:rsid w:val="00245C3E"/>
    <w:rsid w:val="00246B1F"/>
    <w:rsid w:val="00246EC8"/>
    <w:rsid w:val="00247AE5"/>
    <w:rsid w:val="00253611"/>
    <w:rsid w:val="00253DF7"/>
    <w:rsid w:val="00253E9E"/>
    <w:rsid w:val="00254858"/>
    <w:rsid w:val="002553B4"/>
    <w:rsid w:val="00256294"/>
    <w:rsid w:val="002564E8"/>
    <w:rsid w:val="00257766"/>
    <w:rsid w:val="00257D84"/>
    <w:rsid w:val="0026150B"/>
    <w:rsid w:val="00262482"/>
    <w:rsid w:val="002634EB"/>
    <w:rsid w:val="00264109"/>
    <w:rsid w:val="0026421C"/>
    <w:rsid w:val="002642C4"/>
    <w:rsid w:val="00266335"/>
    <w:rsid w:val="00266D56"/>
    <w:rsid w:val="00267206"/>
    <w:rsid w:val="002672D3"/>
    <w:rsid w:val="00267FCE"/>
    <w:rsid w:val="0027022A"/>
    <w:rsid w:val="0027027B"/>
    <w:rsid w:val="0027104F"/>
    <w:rsid w:val="002725D9"/>
    <w:rsid w:val="0027635B"/>
    <w:rsid w:val="00277210"/>
    <w:rsid w:val="00280CD2"/>
    <w:rsid w:val="00281A45"/>
    <w:rsid w:val="002823BE"/>
    <w:rsid w:val="00283769"/>
    <w:rsid w:val="00283800"/>
    <w:rsid w:val="00286F75"/>
    <w:rsid w:val="00287633"/>
    <w:rsid w:val="00290219"/>
    <w:rsid w:val="0029051C"/>
    <w:rsid w:val="002906E2"/>
    <w:rsid w:val="00291E2F"/>
    <w:rsid w:val="0029217F"/>
    <w:rsid w:val="00292843"/>
    <w:rsid w:val="00294FD8"/>
    <w:rsid w:val="0029587D"/>
    <w:rsid w:val="00295E2C"/>
    <w:rsid w:val="00295EB6"/>
    <w:rsid w:val="002962DE"/>
    <w:rsid w:val="00297686"/>
    <w:rsid w:val="00297D2B"/>
    <w:rsid w:val="002A0667"/>
    <w:rsid w:val="002A10D4"/>
    <w:rsid w:val="002A12B3"/>
    <w:rsid w:val="002A15AE"/>
    <w:rsid w:val="002A2680"/>
    <w:rsid w:val="002A2A6E"/>
    <w:rsid w:val="002A2AEB"/>
    <w:rsid w:val="002A53BE"/>
    <w:rsid w:val="002A54BD"/>
    <w:rsid w:val="002A65C7"/>
    <w:rsid w:val="002A6A83"/>
    <w:rsid w:val="002A7A2A"/>
    <w:rsid w:val="002B0677"/>
    <w:rsid w:val="002B1091"/>
    <w:rsid w:val="002B1BE9"/>
    <w:rsid w:val="002B1E7B"/>
    <w:rsid w:val="002B4164"/>
    <w:rsid w:val="002B5522"/>
    <w:rsid w:val="002B67AC"/>
    <w:rsid w:val="002B7399"/>
    <w:rsid w:val="002B7ACF"/>
    <w:rsid w:val="002C0F9D"/>
    <w:rsid w:val="002C1BF5"/>
    <w:rsid w:val="002C2870"/>
    <w:rsid w:val="002C3FC7"/>
    <w:rsid w:val="002C4E10"/>
    <w:rsid w:val="002C6CC7"/>
    <w:rsid w:val="002D358E"/>
    <w:rsid w:val="002D390B"/>
    <w:rsid w:val="002D394F"/>
    <w:rsid w:val="002D40A2"/>
    <w:rsid w:val="002D4196"/>
    <w:rsid w:val="002D4552"/>
    <w:rsid w:val="002E2F5A"/>
    <w:rsid w:val="002F066C"/>
    <w:rsid w:val="002F2687"/>
    <w:rsid w:val="002F4AE5"/>
    <w:rsid w:val="002F4D76"/>
    <w:rsid w:val="002F6550"/>
    <w:rsid w:val="002F7254"/>
    <w:rsid w:val="00301248"/>
    <w:rsid w:val="00301F2E"/>
    <w:rsid w:val="00305DD9"/>
    <w:rsid w:val="00307745"/>
    <w:rsid w:val="003077D0"/>
    <w:rsid w:val="00310BE7"/>
    <w:rsid w:val="00310E2B"/>
    <w:rsid w:val="00311018"/>
    <w:rsid w:val="00311083"/>
    <w:rsid w:val="00313369"/>
    <w:rsid w:val="00313FFD"/>
    <w:rsid w:val="00316148"/>
    <w:rsid w:val="00316D0F"/>
    <w:rsid w:val="00320DBE"/>
    <w:rsid w:val="00321F49"/>
    <w:rsid w:val="0032229F"/>
    <w:rsid w:val="00322544"/>
    <w:rsid w:val="00322AAC"/>
    <w:rsid w:val="00323C56"/>
    <w:rsid w:val="00324FF6"/>
    <w:rsid w:val="003256B8"/>
    <w:rsid w:val="003257DC"/>
    <w:rsid w:val="0032595D"/>
    <w:rsid w:val="00326ED7"/>
    <w:rsid w:val="00327018"/>
    <w:rsid w:val="003271BC"/>
    <w:rsid w:val="003274DB"/>
    <w:rsid w:val="0032751C"/>
    <w:rsid w:val="0032768B"/>
    <w:rsid w:val="00330247"/>
    <w:rsid w:val="0033036E"/>
    <w:rsid w:val="00330E90"/>
    <w:rsid w:val="00331B88"/>
    <w:rsid w:val="003333DA"/>
    <w:rsid w:val="00333649"/>
    <w:rsid w:val="00341AC9"/>
    <w:rsid w:val="00343A0C"/>
    <w:rsid w:val="00343D92"/>
    <w:rsid w:val="003446DF"/>
    <w:rsid w:val="003463F8"/>
    <w:rsid w:val="003514B7"/>
    <w:rsid w:val="003517F4"/>
    <w:rsid w:val="003519AA"/>
    <w:rsid w:val="00351DDC"/>
    <w:rsid w:val="00351FE3"/>
    <w:rsid w:val="00352B71"/>
    <w:rsid w:val="00353C2D"/>
    <w:rsid w:val="00354A4C"/>
    <w:rsid w:val="003554F5"/>
    <w:rsid w:val="00355FD2"/>
    <w:rsid w:val="00356912"/>
    <w:rsid w:val="00356A20"/>
    <w:rsid w:val="0036002E"/>
    <w:rsid w:val="00360906"/>
    <w:rsid w:val="00361F6E"/>
    <w:rsid w:val="0036317D"/>
    <w:rsid w:val="003632D1"/>
    <w:rsid w:val="003637E1"/>
    <w:rsid w:val="003678D6"/>
    <w:rsid w:val="00370A27"/>
    <w:rsid w:val="00371C45"/>
    <w:rsid w:val="00372438"/>
    <w:rsid w:val="003743C8"/>
    <w:rsid w:val="00376224"/>
    <w:rsid w:val="00380936"/>
    <w:rsid w:val="00380ED2"/>
    <w:rsid w:val="0038265A"/>
    <w:rsid w:val="00383F29"/>
    <w:rsid w:val="003841D2"/>
    <w:rsid w:val="00386970"/>
    <w:rsid w:val="00386F42"/>
    <w:rsid w:val="00387823"/>
    <w:rsid w:val="00387A3C"/>
    <w:rsid w:val="00390721"/>
    <w:rsid w:val="00390A57"/>
    <w:rsid w:val="00391450"/>
    <w:rsid w:val="00392789"/>
    <w:rsid w:val="00394460"/>
    <w:rsid w:val="00394986"/>
    <w:rsid w:val="00395224"/>
    <w:rsid w:val="0039794C"/>
    <w:rsid w:val="003A0B34"/>
    <w:rsid w:val="003A2A93"/>
    <w:rsid w:val="003A2F26"/>
    <w:rsid w:val="003A4420"/>
    <w:rsid w:val="003A51C1"/>
    <w:rsid w:val="003A6487"/>
    <w:rsid w:val="003A6C0A"/>
    <w:rsid w:val="003B0563"/>
    <w:rsid w:val="003B1156"/>
    <w:rsid w:val="003B1165"/>
    <w:rsid w:val="003B3DA5"/>
    <w:rsid w:val="003B4658"/>
    <w:rsid w:val="003B4A79"/>
    <w:rsid w:val="003B61B4"/>
    <w:rsid w:val="003B6539"/>
    <w:rsid w:val="003B7357"/>
    <w:rsid w:val="003B7539"/>
    <w:rsid w:val="003C010E"/>
    <w:rsid w:val="003C020D"/>
    <w:rsid w:val="003C47B2"/>
    <w:rsid w:val="003C4D7C"/>
    <w:rsid w:val="003C7C8E"/>
    <w:rsid w:val="003C7DE2"/>
    <w:rsid w:val="003C7FF8"/>
    <w:rsid w:val="003D060E"/>
    <w:rsid w:val="003D086F"/>
    <w:rsid w:val="003D1AFF"/>
    <w:rsid w:val="003D2401"/>
    <w:rsid w:val="003D2E0B"/>
    <w:rsid w:val="003D38A3"/>
    <w:rsid w:val="003D4335"/>
    <w:rsid w:val="003D5996"/>
    <w:rsid w:val="003D6747"/>
    <w:rsid w:val="003D6753"/>
    <w:rsid w:val="003D796E"/>
    <w:rsid w:val="003E1688"/>
    <w:rsid w:val="003E1F58"/>
    <w:rsid w:val="003E38A0"/>
    <w:rsid w:val="003E4058"/>
    <w:rsid w:val="003E428E"/>
    <w:rsid w:val="003E6100"/>
    <w:rsid w:val="003E6617"/>
    <w:rsid w:val="003E722C"/>
    <w:rsid w:val="003F01DE"/>
    <w:rsid w:val="003F2E71"/>
    <w:rsid w:val="003F2EE8"/>
    <w:rsid w:val="003F396B"/>
    <w:rsid w:val="003F41B3"/>
    <w:rsid w:val="003F41DE"/>
    <w:rsid w:val="003F4BC4"/>
    <w:rsid w:val="003F5BA4"/>
    <w:rsid w:val="003F5CC3"/>
    <w:rsid w:val="003F6C1B"/>
    <w:rsid w:val="003F7374"/>
    <w:rsid w:val="00400F0B"/>
    <w:rsid w:val="00401F2D"/>
    <w:rsid w:val="00402307"/>
    <w:rsid w:val="00403459"/>
    <w:rsid w:val="004038D3"/>
    <w:rsid w:val="00404A3A"/>
    <w:rsid w:val="004059B0"/>
    <w:rsid w:val="00406390"/>
    <w:rsid w:val="00410C4D"/>
    <w:rsid w:val="00410CA7"/>
    <w:rsid w:val="00413EC0"/>
    <w:rsid w:val="0041661B"/>
    <w:rsid w:val="00426D2E"/>
    <w:rsid w:val="00427813"/>
    <w:rsid w:val="00427A32"/>
    <w:rsid w:val="004320BA"/>
    <w:rsid w:val="004321F1"/>
    <w:rsid w:val="00434191"/>
    <w:rsid w:val="004347DF"/>
    <w:rsid w:val="00435247"/>
    <w:rsid w:val="00435930"/>
    <w:rsid w:val="004400EF"/>
    <w:rsid w:val="00440703"/>
    <w:rsid w:val="00440972"/>
    <w:rsid w:val="00440EC0"/>
    <w:rsid w:val="00443C71"/>
    <w:rsid w:val="004444DE"/>
    <w:rsid w:val="00444BDE"/>
    <w:rsid w:val="00445BEF"/>
    <w:rsid w:val="00445F76"/>
    <w:rsid w:val="00450314"/>
    <w:rsid w:val="00450D36"/>
    <w:rsid w:val="00452F29"/>
    <w:rsid w:val="00455EAA"/>
    <w:rsid w:val="0046009F"/>
    <w:rsid w:val="00460510"/>
    <w:rsid w:val="00460E3D"/>
    <w:rsid w:val="004629BE"/>
    <w:rsid w:val="00462A8D"/>
    <w:rsid w:val="00462DED"/>
    <w:rsid w:val="00463A1C"/>
    <w:rsid w:val="00463C8E"/>
    <w:rsid w:val="00466524"/>
    <w:rsid w:val="00466F07"/>
    <w:rsid w:val="0046759D"/>
    <w:rsid w:val="00467899"/>
    <w:rsid w:val="00471A43"/>
    <w:rsid w:val="004725B5"/>
    <w:rsid w:val="004732C4"/>
    <w:rsid w:val="00474936"/>
    <w:rsid w:val="0047516D"/>
    <w:rsid w:val="00476B0A"/>
    <w:rsid w:val="00476F40"/>
    <w:rsid w:val="00477B99"/>
    <w:rsid w:val="00480DCD"/>
    <w:rsid w:val="00481D58"/>
    <w:rsid w:val="0048449C"/>
    <w:rsid w:val="0048495A"/>
    <w:rsid w:val="0048659B"/>
    <w:rsid w:val="00486972"/>
    <w:rsid w:val="00487700"/>
    <w:rsid w:val="00487961"/>
    <w:rsid w:val="0049058F"/>
    <w:rsid w:val="00490C88"/>
    <w:rsid w:val="00492EAD"/>
    <w:rsid w:val="00493072"/>
    <w:rsid w:val="00495B6F"/>
    <w:rsid w:val="00495F15"/>
    <w:rsid w:val="00496DB0"/>
    <w:rsid w:val="004A229A"/>
    <w:rsid w:val="004A235A"/>
    <w:rsid w:val="004A238E"/>
    <w:rsid w:val="004A28A3"/>
    <w:rsid w:val="004A2D15"/>
    <w:rsid w:val="004A3C15"/>
    <w:rsid w:val="004A3FB7"/>
    <w:rsid w:val="004A44CA"/>
    <w:rsid w:val="004A4BC8"/>
    <w:rsid w:val="004A4FE0"/>
    <w:rsid w:val="004A6527"/>
    <w:rsid w:val="004A6E50"/>
    <w:rsid w:val="004A7D5C"/>
    <w:rsid w:val="004B071A"/>
    <w:rsid w:val="004B0BE5"/>
    <w:rsid w:val="004B0ECF"/>
    <w:rsid w:val="004B2AC4"/>
    <w:rsid w:val="004B2F7A"/>
    <w:rsid w:val="004B377C"/>
    <w:rsid w:val="004B3EB9"/>
    <w:rsid w:val="004B5012"/>
    <w:rsid w:val="004B6385"/>
    <w:rsid w:val="004B7DB5"/>
    <w:rsid w:val="004B7FC2"/>
    <w:rsid w:val="004C065E"/>
    <w:rsid w:val="004C3A78"/>
    <w:rsid w:val="004C54E5"/>
    <w:rsid w:val="004C57CA"/>
    <w:rsid w:val="004C66F5"/>
    <w:rsid w:val="004C6A48"/>
    <w:rsid w:val="004C6EB7"/>
    <w:rsid w:val="004D375D"/>
    <w:rsid w:val="004D43B3"/>
    <w:rsid w:val="004D45EC"/>
    <w:rsid w:val="004D5622"/>
    <w:rsid w:val="004D7458"/>
    <w:rsid w:val="004E3E42"/>
    <w:rsid w:val="004E4C3B"/>
    <w:rsid w:val="004E7222"/>
    <w:rsid w:val="004F074D"/>
    <w:rsid w:val="004F2CE1"/>
    <w:rsid w:val="004F2EBD"/>
    <w:rsid w:val="004F3941"/>
    <w:rsid w:val="004F3BB8"/>
    <w:rsid w:val="0050160F"/>
    <w:rsid w:val="00503D15"/>
    <w:rsid w:val="005046DC"/>
    <w:rsid w:val="00506854"/>
    <w:rsid w:val="00506F68"/>
    <w:rsid w:val="00513033"/>
    <w:rsid w:val="00513AF4"/>
    <w:rsid w:val="00513AFD"/>
    <w:rsid w:val="00514BCE"/>
    <w:rsid w:val="00514CF7"/>
    <w:rsid w:val="00515B87"/>
    <w:rsid w:val="005204F5"/>
    <w:rsid w:val="00521065"/>
    <w:rsid w:val="005219B3"/>
    <w:rsid w:val="005223A7"/>
    <w:rsid w:val="005238D3"/>
    <w:rsid w:val="00526D34"/>
    <w:rsid w:val="005270C9"/>
    <w:rsid w:val="00527103"/>
    <w:rsid w:val="005309F3"/>
    <w:rsid w:val="00532C12"/>
    <w:rsid w:val="00532E8F"/>
    <w:rsid w:val="00536A71"/>
    <w:rsid w:val="00543FA0"/>
    <w:rsid w:val="00544124"/>
    <w:rsid w:val="0054426A"/>
    <w:rsid w:val="0054559D"/>
    <w:rsid w:val="00545B0F"/>
    <w:rsid w:val="00545BB8"/>
    <w:rsid w:val="00546474"/>
    <w:rsid w:val="0055134A"/>
    <w:rsid w:val="00552EA9"/>
    <w:rsid w:val="00552ED7"/>
    <w:rsid w:val="005538EF"/>
    <w:rsid w:val="00555B33"/>
    <w:rsid w:val="00556DF3"/>
    <w:rsid w:val="005609B3"/>
    <w:rsid w:val="005609F5"/>
    <w:rsid w:val="005616B0"/>
    <w:rsid w:val="0056414E"/>
    <w:rsid w:val="0057011B"/>
    <w:rsid w:val="005702DC"/>
    <w:rsid w:val="0057048D"/>
    <w:rsid w:val="00571175"/>
    <w:rsid w:val="00571764"/>
    <w:rsid w:val="00571797"/>
    <w:rsid w:val="00571E32"/>
    <w:rsid w:val="005726A0"/>
    <w:rsid w:val="00572BA8"/>
    <w:rsid w:val="00573E75"/>
    <w:rsid w:val="00575B1D"/>
    <w:rsid w:val="005765A0"/>
    <w:rsid w:val="0057714C"/>
    <w:rsid w:val="00577E9A"/>
    <w:rsid w:val="0058043E"/>
    <w:rsid w:val="00580E30"/>
    <w:rsid w:val="005813F0"/>
    <w:rsid w:val="00581446"/>
    <w:rsid w:val="00581A96"/>
    <w:rsid w:val="00584119"/>
    <w:rsid w:val="00584FC3"/>
    <w:rsid w:val="0058554F"/>
    <w:rsid w:val="005858AE"/>
    <w:rsid w:val="00586CA5"/>
    <w:rsid w:val="0058734D"/>
    <w:rsid w:val="00587D08"/>
    <w:rsid w:val="0059006F"/>
    <w:rsid w:val="005909C5"/>
    <w:rsid w:val="005913D8"/>
    <w:rsid w:val="00591A97"/>
    <w:rsid w:val="0059239D"/>
    <w:rsid w:val="005926A9"/>
    <w:rsid w:val="00593318"/>
    <w:rsid w:val="00593678"/>
    <w:rsid w:val="0059669F"/>
    <w:rsid w:val="00596A5F"/>
    <w:rsid w:val="005A1316"/>
    <w:rsid w:val="005A28EA"/>
    <w:rsid w:val="005A2C08"/>
    <w:rsid w:val="005A65D0"/>
    <w:rsid w:val="005A749E"/>
    <w:rsid w:val="005B074D"/>
    <w:rsid w:val="005B0B45"/>
    <w:rsid w:val="005B10C3"/>
    <w:rsid w:val="005B28BF"/>
    <w:rsid w:val="005B2FBD"/>
    <w:rsid w:val="005B3E9B"/>
    <w:rsid w:val="005B528C"/>
    <w:rsid w:val="005B6A3E"/>
    <w:rsid w:val="005B70E0"/>
    <w:rsid w:val="005B744B"/>
    <w:rsid w:val="005B7CC5"/>
    <w:rsid w:val="005C32DD"/>
    <w:rsid w:val="005C333C"/>
    <w:rsid w:val="005C7862"/>
    <w:rsid w:val="005C7ECC"/>
    <w:rsid w:val="005D0B6B"/>
    <w:rsid w:val="005D29C1"/>
    <w:rsid w:val="005D3389"/>
    <w:rsid w:val="005D3AE1"/>
    <w:rsid w:val="005D5B71"/>
    <w:rsid w:val="005D61C2"/>
    <w:rsid w:val="005D72BD"/>
    <w:rsid w:val="005E0170"/>
    <w:rsid w:val="005E141E"/>
    <w:rsid w:val="005E1D46"/>
    <w:rsid w:val="005E2EF3"/>
    <w:rsid w:val="005E3077"/>
    <w:rsid w:val="005E330A"/>
    <w:rsid w:val="005E3783"/>
    <w:rsid w:val="005E4A09"/>
    <w:rsid w:val="005E4C08"/>
    <w:rsid w:val="005E4D12"/>
    <w:rsid w:val="005E52C6"/>
    <w:rsid w:val="005E616C"/>
    <w:rsid w:val="005E7CAB"/>
    <w:rsid w:val="005F01BC"/>
    <w:rsid w:val="005F18C8"/>
    <w:rsid w:val="005F347F"/>
    <w:rsid w:val="005F398B"/>
    <w:rsid w:val="005F3E79"/>
    <w:rsid w:val="005F4463"/>
    <w:rsid w:val="005F5578"/>
    <w:rsid w:val="005F7717"/>
    <w:rsid w:val="00600231"/>
    <w:rsid w:val="0060083C"/>
    <w:rsid w:val="0060140D"/>
    <w:rsid w:val="0060243F"/>
    <w:rsid w:val="006028DC"/>
    <w:rsid w:val="00602F51"/>
    <w:rsid w:val="00603097"/>
    <w:rsid w:val="006036AB"/>
    <w:rsid w:val="00603B07"/>
    <w:rsid w:val="00603B86"/>
    <w:rsid w:val="00603E9D"/>
    <w:rsid w:val="00604087"/>
    <w:rsid w:val="006065F2"/>
    <w:rsid w:val="006109E3"/>
    <w:rsid w:val="006116C0"/>
    <w:rsid w:val="00611735"/>
    <w:rsid w:val="0061247F"/>
    <w:rsid w:val="00612513"/>
    <w:rsid w:val="00612E3E"/>
    <w:rsid w:val="00612F7B"/>
    <w:rsid w:val="00616E1C"/>
    <w:rsid w:val="00617350"/>
    <w:rsid w:val="00617EE1"/>
    <w:rsid w:val="00620DC0"/>
    <w:rsid w:val="0062242B"/>
    <w:rsid w:val="00622E90"/>
    <w:rsid w:val="006239A2"/>
    <w:rsid w:val="00623C7E"/>
    <w:rsid w:val="00623D81"/>
    <w:rsid w:val="006242B3"/>
    <w:rsid w:val="00624447"/>
    <w:rsid w:val="006247AB"/>
    <w:rsid w:val="00625CFE"/>
    <w:rsid w:val="00626965"/>
    <w:rsid w:val="006270B8"/>
    <w:rsid w:val="00627604"/>
    <w:rsid w:val="00627647"/>
    <w:rsid w:val="00630AF9"/>
    <w:rsid w:val="0063259A"/>
    <w:rsid w:val="00632CBF"/>
    <w:rsid w:val="00633360"/>
    <w:rsid w:val="006333B9"/>
    <w:rsid w:val="0063503A"/>
    <w:rsid w:val="006352F2"/>
    <w:rsid w:val="0063584C"/>
    <w:rsid w:val="00640BF4"/>
    <w:rsid w:val="006417EF"/>
    <w:rsid w:val="00643390"/>
    <w:rsid w:val="006434B7"/>
    <w:rsid w:val="00646DB1"/>
    <w:rsid w:val="00647E74"/>
    <w:rsid w:val="00652017"/>
    <w:rsid w:val="0065230A"/>
    <w:rsid w:val="0065269F"/>
    <w:rsid w:val="006538C4"/>
    <w:rsid w:val="006542B4"/>
    <w:rsid w:val="0065457E"/>
    <w:rsid w:val="00654D69"/>
    <w:rsid w:val="0065536A"/>
    <w:rsid w:val="00656394"/>
    <w:rsid w:val="006570FF"/>
    <w:rsid w:val="00660A65"/>
    <w:rsid w:val="0066143C"/>
    <w:rsid w:val="006614FF"/>
    <w:rsid w:val="006652B4"/>
    <w:rsid w:val="006653E9"/>
    <w:rsid w:val="006667BE"/>
    <w:rsid w:val="00666EB2"/>
    <w:rsid w:val="0066766D"/>
    <w:rsid w:val="00667D60"/>
    <w:rsid w:val="00671D63"/>
    <w:rsid w:val="00672195"/>
    <w:rsid w:val="00672F40"/>
    <w:rsid w:val="00676039"/>
    <w:rsid w:val="00676255"/>
    <w:rsid w:val="00676303"/>
    <w:rsid w:val="00681F94"/>
    <w:rsid w:val="00682AC0"/>
    <w:rsid w:val="00683723"/>
    <w:rsid w:val="00683E60"/>
    <w:rsid w:val="0068478B"/>
    <w:rsid w:val="00684D15"/>
    <w:rsid w:val="00686728"/>
    <w:rsid w:val="00686792"/>
    <w:rsid w:val="0068699A"/>
    <w:rsid w:val="0068777A"/>
    <w:rsid w:val="006914B8"/>
    <w:rsid w:val="00692700"/>
    <w:rsid w:val="00692F38"/>
    <w:rsid w:val="00693483"/>
    <w:rsid w:val="00693B91"/>
    <w:rsid w:val="006949BE"/>
    <w:rsid w:val="00695D1D"/>
    <w:rsid w:val="006A0132"/>
    <w:rsid w:val="006A4739"/>
    <w:rsid w:val="006A48F2"/>
    <w:rsid w:val="006A7495"/>
    <w:rsid w:val="006A74E0"/>
    <w:rsid w:val="006B425D"/>
    <w:rsid w:val="006B483B"/>
    <w:rsid w:val="006B5451"/>
    <w:rsid w:val="006B5A41"/>
    <w:rsid w:val="006B633A"/>
    <w:rsid w:val="006B6ABB"/>
    <w:rsid w:val="006B6DD8"/>
    <w:rsid w:val="006B7D1E"/>
    <w:rsid w:val="006C0670"/>
    <w:rsid w:val="006C0D86"/>
    <w:rsid w:val="006C13FF"/>
    <w:rsid w:val="006C1CCC"/>
    <w:rsid w:val="006C2F17"/>
    <w:rsid w:val="006C3CF2"/>
    <w:rsid w:val="006C423E"/>
    <w:rsid w:val="006C443B"/>
    <w:rsid w:val="006C6680"/>
    <w:rsid w:val="006C6762"/>
    <w:rsid w:val="006C6F52"/>
    <w:rsid w:val="006C735A"/>
    <w:rsid w:val="006C76E3"/>
    <w:rsid w:val="006D02D2"/>
    <w:rsid w:val="006D0E96"/>
    <w:rsid w:val="006D1AEB"/>
    <w:rsid w:val="006D24F8"/>
    <w:rsid w:val="006D50A1"/>
    <w:rsid w:val="006D5418"/>
    <w:rsid w:val="006D576A"/>
    <w:rsid w:val="006D7456"/>
    <w:rsid w:val="006E087A"/>
    <w:rsid w:val="006E29E8"/>
    <w:rsid w:val="006E4F7E"/>
    <w:rsid w:val="006E5ABB"/>
    <w:rsid w:val="006E7256"/>
    <w:rsid w:val="006F0521"/>
    <w:rsid w:val="006F29AA"/>
    <w:rsid w:val="006F30C1"/>
    <w:rsid w:val="006F69BC"/>
    <w:rsid w:val="006F7287"/>
    <w:rsid w:val="00700F94"/>
    <w:rsid w:val="0070105F"/>
    <w:rsid w:val="00701FE3"/>
    <w:rsid w:val="007023B9"/>
    <w:rsid w:val="0070299C"/>
    <w:rsid w:val="00702B9C"/>
    <w:rsid w:val="00703C4B"/>
    <w:rsid w:val="0070407A"/>
    <w:rsid w:val="00704BBA"/>
    <w:rsid w:val="007051F8"/>
    <w:rsid w:val="007054F8"/>
    <w:rsid w:val="00705F53"/>
    <w:rsid w:val="0070603D"/>
    <w:rsid w:val="007065AC"/>
    <w:rsid w:val="00707138"/>
    <w:rsid w:val="00710008"/>
    <w:rsid w:val="00710131"/>
    <w:rsid w:val="0071051B"/>
    <w:rsid w:val="007111DC"/>
    <w:rsid w:val="00712A17"/>
    <w:rsid w:val="00713EF7"/>
    <w:rsid w:val="00715AF3"/>
    <w:rsid w:val="00715D1A"/>
    <w:rsid w:val="00716930"/>
    <w:rsid w:val="00716DB6"/>
    <w:rsid w:val="00716F19"/>
    <w:rsid w:val="007175AE"/>
    <w:rsid w:val="0071777E"/>
    <w:rsid w:val="00717A06"/>
    <w:rsid w:val="00721A40"/>
    <w:rsid w:val="00722E93"/>
    <w:rsid w:val="00723714"/>
    <w:rsid w:val="00724D63"/>
    <w:rsid w:val="00724EA6"/>
    <w:rsid w:val="00726098"/>
    <w:rsid w:val="00727BF8"/>
    <w:rsid w:val="00731E41"/>
    <w:rsid w:val="0073387B"/>
    <w:rsid w:val="00736E18"/>
    <w:rsid w:val="007408A7"/>
    <w:rsid w:val="00741822"/>
    <w:rsid w:val="007422BC"/>
    <w:rsid w:val="00742B49"/>
    <w:rsid w:val="00743803"/>
    <w:rsid w:val="00743C3A"/>
    <w:rsid w:val="00743D9E"/>
    <w:rsid w:val="00744F1D"/>
    <w:rsid w:val="00745F89"/>
    <w:rsid w:val="007461CE"/>
    <w:rsid w:val="007464B1"/>
    <w:rsid w:val="00747FB0"/>
    <w:rsid w:val="00751A49"/>
    <w:rsid w:val="007520FD"/>
    <w:rsid w:val="007521B4"/>
    <w:rsid w:val="007531F6"/>
    <w:rsid w:val="00753B18"/>
    <w:rsid w:val="00754560"/>
    <w:rsid w:val="007564B0"/>
    <w:rsid w:val="007571A9"/>
    <w:rsid w:val="00761F73"/>
    <w:rsid w:val="007632E0"/>
    <w:rsid w:val="0076346D"/>
    <w:rsid w:val="007655D3"/>
    <w:rsid w:val="007665F5"/>
    <w:rsid w:val="00766E64"/>
    <w:rsid w:val="007676DA"/>
    <w:rsid w:val="00767D78"/>
    <w:rsid w:val="00767E72"/>
    <w:rsid w:val="0077000F"/>
    <w:rsid w:val="007701EF"/>
    <w:rsid w:val="0077037E"/>
    <w:rsid w:val="00770518"/>
    <w:rsid w:val="00770ABF"/>
    <w:rsid w:val="00771441"/>
    <w:rsid w:val="00772B48"/>
    <w:rsid w:val="007739AB"/>
    <w:rsid w:val="00774D94"/>
    <w:rsid w:val="007752FC"/>
    <w:rsid w:val="00775F01"/>
    <w:rsid w:val="00776180"/>
    <w:rsid w:val="0077640B"/>
    <w:rsid w:val="00776985"/>
    <w:rsid w:val="007805D6"/>
    <w:rsid w:val="007828F3"/>
    <w:rsid w:val="00783340"/>
    <w:rsid w:val="007836FB"/>
    <w:rsid w:val="00783E32"/>
    <w:rsid w:val="00784B1C"/>
    <w:rsid w:val="00785726"/>
    <w:rsid w:val="00786101"/>
    <w:rsid w:val="007868C6"/>
    <w:rsid w:val="00787544"/>
    <w:rsid w:val="007877BE"/>
    <w:rsid w:val="0079137D"/>
    <w:rsid w:val="00792615"/>
    <w:rsid w:val="00793249"/>
    <w:rsid w:val="007952FB"/>
    <w:rsid w:val="007A0515"/>
    <w:rsid w:val="007A1460"/>
    <w:rsid w:val="007A15AF"/>
    <w:rsid w:val="007A2855"/>
    <w:rsid w:val="007A3855"/>
    <w:rsid w:val="007A3873"/>
    <w:rsid w:val="007A52AA"/>
    <w:rsid w:val="007A632C"/>
    <w:rsid w:val="007A6B58"/>
    <w:rsid w:val="007A72CC"/>
    <w:rsid w:val="007A7524"/>
    <w:rsid w:val="007B0510"/>
    <w:rsid w:val="007B0C26"/>
    <w:rsid w:val="007B2029"/>
    <w:rsid w:val="007B208A"/>
    <w:rsid w:val="007B31E8"/>
    <w:rsid w:val="007B33D9"/>
    <w:rsid w:val="007B41D1"/>
    <w:rsid w:val="007B4FDB"/>
    <w:rsid w:val="007B6919"/>
    <w:rsid w:val="007B6E6E"/>
    <w:rsid w:val="007B770A"/>
    <w:rsid w:val="007B779D"/>
    <w:rsid w:val="007B7C5E"/>
    <w:rsid w:val="007C05CF"/>
    <w:rsid w:val="007C3015"/>
    <w:rsid w:val="007C38CC"/>
    <w:rsid w:val="007C443C"/>
    <w:rsid w:val="007C451B"/>
    <w:rsid w:val="007C480A"/>
    <w:rsid w:val="007C679C"/>
    <w:rsid w:val="007C6D98"/>
    <w:rsid w:val="007C7262"/>
    <w:rsid w:val="007C7F16"/>
    <w:rsid w:val="007D0344"/>
    <w:rsid w:val="007D12DD"/>
    <w:rsid w:val="007D2D09"/>
    <w:rsid w:val="007D333D"/>
    <w:rsid w:val="007D3EEC"/>
    <w:rsid w:val="007D55EF"/>
    <w:rsid w:val="007D5AEF"/>
    <w:rsid w:val="007D7320"/>
    <w:rsid w:val="007D7872"/>
    <w:rsid w:val="007E2D70"/>
    <w:rsid w:val="007E771D"/>
    <w:rsid w:val="007E7F4E"/>
    <w:rsid w:val="007F0242"/>
    <w:rsid w:val="007F03B1"/>
    <w:rsid w:val="007F067C"/>
    <w:rsid w:val="007F2DE2"/>
    <w:rsid w:val="007F3C6C"/>
    <w:rsid w:val="007F45C1"/>
    <w:rsid w:val="007F594C"/>
    <w:rsid w:val="007F59F5"/>
    <w:rsid w:val="007F65CD"/>
    <w:rsid w:val="007F750C"/>
    <w:rsid w:val="00804561"/>
    <w:rsid w:val="008046DC"/>
    <w:rsid w:val="00804A8D"/>
    <w:rsid w:val="008068E3"/>
    <w:rsid w:val="0080756A"/>
    <w:rsid w:val="00810050"/>
    <w:rsid w:val="00811C61"/>
    <w:rsid w:val="00813951"/>
    <w:rsid w:val="00817290"/>
    <w:rsid w:val="00820175"/>
    <w:rsid w:val="00820CDB"/>
    <w:rsid w:val="00821A23"/>
    <w:rsid w:val="00821BB0"/>
    <w:rsid w:val="00822141"/>
    <w:rsid w:val="00823148"/>
    <w:rsid w:val="00823F9E"/>
    <w:rsid w:val="00825584"/>
    <w:rsid w:val="00826E80"/>
    <w:rsid w:val="00827186"/>
    <w:rsid w:val="008276E1"/>
    <w:rsid w:val="00827D7A"/>
    <w:rsid w:val="00832DBE"/>
    <w:rsid w:val="00833546"/>
    <w:rsid w:val="008335E0"/>
    <w:rsid w:val="008345CA"/>
    <w:rsid w:val="008437D8"/>
    <w:rsid w:val="00845032"/>
    <w:rsid w:val="0084636D"/>
    <w:rsid w:val="00846FAA"/>
    <w:rsid w:val="00847115"/>
    <w:rsid w:val="008473F6"/>
    <w:rsid w:val="00847799"/>
    <w:rsid w:val="0085040E"/>
    <w:rsid w:val="00850621"/>
    <w:rsid w:val="00850A5F"/>
    <w:rsid w:val="00852089"/>
    <w:rsid w:val="00852218"/>
    <w:rsid w:val="00853E1E"/>
    <w:rsid w:val="00862D96"/>
    <w:rsid w:val="008633E7"/>
    <w:rsid w:val="00863E7C"/>
    <w:rsid w:val="00866790"/>
    <w:rsid w:val="008679E8"/>
    <w:rsid w:val="008702C4"/>
    <w:rsid w:val="008723BD"/>
    <w:rsid w:val="00873542"/>
    <w:rsid w:val="00874628"/>
    <w:rsid w:val="00874870"/>
    <w:rsid w:val="0087651D"/>
    <w:rsid w:val="00880D31"/>
    <w:rsid w:val="008810C5"/>
    <w:rsid w:val="00881584"/>
    <w:rsid w:val="00890013"/>
    <w:rsid w:val="008915E7"/>
    <w:rsid w:val="00891A7D"/>
    <w:rsid w:val="0089222E"/>
    <w:rsid w:val="008922F6"/>
    <w:rsid w:val="00892CE3"/>
    <w:rsid w:val="00892F05"/>
    <w:rsid w:val="00894855"/>
    <w:rsid w:val="00894B2E"/>
    <w:rsid w:val="00895A06"/>
    <w:rsid w:val="00895B72"/>
    <w:rsid w:val="008960B0"/>
    <w:rsid w:val="00897A4F"/>
    <w:rsid w:val="008A03CF"/>
    <w:rsid w:val="008A0698"/>
    <w:rsid w:val="008A317D"/>
    <w:rsid w:val="008A3679"/>
    <w:rsid w:val="008A370B"/>
    <w:rsid w:val="008A4881"/>
    <w:rsid w:val="008A646D"/>
    <w:rsid w:val="008A68A4"/>
    <w:rsid w:val="008A72FA"/>
    <w:rsid w:val="008A778A"/>
    <w:rsid w:val="008A77E9"/>
    <w:rsid w:val="008A7A6E"/>
    <w:rsid w:val="008B0DF6"/>
    <w:rsid w:val="008B1B1D"/>
    <w:rsid w:val="008B38CA"/>
    <w:rsid w:val="008B3DA6"/>
    <w:rsid w:val="008B4669"/>
    <w:rsid w:val="008B49EC"/>
    <w:rsid w:val="008B4B21"/>
    <w:rsid w:val="008B524B"/>
    <w:rsid w:val="008B5870"/>
    <w:rsid w:val="008B7082"/>
    <w:rsid w:val="008C04C9"/>
    <w:rsid w:val="008C04E1"/>
    <w:rsid w:val="008C0AF0"/>
    <w:rsid w:val="008C0E80"/>
    <w:rsid w:val="008C4037"/>
    <w:rsid w:val="008C41E3"/>
    <w:rsid w:val="008C475F"/>
    <w:rsid w:val="008C7612"/>
    <w:rsid w:val="008D0126"/>
    <w:rsid w:val="008D114C"/>
    <w:rsid w:val="008D1A92"/>
    <w:rsid w:val="008D40A3"/>
    <w:rsid w:val="008D475D"/>
    <w:rsid w:val="008E03C1"/>
    <w:rsid w:val="008E0707"/>
    <w:rsid w:val="008E0BA2"/>
    <w:rsid w:val="008E23CF"/>
    <w:rsid w:val="008E33A5"/>
    <w:rsid w:val="008E378B"/>
    <w:rsid w:val="008E3894"/>
    <w:rsid w:val="008E47C3"/>
    <w:rsid w:val="008E6042"/>
    <w:rsid w:val="008E631B"/>
    <w:rsid w:val="008E7285"/>
    <w:rsid w:val="008F277D"/>
    <w:rsid w:val="008F37E8"/>
    <w:rsid w:val="008F3AF1"/>
    <w:rsid w:val="008F54D5"/>
    <w:rsid w:val="008F6534"/>
    <w:rsid w:val="008F76A4"/>
    <w:rsid w:val="008F76DA"/>
    <w:rsid w:val="00902903"/>
    <w:rsid w:val="00902A14"/>
    <w:rsid w:val="00902B3F"/>
    <w:rsid w:val="00903140"/>
    <w:rsid w:val="00905E1F"/>
    <w:rsid w:val="00910362"/>
    <w:rsid w:val="00913CDB"/>
    <w:rsid w:val="0091502A"/>
    <w:rsid w:val="0091511E"/>
    <w:rsid w:val="00915132"/>
    <w:rsid w:val="00916D7E"/>
    <w:rsid w:val="00916E92"/>
    <w:rsid w:val="0091788E"/>
    <w:rsid w:val="00917BC6"/>
    <w:rsid w:val="00920A0C"/>
    <w:rsid w:val="009221DD"/>
    <w:rsid w:val="00922D48"/>
    <w:rsid w:val="009231A6"/>
    <w:rsid w:val="00923F3B"/>
    <w:rsid w:val="009241F0"/>
    <w:rsid w:val="00924745"/>
    <w:rsid w:val="00924B59"/>
    <w:rsid w:val="00924F3B"/>
    <w:rsid w:val="0092562C"/>
    <w:rsid w:val="009256B0"/>
    <w:rsid w:val="00925BC4"/>
    <w:rsid w:val="00925E38"/>
    <w:rsid w:val="00926328"/>
    <w:rsid w:val="00927162"/>
    <w:rsid w:val="00931CD3"/>
    <w:rsid w:val="00932AF1"/>
    <w:rsid w:val="00932DC4"/>
    <w:rsid w:val="00933438"/>
    <w:rsid w:val="00934639"/>
    <w:rsid w:val="00934DD8"/>
    <w:rsid w:val="00934F60"/>
    <w:rsid w:val="0093520A"/>
    <w:rsid w:val="00935917"/>
    <w:rsid w:val="00936EC9"/>
    <w:rsid w:val="0093721C"/>
    <w:rsid w:val="00937489"/>
    <w:rsid w:val="00937AE6"/>
    <w:rsid w:val="009402B5"/>
    <w:rsid w:val="00941637"/>
    <w:rsid w:val="0094273B"/>
    <w:rsid w:val="009430F9"/>
    <w:rsid w:val="00943C86"/>
    <w:rsid w:val="00943FA1"/>
    <w:rsid w:val="00945963"/>
    <w:rsid w:val="00945FE7"/>
    <w:rsid w:val="00946378"/>
    <w:rsid w:val="0094780D"/>
    <w:rsid w:val="0095022E"/>
    <w:rsid w:val="00950469"/>
    <w:rsid w:val="009516A5"/>
    <w:rsid w:val="009527F3"/>
    <w:rsid w:val="00952F3C"/>
    <w:rsid w:val="009531B4"/>
    <w:rsid w:val="009549F4"/>
    <w:rsid w:val="00955364"/>
    <w:rsid w:val="00956953"/>
    <w:rsid w:val="00956BA7"/>
    <w:rsid w:val="00956C62"/>
    <w:rsid w:val="00957EC2"/>
    <w:rsid w:val="009606D4"/>
    <w:rsid w:val="009626B3"/>
    <w:rsid w:val="00962893"/>
    <w:rsid w:val="00963432"/>
    <w:rsid w:val="00963E0D"/>
    <w:rsid w:val="009644F4"/>
    <w:rsid w:val="00965B51"/>
    <w:rsid w:val="00966588"/>
    <w:rsid w:val="00966ACE"/>
    <w:rsid w:val="00967BE5"/>
    <w:rsid w:val="00970454"/>
    <w:rsid w:val="0097056B"/>
    <w:rsid w:val="009706B9"/>
    <w:rsid w:val="009707B2"/>
    <w:rsid w:val="0097434A"/>
    <w:rsid w:val="00975E06"/>
    <w:rsid w:val="009767B5"/>
    <w:rsid w:val="0098291B"/>
    <w:rsid w:val="00983B9E"/>
    <w:rsid w:val="00985306"/>
    <w:rsid w:val="0098552F"/>
    <w:rsid w:val="0098677A"/>
    <w:rsid w:val="00990316"/>
    <w:rsid w:val="00990A79"/>
    <w:rsid w:val="00990E9C"/>
    <w:rsid w:val="00991B88"/>
    <w:rsid w:val="00991DE0"/>
    <w:rsid w:val="00992066"/>
    <w:rsid w:val="00992823"/>
    <w:rsid w:val="00993BF4"/>
    <w:rsid w:val="00994382"/>
    <w:rsid w:val="0099579F"/>
    <w:rsid w:val="00996815"/>
    <w:rsid w:val="009973F6"/>
    <w:rsid w:val="009A107B"/>
    <w:rsid w:val="009A1A14"/>
    <w:rsid w:val="009A2266"/>
    <w:rsid w:val="009A4651"/>
    <w:rsid w:val="009A6BCE"/>
    <w:rsid w:val="009A6F5A"/>
    <w:rsid w:val="009A74E1"/>
    <w:rsid w:val="009B0846"/>
    <w:rsid w:val="009B1441"/>
    <w:rsid w:val="009B2203"/>
    <w:rsid w:val="009B2C75"/>
    <w:rsid w:val="009B3D35"/>
    <w:rsid w:val="009B3ECA"/>
    <w:rsid w:val="009B5133"/>
    <w:rsid w:val="009B54CF"/>
    <w:rsid w:val="009B66E4"/>
    <w:rsid w:val="009B6AD1"/>
    <w:rsid w:val="009B7368"/>
    <w:rsid w:val="009B75DA"/>
    <w:rsid w:val="009B775A"/>
    <w:rsid w:val="009B7F0B"/>
    <w:rsid w:val="009C44C2"/>
    <w:rsid w:val="009C4CD8"/>
    <w:rsid w:val="009C7011"/>
    <w:rsid w:val="009C7DED"/>
    <w:rsid w:val="009D3E45"/>
    <w:rsid w:val="009D5AE7"/>
    <w:rsid w:val="009E0A47"/>
    <w:rsid w:val="009E21B7"/>
    <w:rsid w:val="009E2959"/>
    <w:rsid w:val="009E3996"/>
    <w:rsid w:val="009E3FDA"/>
    <w:rsid w:val="009E54C4"/>
    <w:rsid w:val="009E5533"/>
    <w:rsid w:val="009E6572"/>
    <w:rsid w:val="009E7223"/>
    <w:rsid w:val="009F04CF"/>
    <w:rsid w:val="009F0E96"/>
    <w:rsid w:val="009F110B"/>
    <w:rsid w:val="009F4339"/>
    <w:rsid w:val="009F4CB6"/>
    <w:rsid w:val="009F51EB"/>
    <w:rsid w:val="009F54C7"/>
    <w:rsid w:val="009F5C2E"/>
    <w:rsid w:val="009F6EC3"/>
    <w:rsid w:val="009F7FD9"/>
    <w:rsid w:val="00A0034F"/>
    <w:rsid w:val="00A00C38"/>
    <w:rsid w:val="00A0114C"/>
    <w:rsid w:val="00A02492"/>
    <w:rsid w:val="00A02798"/>
    <w:rsid w:val="00A02CF0"/>
    <w:rsid w:val="00A02E95"/>
    <w:rsid w:val="00A02FCD"/>
    <w:rsid w:val="00A03D91"/>
    <w:rsid w:val="00A06A55"/>
    <w:rsid w:val="00A072CD"/>
    <w:rsid w:val="00A07F4B"/>
    <w:rsid w:val="00A10221"/>
    <w:rsid w:val="00A12CD3"/>
    <w:rsid w:val="00A142DC"/>
    <w:rsid w:val="00A162D5"/>
    <w:rsid w:val="00A16A94"/>
    <w:rsid w:val="00A20330"/>
    <w:rsid w:val="00A20879"/>
    <w:rsid w:val="00A21062"/>
    <w:rsid w:val="00A21F8C"/>
    <w:rsid w:val="00A23DB2"/>
    <w:rsid w:val="00A2451B"/>
    <w:rsid w:val="00A24685"/>
    <w:rsid w:val="00A24A18"/>
    <w:rsid w:val="00A264FD"/>
    <w:rsid w:val="00A26D8E"/>
    <w:rsid w:val="00A27DEA"/>
    <w:rsid w:val="00A3046A"/>
    <w:rsid w:val="00A31294"/>
    <w:rsid w:val="00A3135B"/>
    <w:rsid w:val="00A34019"/>
    <w:rsid w:val="00A342F6"/>
    <w:rsid w:val="00A35EB4"/>
    <w:rsid w:val="00A36997"/>
    <w:rsid w:val="00A3726A"/>
    <w:rsid w:val="00A42E8A"/>
    <w:rsid w:val="00A4317D"/>
    <w:rsid w:val="00A43D0D"/>
    <w:rsid w:val="00A448B9"/>
    <w:rsid w:val="00A45176"/>
    <w:rsid w:val="00A46A69"/>
    <w:rsid w:val="00A509C0"/>
    <w:rsid w:val="00A5438B"/>
    <w:rsid w:val="00A55458"/>
    <w:rsid w:val="00A561D8"/>
    <w:rsid w:val="00A56FF4"/>
    <w:rsid w:val="00A57B2C"/>
    <w:rsid w:val="00A57FEE"/>
    <w:rsid w:val="00A60B35"/>
    <w:rsid w:val="00A61041"/>
    <w:rsid w:val="00A616F6"/>
    <w:rsid w:val="00A62132"/>
    <w:rsid w:val="00A62657"/>
    <w:rsid w:val="00A6270D"/>
    <w:rsid w:val="00A62C06"/>
    <w:rsid w:val="00A63042"/>
    <w:rsid w:val="00A631B9"/>
    <w:rsid w:val="00A632BF"/>
    <w:rsid w:val="00A63BCE"/>
    <w:rsid w:val="00A71021"/>
    <w:rsid w:val="00A721C6"/>
    <w:rsid w:val="00A72BE1"/>
    <w:rsid w:val="00A73147"/>
    <w:rsid w:val="00A735BD"/>
    <w:rsid w:val="00A74048"/>
    <w:rsid w:val="00A74297"/>
    <w:rsid w:val="00A779F2"/>
    <w:rsid w:val="00A804D5"/>
    <w:rsid w:val="00A81A1E"/>
    <w:rsid w:val="00A8282F"/>
    <w:rsid w:val="00A82A47"/>
    <w:rsid w:val="00A84EBD"/>
    <w:rsid w:val="00A85C3C"/>
    <w:rsid w:val="00A86334"/>
    <w:rsid w:val="00A87CB5"/>
    <w:rsid w:val="00A90212"/>
    <w:rsid w:val="00A90C30"/>
    <w:rsid w:val="00A9179A"/>
    <w:rsid w:val="00A95449"/>
    <w:rsid w:val="00A96683"/>
    <w:rsid w:val="00A97143"/>
    <w:rsid w:val="00AA3B66"/>
    <w:rsid w:val="00AA4575"/>
    <w:rsid w:val="00AA52F2"/>
    <w:rsid w:val="00AA53A6"/>
    <w:rsid w:val="00AA61B8"/>
    <w:rsid w:val="00AA68F9"/>
    <w:rsid w:val="00AB0EF2"/>
    <w:rsid w:val="00AB5C5A"/>
    <w:rsid w:val="00AB70E1"/>
    <w:rsid w:val="00AB7BAE"/>
    <w:rsid w:val="00AC03A7"/>
    <w:rsid w:val="00AC07EF"/>
    <w:rsid w:val="00AC0AB4"/>
    <w:rsid w:val="00AC3E8B"/>
    <w:rsid w:val="00AC4100"/>
    <w:rsid w:val="00AC5BE5"/>
    <w:rsid w:val="00AC6424"/>
    <w:rsid w:val="00AC6589"/>
    <w:rsid w:val="00AC72C6"/>
    <w:rsid w:val="00AC73A6"/>
    <w:rsid w:val="00AD0859"/>
    <w:rsid w:val="00AD1255"/>
    <w:rsid w:val="00AD393A"/>
    <w:rsid w:val="00AD3D3D"/>
    <w:rsid w:val="00AD44ED"/>
    <w:rsid w:val="00AD7E02"/>
    <w:rsid w:val="00AE30E7"/>
    <w:rsid w:val="00AE33C3"/>
    <w:rsid w:val="00AE4A1D"/>
    <w:rsid w:val="00AE5683"/>
    <w:rsid w:val="00AE5689"/>
    <w:rsid w:val="00AE603D"/>
    <w:rsid w:val="00AF1AAC"/>
    <w:rsid w:val="00AF5BCD"/>
    <w:rsid w:val="00AF707A"/>
    <w:rsid w:val="00B008C6"/>
    <w:rsid w:val="00B019F8"/>
    <w:rsid w:val="00B02CF7"/>
    <w:rsid w:val="00B03696"/>
    <w:rsid w:val="00B04881"/>
    <w:rsid w:val="00B05F72"/>
    <w:rsid w:val="00B0742D"/>
    <w:rsid w:val="00B07975"/>
    <w:rsid w:val="00B07E9C"/>
    <w:rsid w:val="00B10047"/>
    <w:rsid w:val="00B10572"/>
    <w:rsid w:val="00B11B3D"/>
    <w:rsid w:val="00B11EC8"/>
    <w:rsid w:val="00B1279E"/>
    <w:rsid w:val="00B13BB1"/>
    <w:rsid w:val="00B14077"/>
    <w:rsid w:val="00B1448D"/>
    <w:rsid w:val="00B144F1"/>
    <w:rsid w:val="00B14613"/>
    <w:rsid w:val="00B14BE8"/>
    <w:rsid w:val="00B15F0F"/>
    <w:rsid w:val="00B165B5"/>
    <w:rsid w:val="00B16EFB"/>
    <w:rsid w:val="00B179FC"/>
    <w:rsid w:val="00B20931"/>
    <w:rsid w:val="00B214B3"/>
    <w:rsid w:val="00B224CC"/>
    <w:rsid w:val="00B2333C"/>
    <w:rsid w:val="00B23710"/>
    <w:rsid w:val="00B23D5B"/>
    <w:rsid w:val="00B24D1A"/>
    <w:rsid w:val="00B26686"/>
    <w:rsid w:val="00B27463"/>
    <w:rsid w:val="00B276BE"/>
    <w:rsid w:val="00B27BC4"/>
    <w:rsid w:val="00B30AD8"/>
    <w:rsid w:val="00B326D1"/>
    <w:rsid w:val="00B32B3A"/>
    <w:rsid w:val="00B338A2"/>
    <w:rsid w:val="00B341B3"/>
    <w:rsid w:val="00B35ADD"/>
    <w:rsid w:val="00B36342"/>
    <w:rsid w:val="00B36346"/>
    <w:rsid w:val="00B40286"/>
    <w:rsid w:val="00B40CBC"/>
    <w:rsid w:val="00B43DDC"/>
    <w:rsid w:val="00B44C8A"/>
    <w:rsid w:val="00B4521E"/>
    <w:rsid w:val="00B47A09"/>
    <w:rsid w:val="00B5028B"/>
    <w:rsid w:val="00B50C0C"/>
    <w:rsid w:val="00B51467"/>
    <w:rsid w:val="00B60BA1"/>
    <w:rsid w:val="00B624C0"/>
    <w:rsid w:val="00B64F1E"/>
    <w:rsid w:val="00B71413"/>
    <w:rsid w:val="00B7243C"/>
    <w:rsid w:val="00B72721"/>
    <w:rsid w:val="00B736D1"/>
    <w:rsid w:val="00B74BB3"/>
    <w:rsid w:val="00B7563D"/>
    <w:rsid w:val="00B77234"/>
    <w:rsid w:val="00B777C0"/>
    <w:rsid w:val="00B779ED"/>
    <w:rsid w:val="00B77ADC"/>
    <w:rsid w:val="00B80FD9"/>
    <w:rsid w:val="00B834DC"/>
    <w:rsid w:val="00B837C3"/>
    <w:rsid w:val="00B83E66"/>
    <w:rsid w:val="00B84C1D"/>
    <w:rsid w:val="00B86DB2"/>
    <w:rsid w:val="00B905A7"/>
    <w:rsid w:val="00B90E53"/>
    <w:rsid w:val="00B91BA8"/>
    <w:rsid w:val="00B938B9"/>
    <w:rsid w:val="00B95431"/>
    <w:rsid w:val="00B95718"/>
    <w:rsid w:val="00B962DF"/>
    <w:rsid w:val="00B97991"/>
    <w:rsid w:val="00BA073B"/>
    <w:rsid w:val="00BA07CA"/>
    <w:rsid w:val="00BA1BE9"/>
    <w:rsid w:val="00BA335C"/>
    <w:rsid w:val="00BA4F45"/>
    <w:rsid w:val="00BB0752"/>
    <w:rsid w:val="00BB0EC2"/>
    <w:rsid w:val="00BB101F"/>
    <w:rsid w:val="00BB34B2"/>
    <w:rsid w:val="00BB41B0"/>
    <w:rsid w:val="00BB5031"/>
    <w:rsid w:val="00BB5356"/>
    <w:rsid w:val="00BB535B"/>
    <w:rsid w:val="00BB6AE4"/>
    <w:rsid w:val="00BC036C"/>
    <w:rsid w:val="00BC1D0A"/>
    <w:rsid w:val="00BC22AB"/>
    <w:rsid w:val="00BC232F"/>
    <w:rsid w:val="00BC4A45"/>
    <w:rsid w:val="00BC60B3"/>
    <w:rsid w:val="00BC6619"/>
    <w:rsid w:val="00BC773D"/>
    <w:rsid w:val="00BC7973"/>
    <w:rsid w:val="00BC7C55"/>
    <w:rsid w:val="00BD006D"/>
    <w:rsid w:val="00BD1DB7"/>
    <w:rsid w:val="00BD25F2"/>
    <w:rsid w:val="00BD2E78"/>
    <w:rsid w:val="00BD4C10"/>
    <w:rsid w:val="00BD4E69"/>
    <w:rsid w:val="00BD6439"/>
    <w:rsid w:val="00BD7632"/>
    <w:rsid w:val="00BD7E87"/>
    <w:rsid w:val="00BE0108"/>
    <w:rsid w:val="00BE47E5"/>
    <w:rsid w:val="00BE4BC6"/>
    <w:rsid w:val="00BE7328"/>
    <w:rsid w:val="00BE7815"/>
    <w:rsid w:val="00BE7E77"/>
    <w:rsid w:val="00BF0D27"/>
    <w:rsid w:val="00BF1837"/>
    <w:rsid w:val="00BF1D95"/>
    <w:rsid w:val="00BF1FEF"/>
    <w:rsid w:val="00BF314C"/>
    <w:rsid w:val="00BF3BC1"/>
    <w:rsid w:val="00BF4186"/>
    <w:rsid w:val="00BF66C6"/>
    <w:rsid w:val="00BF7BBC"/>
    <w:rsid w:val="00C0062E"/>
    <w:rsid w:val="00C059DE"/>
    <w:rsid w:val="00C068ED"/>
    <w:rsid w:val="00C06C53"/>
    <w:rsid w:val="00C107F3"/>
    <w:rsid w:val="00C10B99"/>
    <w:rsid w:val="00C1119A"/>
    <w:rsid w:val="00C11245"/>
    <w:rsid w:val="00C127C3"/>
    <w:rsid w:val="00C13F08"/>
    <w:rsid w:val="00C14F97"/>
    <w:rsid w:val="00C1509C"/>
    <w:rsid w:val="00C15E39"/>
    <w:rsid w:val="00C16374"/>
    <w:rsid w:val="00C17657"/>
    <w:rsid w:val="00C17676"/>
    <w:rsid w:val="00C17CE0"/>
    <w:rsid w:val="00C17F5F"/>
    <w:rsid w:val="00C20DB2"/>
    <w:rsid w:val="00C210A1"/>
    <w:rsid w:val="00C234E5"/>
    <w:rsid w:val="00C2397A"/>
    <w:rsid w:val="00C23D44"/>
    <w:rsid w:val="00C23EF9"/>
    <w:rsid w:val="00C244B3"/>
    <w:rsid w:val="00C24B7C"/>
    <w:rsid w:val="00C26799"/>
    <w:rsid w:val="00C26DE4"/>
    <w:rsid w:val="00C27CA4"/>
    <w:rsid w:val="00C27D44"/>
    <w:rsid w:val="00C30879"/>
    <w:rsid w:val="00C30A7D"/>
    <w:rsid w:val="00C32098"/>
    <w:rsid w:val="00C35A9E"/>
    <w:rsid w:val="00C36301"/>
    <w:rsid w:val="00C36FD0"/>
    <w:rsid w:val="00C37B0D"/>
    <w:rsid w:val="00C41CD2"/>
    <w:rsid w:val="00C41F21"/>
    <w:rsid w:val="00C440CB"/>
    <w:rsid w:val="00C50329"/>
    <w:rsid w:val="00C50541"/>
    <w:rsid w:val="00C5440D"/>
    <w:rsid w:val="00C544BA"/>
    <w:rsid w:val="00C5461D"/>
    <w:rsid w:val="00C54F2D"/>
    <w:rsid w:val="00C552E9"/>
    <w:rsid w:val="00C56366"/>
    <w:rsid w:val="00C56A5F"/>
    <w:rsid w:val="00C57A44"/>
    <w:rsid w:val="00C6015F"/>
    <w:rsid w:val="00C6135D"/>
    <w:rsid w:val="00C61E3E"/>
    <w:rsid w:val="00C62203"/>
    <w:rsid w:val="00C625DB"/>
    <w:rsid w:val="00C63DA5"/>
    <w:rsid w:val="00C640F3"/>
    <w:rsid w:val="00C64D32"/>
    <w:rsid w:val="00C651EF"/>
    <w:rsid w:val="00C658B7"/>
    <w:rsid w:val="00C66532"/>
    <w:rsid w:val="00C705AE"/>
    <w:rsid w:val="00C72ECA"/>
    <w:rsid w:val="00C7339F"/>
    <w:rsid w:val="00C734FE"/>
    <w:rsid w:val="00C7376C"/>
    <w:rsid w:val="00C76971"/>
    <w:rsid w:val="00C77633"/>
    <w:rsid w:val="00C80DDC"/>
    <w:rsid w:val="00C81104"/>
    <w:rsid w:val="00C8170B"/>
    <w:rsid w:val="00C81FA0"/>
    <w:rsid w:val="00C823B5"/>
    <w:rsid w:val="00C832E3"/>
    <w:rsid w:val="00C83C84"/>
    <w:rsid w:val="00C843F6"/>
    <w:rsid w:val="00C84A38"/>
    <w:rsid w:val="00C84B0B"/>
    <w:rsid w:val="00C86CE7"/>
    <w:rsid w:val="00C872FF"/>
    <w:rsid w:val="00C900CE"/>
    <w:rsid w:val="00C90DD5"/>
    <w:rsid w:val="00C94ADA"/>
    <w:rsid w:val="00C95AFE"/>
    <w:rsid w:val="00C95F7E"/>
    <w:rsid w:val="00C96B52"/>
    <w:rsid w:val="00C97443"/>
    <w:rsid w:val="00C97F9B"/>
    <w:rsid w:val="00CA2B80"/>
    <w:rsid w:val="00CA37C0"/>
    <w:rsid w:val="00CA4A6A"/>
    <w:rsid w:val="00CB40D0"/>
    <w:rsid w:val="00CB417B"/>
    <w:rsid w:val="00CB4192"/>
    <w:rsid w:val="00CB4420"/>
    <w:rsid w:val="00CB490E"/>
    <w:rsid w:val="00CB654E"/>
    <w:rsid w:val="00CB6DB7"/>
    <w:rsid w:val="00CB73C9"/>
    <w:rsid w:val="00CB7ACD"/>
    <w:rsid w:val="00CC1AEF"/>
    <w:rsid w:val="00CC264B"/>
    <w:rsid w:val="00CC5748"/>
    <w:rsid w:val="00CC5847"/>
    <w:rsid w:val="00CC5EB8"/>
    <w:rsid w:val="00CC750C"/>
    <w:rsid w:val="00CD0A87"/>
    <w:rsid w:val="00CD42E0"/>
    <w:rsid w:val="00CD46C0"/>
    <w:rsid w:val="00CD4D90"/>
    <w:rsid w:val="00CD5F54"/>
    <w:rsid w:val="00CD63A7"/>
    <w:rsid w:val="00CD6D4E"/>
    <w:rsid w:val="00CD7490"/>
    <w:rsid w:val="00CE20E3"/>
    <w:rsid w:val="00CE2147"/>
    <w:rsid w:val="00CE33E8"/>
    <w:rsid w:val="00CE43D6"/>
    <w:rsid w:val="00CE522C"/>
    <w:rsid w:val="00CE54CC"/>
    <w:rsid w:val="00CE5AA0"/>
    <w:rsid w:val="00CE5FA3"/>
    <w:rsid w:val="00CE66B9"/>
    <w:rsid w:val="00CE7CEC"/>
    <w:rsid w:val="00CF03DC"/>
    <w:rsid w:val="00CF04A0"/>
    <w:rsid w:val="00CF05CC"/>
    <w:rsid w:val="00CF12C2"/>
    <w:rsid w:val="00CF4CCE"/>
    <w:rsid w:val="00CF5342"/>
    <w:rsid w:val="00CF70AC"/>
    <w:rsid w:val="00D0080A"/>
    <w:rsid w:val="00D01AE7"/>
    <w:rsid w:val="00D02EE7"/>
    <w:rsid w:val="00D04485"/>
    <w:rsid w:val="00D06773"/>
    <w:rsid w:val="00D07349"/>
    <w:rsid w:val="00D108BB"/>
    <w:rsid w:val="00D10B4B"/>
    <w:rsid w:val="00D12D75"/>
    <w:rsid w:val="00D16197"/>
    <w:rsid w:val="00D17233"/>
    <w:rsid w:val="00D1728C"/>
    <w:rsid w:val="00D17C61"/>
    <w:rsid w:val="00D2038F"/>
    <w:rsid w:val="00D21707"/>
    <w:rsid w:val="00D21E38"/>
    <w:rsid w:val="00D22790"/>
    <w:rsid w:val="00D26F95"/>
    <w:rsid w:val="00D27902"/>
    <w:rsid w:val="00D30821"/>
    <w:rsid w:val="00D30BB4"/>
    <w:rsid w:val="00D316E5"/>
    <w:rsid w:val="00D32155"/>
    <w:rsid w:val="00D32383"/>
    <w:rsid w:val="00D3403D"/>
    <w:rsid w:val="00D34141"/>
    <w:rsid w:val="00D34BA2"/>
    <w:rsid w:val="00D34FDE"/>
    <w:rsid w:val="00D3575C"/>
    <w:rsid w:val="00D3620E"/>
    <w:rsid w:val="00D401F3"/>
    <w:rsid w:val="00D4232F"/>
    <w:rsid w:val="00D431A6"/>
    <w:rsid w:val="00D442AC"/>
    <w:rsid w:val="00D44900"/>
    <w:rsid w:val="00D466BA"/>
    <w:rsid w:val="00D46CE0"/>
    <w:rsid w:val="00D47F13"/>
    <w:rsid w:val="00D50195"/>
    <w:rsid w:val="00D50807"/>
    <w:rsid w:val="00D5081D"/>
    <w:rsid w:val="00D520C8"/>
    <w:rsid w:val="00D52530"/>
    <w:rsid w:val="00D53452"/>
    <w:rsid w:val="00D54327"/>
    <w:rsid w:val="00D544E7"/>
    <w:rsid w:val="00D5659E"/>
    <w:rsid w:val="00D56A10"/>
    <w:rsid w:val="00D605A5"/>
    <w:rsid w:val="00D614ED"/>
    <w:rsid w:val="00D6291B"/>
    <w:rsid w:val="00D63121"/>
    <w:rsid w:val="00D63D99"/>
    <w:rsid w:val="00D64B72"/>
    <w:rsid w:val="00D66932"/>
    <w:rsid w:val="00D67CC1"/>
    <w:rsid w:val="00D7060F"/>
    <w:rsid w:val="00D7076D"/>
    <w:rsid w:val="00D731E1"/>
    <w:rsid w:val="00D748BB"/>
    <w:rsid w:val="00D754A6"/>
    <w:rsid w:val="00D7615F"/>
    <w:rsid w:val="00D8024F"/>
    <w:rsid w:val="00D8097D"/>
    <w:rsid w:val="00D811CA"/>
    <w:rsid w:val="00D826E1"/>
    <w:rsid w:val="00D82DEF"/>
    <w:rsid w:val="00D82F7B"/>
    <w:rsid w:val="00D8301F"/>
    <w:rsid w:val="00D83159"/>
    <w:rsid w:val="00D83873"/>
    <w:rsid w:val="00D838C9"/>
    <w:rsid w:val="00D84999"/>
    <w:rsid w:val="00D84D7E"/>
    <w:rsid w:val="00D84D9D"/>
    <w:rsid w:val="00D86434"/>
    <w:rsid w:val="00D8780D"/>
    <w:rsid w:val="00D91E59"/>
    <w:rsid w:val="00D93852"/>
    <w:rsid w:val="00D97DF0"/>
    <w:rsid w:val="00DA1E95"/>
    <w:rsid w:val="00DA2593"/>
    <w:rsid w:val="00DA32EF"/>
    <w:rsid w:val="00DA3FC8"/>
    <w:rsid w:val="00DA5D0A"/>
    <w:rsid w:val="00DB1318"/>
    <w:rsid w:val="00DB1774"/>
    <w:rsid w:val="00DB3714"/>
    <w:rsid w:val="00DB556E"/>
    <w:rsid w:val="00DB65AA"/>
    <w:rsid w:val="00DB6F95"/>
    <w:rsid w:val="00DB70B1"/>
    <w:rsid w:val="00DB7FE0"/>
    <w:rsid w:val="00DC0250"/>
    <w:rsid w:val="00DC285D"/>
    <w:rsid w:val="00DC5F8A"/>
    <w:rsid w:val="00DC6FB0"/>
    <w:rsid w:val="00DC7CAF"/>
    <w:rsid w:val="00DD0E61"/>
    <w:rsid w:val="00DD1663"/>
    <w:rsid w:val="00DD194F"/>
    <w:rsid w:val="00DD2E13"/>
    <w:rsid w:val="00DD34F3"/>
    <w:rsid w:val="00DD61ED"/>
    <w:rsid w:val="00DD69B2"/>
    <w:rsid w:val="00DD7449"/>
    <w:rsid w:val="00DE0DC1"/>
    <w:rsid w:val="00DE0FD5"/>
    <w:rsid w:val="00DE2210"/>
    <w:rsid w:val="00DE285A"/>
    <w:rsid w:val="00DE3F11"/>
    <w:rsid w:val="00DE44F8"/>
    <w:rsid w:val="00DE47CE"/>
    <w:rsid w:val="00DE493F"/>
    <w:rsid w:val="00DE4B91"/>
    <w:rsid w:val="00DE53B2"/>
    <w:rsid w:val="00DF0A5B"/>
    <w:rsid w:val="00DF0A81"/>
    <w:rsid w:val="00DF0CE8"/>
    <w:rsid w:val="00DF21EF"/>
    <w:rsid w:val="00DF224F"/>
    <w:rsid w:val="00DF2700"/>
    <w:rsid w:val="00DF291A"/>
    <w:rsid w:val="00DF3175"/>
    <w:rsid w:val="00DF4260"/>
    <w:rsid w:val="00DF566F"/>
    <w:rsid w:val="00DF5746"/>
    <w:rsid w:val="00DF7CB1"/>
    <w:rsid w:val="00DF7DD5"/>
    <w:rsid w:val="00E003D8"/>
    <w:rsid w:val="00E00E6F"/>
    <w:rsid w:val="00E01CE0"/>
    <w:rsid w:val="00E04ACD"/>
    <w:rsid w:val="00E05685"/>
    <w:rsid w:val="00E05D9A"/>
    <w:rsid w:val="00E067C6"/>
    <w:rsid w:val="00E1070B"/>
    <w:rsid w:val="00E11824"/>
    <w:rsid w:val="00E12CF4"/>
    <w:rsid w:val="00E15624"/>
    <w:rsid w:val="00E1593F"/>
    <w:rsid w:val="00E166EB"/>
    <w:rsid w:val="00E20BB0"/>
    <w:rsid w:val="00E220C0"/>
    <w:rsid w:val="00E233CB"/>
    <w:rsid w:val="00E23663"/>
    <w:rsid w:val="00E2473F"/>
    <w:rsid w:val="00E261C3"/>
    <w:rsid w:val="00E319E1"/>
    <w:rsid w:val="00E32A51"/>
    <w:rsid w:val="00E32AD6"/>
    <w:rsid w:val="00E34538"/>
    <w:rsid w:val="00E35702"/>
    <w:rsid w:val="00E35E8B"/>
    <w:rsid w:val="00E37BD1"/>
    <w:rsid w:val="00E37C6E"/>
    <w:rsid w:val="00E40A8F"/>
    <w:rsid w:val="00E40DCA"/>
    <w:rsid w:val="00E43C30"/>
    <w:rsid w:val="00E449CC"/>
    <w:rsid w:val="00E450D4"/>
    <w:rsid w:val="00E4514E"/>
    <w:rsid w:val="00E46411"/>
    <w:rsid w:val="00E4698D"/>
    <w:rsid w:val="00E47067"/>
    <w:rsid w:val="00E50B14"/>
    <w:rsid w:val="00E51556"/>
    <w:rsid w:val="00E53C6F"/>
    <w:rsid w:val="00E55A05"/>
    <w:rsid w:val="00E55A5D"/>
    <w:rsid w:val="00E57890"/>
    <w:rsid w:val="00E608ED"/>
    <w:rsid w:val="00E61E94"/>
    <w:rsid w:val="00E62B01"/>
    <w:rsid w:val="00E62E5D"/>
    <w:rsid w:val="00E63469"/>
    <w:rsid w:val="00E635D2"/>
    <w:rsid w:val="00E63ECD"/>
    <w:rsid w:val="00E65B1A"/>
    <w:rsid w:val="00E65F80"/>
    <w:rsid w:val="00E6722A"/>
    <w:rsid w:val="00E67CC2"/>
    <w:rsid w:val="00E70F86"/>
    <w:rsid w:val="00E71DDB"/>
    <w:rsid w:val="00E7222B"/>
    <w:rsid w:val="00E72B15"/>
    <w:rsid w:val="00E749F2"/>
    <w:rsid w:val="00E75EFB"/>
    <w:rsid w:val="00E76AEA"/>
    <w:rsid w:val="00E77850"/>
    <w:rsid w:val="00E77C19"/>
    <w:rsid w:val="00E77F35"/>
    <w:rsid w:val="00E81565"/>
    <w:rsid w:val="00E817DF"/>
    <w:rsid w:val="00E81B84"/>
    <w:rsid w:val="00E82239"/>
    <w:rsid w:val="00E824BF"/>
    <w:rsid w:val="00E84ACD"/>
    <w:rsid w:val="00E85F9D"/>
    <w:rsid w:val="00E875DD"/>
    <w:rsid w:val="00E87C42"/>
    <w:rsid w:val="00E90797"/>
    <w:rsid w:val="00E914A0"/>
    <w:rsid w:val="00E931FD"/>
    <w:rsid w:val="00E94236"/>
    <w:rsid w:val="00E9551C"/>
    <w:rsid w:val="00E96114"/>
    <w:rsid w:val="00E9686C"/>
    <w:rsid w:val="00E96F4F"/>
    <w:rsid w:val="00EA1A9E"/>
    <w:rsid w:val="00EA6D5F"/>
    <w:rsid w:val="00EA6E5D"/>
    <w:rsid w:val="00EB01DB"/>
    <w:rsid w:val="00EB2887"/>
    <w:rsid w:val="00EB2BEE"/>
    <w:rsid w:val="00EB30BF"/>
    <w:rsid w:val="00EB3548"/>
    <w:rsid w:val="00EB38C6"/>
    <w:rsid w:val="00EB3B16"/>
    <w:rsid w:val="00EB586F"/>
    <w:rsid w:val="00EB5F66"/>
    <w:rsid w:val="00EB5FAA"/>
    <w:rsid w:val="00EB7A5E"/>
    <w:rsid w:val="00EC0AAE"/>
    <w:rsid w:val="00EC119D"/>
    <w:rsid w:val="00EC1AA9"/>
    <w:rsid w:val="00EC5DF9"/>
    <w:rsid w:val="00EC7B19"/>
    <w:rsid w:val="00ED0EDF"/>
    <w:rsid w:val="00ED1022"/>
    <w:rsid w:val="00ED19EF"/>
    <w:rsid w:val="00ED207A"/>
    <w:rsid w:val="00ED224A"/>
    <w:rsid w:val="00ED286C"/>
    <w:rsid w:val="00ED2BAE"/>
    <w:rsid w:val="00ED6B07"/>
    <w:rsid w:val="00ED72B0"/>
    <w:rsid w:val="00EE1F90"/>
    <w:rsid w:val="00EE2088"/>
    <w:rsid w:val="00EE2CAF"/>
    <w:rsid w:val="00EE4380"/>
    <w:rsid w:val="00EE534C"/>
    <w:rsid w:val="00EE5F57"/>
    <w:rsid w:val="00EF0BF6"/>
    <w:rsid w:val="00EF16B3"/>
    <w:rsid w:val="00EF3AFA"/>
    <w:rsid w:val="00EF49AB"/>
    <w:rsid w:val="00EF675F"/>
    <w:rsid w:val="00F00764"/>
    <w:rsid w:val="00F0077D"/>
    <w:rsid w:val="00F01AFB"/>
    <w:rsid w:val="00F01CCC"/>
    <w:rsid w:val="00F053EE"/>
    <w:rsid w:val="00F056CD"/>
    <w:rsid w:val="00F071D3"/>
    <w:rsid w:val="00F07371"/>
    <w:rsid w:val="00F07F21"/>
    <w:rsid w:val="00F107F1"/>
    <w:rsid w:val="00F11B34"/>
    <w:rsid w:val="00F11F24"/>
    <w:rsid w:val="00F127FE"/>
    <w:rsid w:val="00F13733"/>
    <w:rsid w:val="00F14EC1"/>
    <w:rsid w:val="00F14F13"/>
    <w:rsid w:val="00F16070"/>
    <w:rsid w:val="00F17C6E"/>
    <w:rsid w:val="00F21573"/>
    <w:rsid w:val="00F22CC1"/>
    <w:rsid w:val="00F22FF8"/>
    <w:rsid w:val="00F23D03"/>
    <w:rsid w:val="00F23D5A"/>
    <w:rsid w:val="00F2624B"/>
    <w:rsid w:val="00F26BD5"/>
    <w:rsid w:val="00F26D30"/>
    <w:rsid w:val="00F27DC3"/>
    <w:rsid w:val="00F30B6D"/>
    <w:rsid w:val="00F31131"/>
    <w:rsid w:val="00F31601"/>
    <w:rsid w:val="00F325A4"/>
    <w:rsid w:val="00F33590"/>
    <w:rsid w:val="00F349F7"/>
    <w:rsid w:val="00F355FF"/>
    <w:rsid w:val="00F36758"/>
    <w:rsid w:val="00F37AB8"/>
    <w:rsid w:val="00F43E68"/>
    <w:rsid w:val="00F440D6"/>
    <w:rsid w:val="00F44493"/>
    <w:rsid w:val="00F4671E"/>
    <w:rsid w:val="00F46B07"/>
    <w:rsid w:val="00F476A2"/>
    <w:rsid w:val="00F5293D"/>
    <w:rsid w:val="00F53124"/>
    <w:rsid w:val="00F54F8B"/>
    <w:rsid w:val="00F55976"/>
    <w:rsid w:val="00F56F68"/>
    <w:rsid w:val="00F60EE0"/>
    <w:rsid w:val="00F63C4B"/>
    <w:rsid w:val="00F6469D"/>
    <w:rsid w:val="00F648D0"/>
    <w:rsid w:val="00F652EC"/>
    <w:rsid w:val="00F703DC"/>
    <w:rsid w:val="00F7177B"/>
    <w:rsid w:val="00F71F75"/>
    <w:rsid w:val="00F7246A"/>
    <w:rsid w:val="00F72FB7"/>
    <w:rsid w:val="00F7315F"/>
    <w:rsid w:val="00F7372E"/>
    <w:rsid w:val="00F756B5"/>
    <w:rsid w:val="00F75E71"/>
    <w:rsid w:val="00F76961"/>
    <w:rsid w:val="00F76D6B"/>
    <w:rsid w:val="00F77CCD"/>
    <w:rsid w:val="00F82DFA"/>
    <w:rsid w:val="00F85743"/>
    <w:rsid w:val="00F859E5"/>
    <w:rsid w:val="00F92180"/>
    <w:rsid w:val="00F92ADD"/>
    <w:rsid w:val="00F92CF4"/>
    <w:rsid w:val="00F942BA"/>
    <w:rsid w:val="00F96C6A"/>
    <w:rsid w:val="00F979C4"/>
    <w:rsid w:val="00FA1B55"/>
    <w:rsid w:val="00FA1F77"/>
    <w:rsid w:val="00FA31ED"/>
    <w:rsid w:val="00FA522B"/>
    <w:rsid w:val="00FA5F5D"/>
    <w:rsid w:val="00FA711C"/>
    <w:rsid w:val="00FB0EF6"/>
    <w:rsid w:val="00FB23AC"/>
    <w:rsid w:val="00FB3E8A"/>
    <w:rsid w:val="00FB440F"/>
    <w:rsid w:val="00FB4930"/>
    <w:rsid w:val="00FB4BD6"/>
    <w:rsid w:val="00FB5A98"/>
    <w:rsid w:val="00FB5C0B"/>
    <w:rsid w:val="00FB5D35"/>
    <w:rsid w:val="00FB79B2"/>
    <w:rsid w:val="00FB7A7F"/>
    <w:rsid w:val="00FC0D51"/>
    <w:rsid w:val="00FC1673"/>
    <w:rsid w:val="00FC3CC7"/>
    <w:rsid w:val="00FC6B5A"/>
    <w:rsid w:val="00FC763A"/>
    <w:rsid w:val="00FD08EF"/>
    <w:rsid w:val="00FD19A5"/>
    <w:rsid w:val="00FD19FA"/>
    <w:rsid w:val="00FD1CA2"/>
    <w:rsid w:val="00FD37C4"/>
    <w:rsid w:val="00FD3ADE"/>
    <w:rsid w:val="00FD41FA"/>
    <w:rsid w:val="00FD7CAA"/>
    <w:rsid w:val="00FE081D"/>
    <w:rsid w:val="00FE146F"/>
    <w:rsid w:val="00FE1AD1"/>
    <w:rsid w:val="00FE289E"/>
    <w:rsid w:val="00FE2D0A"/>
    <w:rsid w:val="00FE55AB"/>
    <w:rsid w:val="00FE57C7"/>
    <w:rsid w:val="00FE65C4"/>
    <w:rsid w:val="00FE68E0"/>
    <w:rsid w:val="00FE6A86"/>
    <w:rsid w:val="00FE70CD"/>
    <w:rsid w:val="00FE718D"/>
    <w:rsid w:val="00FE7C76"/>
    <w:rsid w:val="00FF0FD4"/>
    <w:rsid w:val="00FF5901"/>
    <w:rsid w:val="00FF5AE6"/>
    <w:rsid w:val="00FF5D04"/>
    <w:rsid w:val="00FF7C35"/>
    <w:rsid w:val="00FF7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383725B9"/>
  <w15:docId w15:val="{7D7CE02E-D451-4017-B9CD-5FC6794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5C1"/>
    <w:pPr>
      <w:spacing w:before="100" w:beforeAutospacing="1" w:after="100" w:afterAutospacing="1"/>
      <w:jc w:val="left"/>
    </w:pPr>
    <w:rPr>
      <w:szCs w:val="24"/>
    </w:rPr>
  </w:style>
  <w:style w:type="character" w:customStyle="1" w:styleId="highlight">
    <w:name w:val="highlight"/>
    <w:basedOn w:val="Policepardfaut"/>
    <w:rsid w:val="00A9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5281">
      <w:bodyDiv w:val="1"/>
      <w:marLeft w:val="0"/>
      <w:marRight w:val="0"/>
      <w:marTop w:val="0"/>
      <w:marBottom w:val="0"/>
      <w:divBdr>
        <w:top w:val="none" w:sz="0" w:space="0" w:color="auto"/>
        <w:left w:val="none" w:sz="0" w:space="0" w:color="auto"/>
        <w:bottom w:val="none" w:sz="0" w:space="0" w:color="auto"/>
        <w:right w:val="none" w:sz="0" w:space="0" w:color="auto"/>
      </w:divBdr>
    </w:div>
    <w:div w:id="136381384">
      <w:bodyDiv w:val="1"/>
      <w:marLeft w:val="0"/>
      <w:marRight w:val="0"/>
      <w:marTop w:val="0"/>
      <w:marBottom w:val="0"/>
      <w:divBdr>
        <w:top w:val="none" w:sz="0" w:space="0" w:color="auto"/>
        <w:left w:val="none" w:sz="0" w:space="0" w:color="auto"/>
        <w:bottom w:val="none" w:sz="0" w:space="0" w:color="auto"/>
        <w:right w:val="none" w:sz="0" w:space="0" w:color="auto"/>
      </w:divBdr>
    </w:div>
    <w:div w:id="193273014">
      <w:bodyDiv w:val="1"/>
      <w:marLeft w:val="0"/>
      <w:marRight w:val="0"/>
      <w:marTop w:val="0"/>
      <w:marBottom w:val="0"/>
      <w:divBdr>
        <w:top w:val="none" w:sz="0" w:space="0" w:color="auto"/>
        <w:left w:val="none" w:sz="0" w:space="0" w:color="auto"/>
        <w:bottom w:val="none" w:sz="0" w:space="0" w:color="auto"/>
        <w:right w:val="none" w:sz="0" w:space="0" w:color="auto"/>
      </w:divBdr>
      <w:divsChild>
        <w:div w:id="2020083096">
          <w:marLeft w:val="0"/>
          <w:marRight w:val="0"/>
          <w:marTop w:val="0"/>
          <w:marBottom w:val="0"/>
          <w:divBdr>
            <w:top w:val="none" w:sz="0" w:space="0" w:color="auto"/>
            <w:left w:val="none" w:sz="0" w:space="0" w:color="auto"/>
            <w:bottom w:val="none" w:sz="0" w:space="0" w:color="auto"/>
            <w:right w:val="none" w:sz="0" w:space="0" w:color="auto"/>
          </w:divBdr>
        </w:div>
        <w:div w:id="529026707">
          <w:marLeft w:val="0"/>
          <w:marRight w:val="0"/>
          <w:marTop w:val="0"/>
          <w:marBottom w:val="0"/>
          <w:divBdr>
            <w:top w:val="none" w:sz="0" w:space="0" w:color="auto"/>
            <w:left w:val="none" w:sz="0" w:space="0" w:color="auto"/>
            <w:bottom w:val="none" w:sz="0" w:space="0" w:color="auto"/>
            <w:right w:val="none" w:sz="0" w:space="0" w:color="auto"/>
          </w:divBdr>
        </w:div>
        <w:div w:id="1787236893">
          <w:marLeft w:val="0"/>
          <w:marRight w:val="0"/>
          <w:marTop w:val="0"/>
          <w:marBottom w:val="0"/>
          <w:divBdr>
            <w:top w:val="none" w:sz="0" w:space="0" w:color="auto"/>
            <w:left w:val="none" w:sz="0" w:space="0" w:color="auto"/>
            <w:bottom w:val="none" w:sz="0" w:space="0" w:color="auto"/>
            <w:right w:val="none" w:sz="0" w:space="0" w:color="auto"/>
          </w:divBdr>
        </w:div>
        <w:div w:id="1576551894">
          <w:marLeft w:val="0"/>
          <w:marRight w:val="0"/>
          <w:marTop w:val="0"/>
          <w:marBottom w:val="0"/>
          <w:divBdr>
            <w:top w:val="none" w:sz="0" w:space="0" w:color="auto"/>
            <w:left w:val="none" w:sz="0" w:space="0" w:color="auto"/>
            <w:bottom w:val="none" w:sz="0" w:space="0" w:color="auto"/>
            <w:right w:val="none" w:sz="0" w:space="0" w:color="auto"/>
          </w:divBdr>
        </w:div>
        <w:div w:id="1077441458">
          <w:marLeft w:val="0"/>
          <w:marRight w:val="0"/>
          <w:marTop w:val="0"/>
          <w:marBottom w:val="0"/>
          <w:divBdr>
            <w:top w:val="none" w:sz="0" w:space="0" w:color="auto"/>
            <w:left w:val="none" w:sz="0" w:space="0" w:color="auto"/>
            <w:bottom w:val="none" w:sz="0" w:space="0" w:color="auto"/>
            <w:right w:val="none" w:sz="0" w:space="0" w:color="auto"/>
          </w:divBdr>
        </w:div>
      </w:divsChild>
    </w:div>
    <w:div w:id="326254091">
      <w:bodyDiv w:val="1"/>
      <w:marLeft w:val="0"/>
      <w:marRight w:val="0"/>
      <w:marTop w:val="0"/>
      <w:marBottom w:val="0"/>
      <w:divBdr>
        <w:top w:val="none" w:sz="0" w:space="0" w:color="auto"/>
        <w:left w:val="none" w:sz="0" w:space="0" w:color="auto"/>
        <w:bottom w:val="none" w:sz="0" w:space="0" w:color="auto"/>
        <w:right w:val="none" w:sz="0" w:space="0" w:color="auto"/>
      </w:divBdr>
    </w:div>
    <w:div w:id="328291833">
      <w:bodyDiv w:val="1"/>
      <w:marLeft w:val="0"/>
      <w:marRight w:val="0"/>
      <w:marTop w:val="0"/>
      <w:marBottom w:val="0"/>
      <w:divBdr>
        <w:top w:val="none" w:sz="0" w:space="0" w:color="auto"/>
        <w:left w:val="none" w:sz="0" w:space="0" w:color="auto"/>
        <w:bottom w:val="none" w:sz="0" w:space="0" w:color="auto"/>
        <w:right w:val="none" w:sz="0" w:space="0" w:color="auto"/>
      </w:divBdr>
    </w:div>
    <w:div w:id="390886021">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489175055">
      <w:bodyDiv w:val="1"/>
      <w:marLeft w:val="0"/>
      <w:marRight w:val="0"/>
      <w:marTop w:val="0"/>
      <w:marBottom w:val="0"/>
      <w:divBdr>
        <w:top w:val="none" w:sz="0" w:space="0" w:color="auto"/>
        <w:left w:val="none" w:sz="0" w:space="0" w:color="auto"/>
        <w:bottom w:val="none" w:sz="0" w:space="0" w:color="auto"/>
        <w:right w:val="none" w:sz="0" w:space="0" w:color="auto"/>
      </w:divBdr>
    </w:div>
    <w:div w:id="612204364">
      <w:bodyDiv w:val="1"/>
      <w:marLeft w:val="0"/>
      <w:marRight w:val="0"/>
      <w:marTop w:val="0"/>
      <w:marBottom w:val="0"/>
      <w:divBdr>
        <w:top w:val="none" w:sz="0" w:space="0" w:color="auto"/>
        <w:left w:val="none" w:sz="0" w:space="0" w:color="auto"/>
        <w:bottom w:val="none" w:sz="0" w:space="0" w:color="auto"/>
        <w:right w:val="none" w:sz="0" w:space="0" w:color="auto"/>
      </w:divBdr>
    </w:div>
    <w:div w:id="638342233">
      <w:bodyDiv w:val="1"/>
      <w:marLeft w:val="0"/>
      <w:marRight w:val="0"/>
      <w:marTop w:val="0"/>
      <w:marBottom w:val="0"/>
      <w:divBdr>
        <w:top w:val="none" w:sz="0" w:space="0" w:color="auto"/>
        <w:left w:val="none" w:sz="0" w:space="0" w:color="auto"/>
        <w:bottom w:val="none" w:sz="0" w:space="0" w:color="auto"/>
        <w:right w:val="none" w:sz="0" w:space="0" w:color="auto"/>
      </w:divBdr>
    </w:div>
    <w:div w:id="641738172">
      <w:bodyDiv w:val="1"/>
      <w:marLeft w:val="0"/>
      <w:marRight w:val="0"/>
      <w:marTop w:val="0"/>
      <w:marBottom w:val="0"/>
      <w:divBdr>
        <w:top w:val="none" w:sz="0" w:space="0" w:color="auto"/>
        <w:left w:val="none" w:sz="0" w:space="0" w:color="auto"/>
        <w:bottom w:val="none" w:sz="0" w:space="0" w:color="auto"/>
        <w:right w:val="none" w:sz="0" w:space="0" w:color="auto"/>
      </w:divBdr>
    </w:div>
    <w:div w:id="660356012">
      <w:bodyDiv w:val="1"/>
      <w:marLeft w:val="0"/>
      <w:marRight w:val="0"/>
      <w:marTop w:val="0"/>
      <w:marBottom w:val="0"/>
      <w:divBdr>
        <w:top w:val="none" w:sz="0" w:space="0" w:color="auto"/>
        <w:left w:val="none" w:sz="0" w:space="0" w:color="auto"/>
        <w:bottom w:val="none" w:sz="0" w:space="0" w:color="auto"/>
        <w:right w:val="none" w:sz="0" w:space="0" w:color="auto"/>
      </w:divBdr>
    </w:div>
    <w:div w:id="735205770">
      <w:bodyDiv w:val="1"/>
      <w:marLeft w:val="0"/>
      <w:marRight w:val="0"/>
      <w:marTop w:val="0"/>
      <w:marBottom w:val="0"/>
      <w:divBdr>
        <w:top w:val="none" w:sz="0" w:space="0" w:color="auto"/>
        <w:left w:val="none" w:sz="0" w:space="0" w:color="auto"/>
        <w:bottom w:val="none" w:sz="0" w:space="0" w:color="auto"/>
        <w:right w:val="none" w:sz="0" w:space="0" w:color="auto"/>
      </w:divBdr>
    </w:div>
    <w:div w:id="772170961">
      <w:bodyDiv w:val="1"/>
      <w:marLeft w:val="0"/>
      <w:marRight w:val="0"/>
      <w:marTop w:val="0"/>
      <w:marBottom w:val="0"/>
      <w:divBdr>
        <w:top w:val="none" w:sz="0" w:space="0" w:color="auto"/>
        <w:left w:val="none" w:sz="0" w:space="0" w:color="auto"/>
        <w:bottom w:val="none" w:sz="0" w:space="0" w:color="auto"/>
        <w:right w:val="none" w:sz="0" w:space="0" w:color="auto"/>
      </w:divBdr>
    </w:div>
    <w:div w:id="911086839">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064257015">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31745484">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179806946">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276504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2184892">
      <w:bodyDiv w:val="1"/>
      <w:marLeft w:val="0"/>
      <w:marRight w:val="0"/>
      <w:marTop w:val="0"/>
      <w:marBottom w:val="0"/>
      <w:divBdr>
        <w:top w:val="none" w:sz="0" w:space="0" w:color="auto"/>
        <w:left w:val="none" w:sz="0" w:space="0" w:color="auto"/>
        <w:bottom w:val="none" w:sz="0" w:space="0" w:color="auto"/>
        <w:right w:val="none" w:sz="0" w:space="0" w:color="auto"/>
      </w:divBdr>
    </w:div>
    <w:div w:id="1668485238">
      <w:bodyDiv w:val="1"/>
      <w:marLeft w:val="0"/>
      <w:marRight w:val="0"/>
      <w:marTop w:val="0"/>
      <w:marBottom w:val="0"/>
      <w:divBdr>
        <w:top w:val="none" w:sz="0" w:space="0" w:color="auto"/>
        <w:left w:val="none" w:sz="0" w:space="0" w:color="auto"/>
        <w:bottom w:val="none" w:sz="0" w:space="0" w:color="auto"/>
        <w:right w:val="none" w:sz="0" w:space="0" w:color="auto"/>
      </w:divBdr>
    </w:div>
    <w:div w:id="1715932940">
      <w:bodyDiv w:val="1"/>
      <w:marLeft w:val="0"/>
      <w:marRight w:val="0"/>
      <w:marTop w:val="0"/>
      <w:marBottom w:val="0"/>
      <w:divBdr>
        <w:top w:val="none" w:sz="0" w:space="0" w:color="auto"/>
        <w:left w:val="none" w:sz="0" w:space="0" w:color="auto"/>
        <w:bottom w:val="none" w:sz="0" w:space="0" w:color="auto"/>
        <w:right w:val="none" w:sz="0" w:space="0" w:color="auto"/>
      </w:divBdr>
    </w:div>
    <w:div w:id="1716999495">
      <w:bodyDiv w:val="1"/>
      <w:marLeft w:val="0"/>
      <w:marRight w:val="0"/>
      <w:marTop w:val="0"/>
      <w:marBottom w:val="0"/>
      <w:divBdr>
        <w:top w:val="none" w:sz="0" w:space="0" w:color="auto"/>
        <w:left w:val="none" w:sz="0" w:space="0" w:color="auto"/>
        <w:bottom w:val="none" w:sz="0" w:space="0" w:color="auto"/>
        <w:right w:val="none" w:sz="0" w:space="0" w:color="auto"/>
      </w:divBdr>
    </w:div>
    <w:div w:id="1718118845">
      <w:bodyDiv w:val="1"/>
      <w:marLeft w:val="0"/>
      <w:marRight w:val="0"/>
      <w:marTop w:val="0"/>
      <w:marBottom w:val="0"/>
      <w:divBdr>
        <w:top w:val="none" w:sz="0" w:space="0" w:color="auto"/>
        <w:left w:val="none" w:sz="0" w:space="0" w:color="auto"/>
        <w:bottom w:val="none" w:sz="0" w:space="0" w:color="auto"/>
        <w:right w:val="none" w:sz="0" w:space="0" w:color="auto"/>
      </w:divBdr>
    </w:div>
    <w:div w:id="1871916008">
      <w:bodyDiv w:val="1"/>
      <w:marLeft w:val="0"/>
      <w:marRight w:val="0"/>
      <w:marTop w:val="0"/>
      <w:marBottom w:val="0"/>
      <w:divBdr>
        <w:top w:val="none" w:sz="0" w:space="0" w:color="auto"/>
        <w:left w:val="none" w:sz="0" w:space="0" w:color="auto"/>
        <w:bottom w:val="none" w:sz="0" w:space="0" w:color="auto"/>
        <w:right w:val="none" w:sz="0" w:space="0" w:color="auto"/>
      </w:divBdr>
    </w:div>
    <w:div w:id="1911842049">
      <w:bodyDiv w:val="1"/>
      <w:marLeft w:val="0"/>
      <w:marRight w:val="0"/>
      <w:marTop w:val="0"/>
      <w:marBottom w:val="0"/>
      <w:divBdr>
        <w:top w:val="none" w:sz="0" w:space="0" w:color="auto"/>
        <w:left w:val="none" w:sz="0" w:space="0" w:color="auto"/>
        <w:bottom w:val="none" w:sz="0" w:space="0" w:color="auto"/>
        <w:right w:val="none" w:sz="0" w:space="0" w:color="auto"/>
      </w:divBdr>
    </w:div>
    <w:div w:id="1941640307">
      <w:bodyDiv w:val="1"/>
      <w:marLeft w:val="0"/>
      <w:marRight w:val="0"/>
      <w:marTop w:val="0"/>
      <w:marBottom w:val="0"/>
      <w:divBdr>
        <w:top w:val="none" w:sz="0" w:space="0" w:color="auto"/>
        <w:left w:val="none" w:sz="0" w:space="0" w:color="auto"/>
        <w:bottom w:val="none" w:sz="0" w:space="0" w:color="auto"/>
        <w:right w:val="none" w:sz="0" w:space="0" w:color="auto"/>
      </w:divBdr>
    </w:div>
    <w:div w:id="1962372118">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 w:id="2090732006">
      <w:bodyDiv w:val="1"/>
      <w:marLeft w:val="0"/>
      <w:marRight w:val="0"/>
      <w:marTop w:val="0"/>
      <w:marBottom w:val="0"/>
      <w:divBdr>
        <w:top w:val="none" w:sz="0" w:space="0" w:color="auto"/>
        <w:left w:val="none" w:sz="0" w:space="0" w:color="auto"/>
        <w:bottom w:val="none" w:sz="0" w:space="0" w:color="auto"/>
        <w:right w:val="none" w:sz="0" w:space="0" w:color="auto"/>
      </w:divBdr>
    </w:div>
    <w:div w:id="21456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collectes-statistiques-reglementaires-espace-declara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3.xml><?xml version="1.0" encoding="utf-8"?>
<ds:datastoreItem xmlns:ds="http://schemas.openxmlformats.org/officeDocument/2006/customXml" ds:itemID="{710813B7-79B6-41E8-88E9-C4C601DB798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d6d596d-baa2-4a59-b963-2d68b4aba2c0"/>
    <ds:schemaRef ds:uri="http://schemas.microsoft.com/sharepoint/v3"/>
    <ds:schemaRef ds:uri="f687ba61-5d74-4821-b051-a88d64463277"/>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5.xml><?xml version="1.0" encoding="utf-8"?>
<ds:datastoreItem xmlns:ds="http://schemas.openxmlformats.org/officeDocument/2006/customXml" ds:itemID="{53E3EE9E-C311-4E45-AE08-5E3F93FF31CC}">
  <ds:schemaRefs>
    <ds:schemaRef ds:uri="http://schemas.openxmlformats.org/officeDocument/2006/bibliography"/>
  </ds:schemaRefs>
</ds:datastoreItem>
</file>

<file path=customXml/itemProps6.xml><?xml version="1.0" encoding="utf-8"?>
<ds:datastoreItem xmlns:ds="http://schemas.openxmlformats.org/officeDocument/2006/customXml" ds:itemID="{E3FECDBE-FBEF-4277-B77A-824195A0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101</Pages>
  <Words>32748</Words>
  <Characters>187809</Characters>
  <Application>Microsoft Office Word</Application>
  <DocSecurity>0</DocSecurity>
  <Lines>1565</Lines>
  <Paragraphs>440</Paragraphs>
  <ScaleCrop>false</ScaleCrop>
  <HeadingPairs>
    <vt:vector size="2" baseType="variant">
      <vt:variant>
        <vt:lpstr>Titre</vt:lpstr>
      </vt:variant>
      <vt:variant>
        <vt:i4>1</vt:i4>
      </vt:variant>
    </vt:vector>
  </HeadingPairs>
  <TitlesOfParts>
    <vt:vector size="1" baseType="lpstr">
      <vt:lpstr>Rapport sur le contrôle interne 2021 - Version ECSFEI</vt:lpstr>
    </vt:vector>
  </TitlesOfParts>
  <Company>Banque de France</Company>
  <LinksUpToDate>false</LinksUpToDate>
  <CharactersWithSpaces>220117</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2022 - Version ECSFEI</dc:title>
  <dc:creator>SGACPR</dc:creator>
  <cp:lastModifiedBy>SQM</cp:lastModifiedBy>
  <cp:revision>3</cp:revision>
  <cp:lastPrinted>2019-04-02T15:16:00Z</cp:lastPrinted>
  <dcterms:created xsi:type="dcterms:W3CDTF">2022-06-24T08:44:00Z</dcterms:created>
  <dcterms:modified xsi:type="dcterms:W3CDTF">2022-06-24T08:54:00Z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