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50553" w14:textId="5CD93895" w:rsidR="006C4E87" w:rsidRPr="00CB0EBD" w:rsidRDefault="006C4E87" w:rsidP="006C4E87">
      <w:pPr>
        <w:spacing w:before="240" w:after="120" w:line="240" w:lineRule="auto"/>
        <w:jc w:val="center"/>
        <w:rPr>
          <w:rFonts w:ascii="Times New Roman" w:eastAsia="Times New Roman" w:hAnsi="Times New Roman" w:cs="Times New Roman"/>
          <w:bCs/>
          <w:color w:val="000000"/>
          <w:sz w:val="24"/>
          <w:szCs w:val="24"/>
          <w:lang w:eastAsia="fr-FR"/>
        </w:rPr>
      </w:pPr>
      <w:r w:rsidRPr="00CB0EBD">
        <w:rPr>
          <w:rFonts w:ascii="Times New Roman" w:eastAsia="Times New Roman" w:hAnsi="Times New Roman" w:cs="Times New Roman"/>
          <w:bCs/>
          <w:color w:val="000000"/>
          <w:sz w:val="24"/>
          <w:szCs w:val="24"/>
          <w:lang w:eastAsia="fr-FR"/>
        </w:rPr>
        <w:t xml:space="preserve">Annexe 1  </w:t>
      </w:r>
    </w:p>
    <w:p w14:paraId="72FA319E" w14:textId="77777777" w:rsidR="006C4E87" w:rsidRPr="006C4E87" w:rsidRDefault="006C4E87" w:rsidP="006C4E87">
      <w:pPr>
        <w:spacing w:before="240" w:after="120" w:line="240" w:lineRule="auto"/>
        <w:jc w:val="center"/>
        <w:rPr>
          <w:rFonts w:ascii="Times New Roman" w:eastAsia="Times New Roman" w:hAnsi="Times New Roman" w:cs="Times New Roman"/>
          <w:b/>
          <w:bCs/>
          <w:color w:val="000000"/>
          <w:sz w:val="24"/>
          <w:szCs w:val="24"/>
          <w:lang w:eastAsia="fr-FR"/>
        </w:rPr>
      </w:pPr>
      <w:r w:rsidRPr="006C4E87">
        <w:rPr>
          <w:rFonts w:ascii="Times New Roman" w:eastAsia="Times New Roman" w:hAnsi="Times New Roman" w:cs="Times New Roman"/>
          <w:b/>
          <w:bCs/>
          <w:color w:val="000000"/>
          <w:sz w:val="24"/>
          <w:szCs w:val="24"/>
          <w:lang w:eastAsia="fr-FR"/>
        </w:rPr>
        <w:t>Formulaire pour la soumission d'une notification relative à l'exercice du droit d'établissement d'une succursale ou d'une notification de modification des renseignements relatifs à une succursale</w:t>
      </w:r>
    </w:p>
    <w:p w14:paraId="034E6CE5"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Lorsque les établissements de crédit soumettent une notification de modification des renseignements relatifs à une succursale aux autorités compétentes des États membres d'origine et d'accueil, ils remplissent uniquement les parties du formulaire qui contiennent les informations qui ont changé.</w:t>
      </w:r>
    </w:p>
    <w:p w14:paraId="72B42F48" w14:textId="77777777" w:rsidR="006C4E87" w:rsidRPr="006C4E87" w:rsidRDefault="006C4E87" w:rsidP="006C4E87">
      <w:pPr>
        <w:spacing w:before="240" w:after="120" w:line="240" w:lineRule="auto"/>
        <w:jc w:val="both"/>
        <w:rPr>
          <w:rFonts w:ascii="Times New Roman" w:eastAsia="Times New Roman" w:hAnsi="Times New Roman" w:cs="Times New Roman"/>
          <w:b/>
          <w:bCs/>
          <w:color w:val="000000"/>
          <w:sz w:val="24"/>
          <w:szCs w:val="24"/>
          <w:lang w:eastAsia="fr-FR"/>
        </w:rPr>
      </w:pPr>
      <w:r w:rsidRPr="006C4E87">
        <w:rPr>
          <w:rFonts w:ascii="Times New Roman" w:eastAsia="Times New Roman" w:hAnsi="Times New Roman" w:cs="Times New Roman"/>
          <w:b/>
          <w:bCs/>
          <w:color w:val="000000"/>
          <w:sz w:val="24"/>
          <w:szCs w:val="24"/>
          <w:lang w:eastAsia="fr-FR"/>
        </w:rPr>
        <w:t xml:space="preserve">1. Coordonnées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25"/>
        <w:gridCol w:w="4031"/>
      </w:tblGrid>
      <w:tr w:rsidR="009369DF" w:rsidRPr="00E13D16" w14:paraId="69562005"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586CFCE" w14:textId="77777777" w:rsidR="006C4E87" w:rsidRPr="00E13D16" w:rsidRDefault="006C4E87" w:rsidP="00E13D16">
            <w:pPr>
              <w:spacing w:before="60" w:after="60" w:line="240" w:lineRule="auto"/>
              <w:ind w:right="195"/>
              <w:rPr>
                <w:rFonts w:ascii="Times New Roman" w:eastAsia="Times New Roman" w:hAnsi="Times New Roman" w:cs="Times New Roman"/>
                <w:b/>
                <w:bCs/>
                <w:color w:val="000000"/>
                <w:sz w:val="24"/>
                <w:lang w:eastAsia="fr-FR"/>
              </w:rPr>
            </w:pPr>
            <w:r w:rsidRPr="00E13D16">
              <w:rPr>
                <w:rFonts w:ascii="Times New Roman" w:eastAsia="Times New Roman" w:hAnsi="Times New Roman" w:cs="Times New Roman"/>
                <w:b/>
                <w:bCs/>
                <w:color w:val="000000"/>
                <w:sz w:val="24"/>
                <w:lang w:eastAsia="fr-FR"/>
              </w:rPr>
              <w:t>Type de notification</w:t>
            </w:r>
          </w:p>
        </w:tc>
        <w:tc>
          <w:tcPr>
            <w:tcW w:w="0" w:type="auto"/>
            <w:tcBorders>
              <w:top w:val="single" w:sz="6" w:space="0" w:color="000000"/>
              <w:left w:val="single" w:sz="6" w:space="0" w:color="000000"/>
              <w:bottom w:val="single" w:sz="6" w:space="0" w:color="000000"/>
              <w:right w:val="single" w:sz="6" w:space="0" w:color="000000"/>
            </w:tcBorders>
            <w:hideMark/>
          </w:tcPr>
          <w:p w14:paraId="72CCDEBD" w14:textId="7B292962" w:rsidR="009369DF" w:rsidRPr="009369DF" w:rsidRDefault="00E13D16" w:rsidP="009369DF">
            <w:pPr>
              <w:spacing w:before="60" w:after="60" w:line="240" w:lineRule="auto"/>
              <w:rPr>
                <w:rFonts w:ascii="Times New Roman" w:eastAsia="SymbolMT" w:hAnsi="Times New Roman" w:cs="Times New Roman"/>
              </w:rPr>
            </w:pPr>
            <w:r w:rsidRPr="009369DF">
              <w:rPr>
                <w:rFonts w:ascii="Times New Roman" w:eastAsia="Times New Roman" w:hAnsi="Times New Roman" w:cs="Times New Roman" w:hint="eastAsia"/>
              </w:rPr>
              <w:t>􀀀</w:t>
            </w:r>
            <w:r w:rsidR="009369DF" w:rsidRPr="009369DF">
              <w:rPr>
                <w:rFonts w:ascii="Times New Roman" w:eastAsia="SymbolMT" w:hAnsi="Times New Roman" w:cs="Times New Roman"/>
              </w:rPr>
              <w:t>Notification initiale relative à l'exercice du droit d'établissement d'une succursale</w:t>
            </w:r>
          </w:p>
          <w:p w14:paraId="1FDEB295" w14:textId="77777777" w:rsidR="00E13D16" w:rsidRPr="00D80D04" w:rsidRDefault="00E13D16" w:rsidP="00E13D16">
            <w:pPr>
              <w:spacing w:before="60" w:after="60" w:line="240" w:lineRule="auto"/>
              <w:rPr>
                <w:rFonts w:ascii="Times New Roman" w:eastAsia="SymbolMT" w:hAnsi="Times New Roman" w:cs="Times New Roman"/>
              </w:rPr>
            </w:pPr>
          </w:p>
          <w:p w14:paraId="3D75C011" w14:textId="015D205E" w:rsidR="006C4E87" w:rsidRPr="00E13D16" w:rsidRDefault="00E13D16" w:rsidP="009369DF">
            <w:pPr>
              <w:spacing w:before="60" w:after="60" w:line="240" w:lineRule="auto"/>
              <w:rPr>
                <w:rFonts w:ascii="Times New Roman" w:eastAsia="Times New Roman" w:hAnsi="Times New Roman" w:cs="Times New Roman"/>
                <w:color w:val="000000"/>
                <w:sz w:val="24"/>
                <w:lang w:eastAsia="fr-FR"/>
              </w:rPr>
            </w:pPr>
            <w:r w:rsidRPr="00E13D16">
              <w:rPr>
                <w:rFonts w:ascii="Times New Roman" w:eastAsia="Times New Roman" w:hAnsi="Times New Roman" w:cs="Times New Roman" w:hint="eastAsia"/>
                <w:lang w:val="en-US"/>
              </w:rPr>
              <w:t>􀀀</w:t>
            </w:r>
            <w:r w:rsidRPr="00D80D04">
              <w:rPr>
                <w:rFonts w:ascii="Times New Roman" w:eastAsia="SymbolMT" w:hAnsi="Times New Roman" w:cs="Times New Roman"/>
              </w:rPr>
              <w:t>Notification de </w:t>
            </w:r>
            <w:r w:rsidR="009369DF">
              <w:rPr>
                <w:rFonts w:ascii="Times New Roman" w:eastAsia="SymbolMT" w:hAnsi="Times New Roman" w:cs="Times New Roman"/>
              </w:rPr>
              <w:t>modification des renseignements relatifs à une</w:t>
            </w:r>
            <w:r w:rsidRPr="00D80D04">
              <w:rPr>
                <w:rFonts w:ascii="Times New Roman" w:eastAsia="SymbolMT" w:hAnsi="Times New Roman" w:cs="Times New Roman"/>
              </w:rPr>
              <w:t> succursale</w:t>
            </w:r>
          </w:p>
        </w:tc>
      </w:tr>
      <w:tr w:rsidR="009369DF" w:rsidRPr="006C4E87" w14:paraId="30020975"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8174379" w14:textId="77777777" w:rsidR="006C4E87" w:rsidRPr="006C4E87" w:rsidRDefault="006C4E87" w:rsidP="00E13D16">
            <w:pPr>
              <w:spacing w:before="60" w:after="60" w:line="240" w:lineRule="auto"/>
              <w:ind w:right="195"/>
              <w:rPr>
                <w:rFonts w:ascii="Times New Roman" w:eastAsia="Times New Roman" w:hAnsi="Times New Roman" w:cs="Times New Roman"/>
                <w:b/>
                <w:bCs/>
                <w:color w:val="000000"/>
                <w:lang w:eastAsia="fr-FR"/>
              </w:rPr>
            </w:pPr>
            <w:r w:rsidRPr="006C4E87">
              <w:rPr>
                <w:rFonts w:ascii="Times New Roman" w:eastAsia="Times New Roman" w:hAnsi="Times New Roman" w:cs="Times New Roman"/>
                <w:b/>
                <w:bCs/>
                <w:color w:val="000000"/>
                <w:lang w:eastAsia="fr-FR"/>
              </w:rPr>
              <w:t>État membre d'accueil dans lequel il est prévu d'établir la succursale:</w:t>
            </w:r>
          </w:p>
        </w:tc>
        <w:tc>
          <w:tcPr>
            <w:tcW w:w="0" w:type="auto"/>
            <w:tcBorders>
              <w:top w:val="single" w:sz="6" w:space="0" w:color="000000"/>
              <w:left w:val="single" w:sz="6" w:space="0" w:color="000000"/>
              <w:bottom w:val="single" w:sz="6" w:space="0" w:color="000000"/>
              <w:right w:val="single" w:sz="6" w:space="0" w:color="000000"/>
            </w:tcBorders>
            <w:hideMark/>
          </w:tcPr>
          <w:p w14:paraId="1F8442C4"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i/>
                <w:iCs/>
                <w:color w:val="000000"/>
                <w:lang w:eastAsia="fr-FR"/>
              </w:rPr>
              <w:t>[à remplir par l'établissement de crédit]</w:t>
            </w:r>
            <w:r w:rsidRPr="006C4E87">
              <w:rPr>
                <w:rFonts w:ascii="Times New Roman" w:eastAsia="Times New Roman" w:hAnsi="Times New Roman" w:cs="Times New Roman"/>
                <w:color w:val="000000"/>
                <w:lang w:eastAsia="fr-FR"/>
              </w:rPr>
              <w:t xml:space="preserve"> </w:t>
            </w:r>
          </w:p>
        </w:tc>
      </w:tr>
      <w:tr w:rsidR="009369DF" w:rsidRPr="006C4E87" w14:paraId="6DB7F247"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931A671" w14:textId="368F2796" w:rsidR="006C4E87" w:rsidRPr="006C4E87" w:rsidRDefault="009369DF" w:rsidP="009369DF">
            <w:pPr>
              <w:spacing w:before="60" w:after="60" w:line="240" w:lineRule="auto"/>
              <w:ind w:right="195"/>
              <w:rPr>
                <w:rFonts w:ascii="Times New Roman" w:eastAsia="Times New Roman" w:hAnsi="Times New Roman" w:cs="Times New Roman"/>
                <w:b/>
                <w:bCs/>
                <w:color w:val="000000"/>
                <w:lang w:eastAsia="fr-FR"/>
              </w:rPr>
            </w:pPr>
            <w:r w:rsidRPr="009369DF">
              <w:rPr>
                <w:rFonts w:ascii="Times New Roman" w:eastAsia="Times New Roman" w:hAnsi="Times New Roman" w:cs="Times New Roman"/>
                <w:b/>
                <w:bCs/>
                <w:color w:val="000000"/>
                <w:lang w:eastAsia="fr-FR"/>
              </w:rPr>
              <w:t>Nom et numéro national de référence de l'établissement de crédit tel qu'il figure dans le registre des établissements de crédit tenu par l'ABE :</w:t>
            </w:r>
          </w:p>
        </w:tc>
        <w:tc>
          <w:tcPr>
            <w:tcW w:w="0" w:type="auto"/>
            <w:tcBorders>
              <w:top w:val="single" w:sz="6" w:space="0" w:color="000000"/>
              <w:left w:val="single" w:sz="6" w:space="0" w:color="000000"/>
              <w:bottom w:val="single" w:sz="6" w:space="0" w:color="000000"/>
              <w:right w:val="single" w:sz="6" w:space="0" w:color="000000"/>
            </w:tcBorders>
            <w:hideMark/>
          </w:tcPr>
          <w:p w14:paraId="60CB2E31"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i/>
                <w:iCs/>
                <w:color w:val="000000"/>
                <w:lang w:eastAsia="fr-FR"/>
              </w:rPr>
              <w:t>[à remplir par l'établissement de crédit]</w:t>
            </w:r>
            <w:r w:rsidRPr="006C4E87">
              <w:rPr>
                <w:rFonts w:ascii="Times New Roman" w:eastAsia="Times New Roman" w:hAnsi="Times New Roman" w:cs="Times New Roman"/>
                <w:color w:val="000000"/>
                <w:lang w:eastAsia="fr-FR"/>
              </w:rPr>
              <w:t xml:space="preserve"> </w:t>
            </w:r>
          </w:p>
        </w:tc>
      </w:tr>
      <w:tr w:rsidR="009369DF" w:rsidRPr="00E13D16" w14:paraId="183D5E99"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tcPr>
          <w:p w14:paraId="44D67DE3" w14:textId="77777777" w:rsidR="00E13D16" w:rsidRPr="00E13D16" w:rsidRDefault="00E13D16" w:rsidP="00E13D16">
            <w:pPr>
              <w:spacing w:before="60" w:after="60" w:line="240" w:lineRule="auto"/>
              <w:ind w:right="195"/>
              <w:rPr>
                <w:rFonts w:ascii="Times New Roman" w:eastAsia="Times New Roman" w:hAnsi="Times New Roman" w:cs="Times New Roman"/>
                <w:b/>
                <w:bCs/>
                <w:color w:val="000000"/>
                <w:lang w:eastAsia="fr-FR"/>
              </w:rPr>
            </w:pPr>
            <w:r w:rsidRPr="00E13D16">
              <w:rPr>
                <w:rFonts w:ascii="Times New Roman" w:hAnsi="Times New Roman" w:cs="Times New Roman"/>
                <w:b/>
              </w:rPr>
              <w:t>LEI de l’établissement de crédit</w:t>
            </w:r>
            <w:r>
              <w:rPr>
                <w:rFonts w:ascii="Times New Roman" w:hAnsi="Times New Roman" w:cs="Times New Roman"/>
                <w:b/>
              </w:rPr>
              <w:t> :</w:t>
            </w:r>
          </w:p>
        </w:tc>
        <w:tc>
          <w:tcPr>
            <w:tcW w:w="0" w:type="auto"/>
            <w:tcBorders>
              <w:top w:val="single" w:sz="6" w:space="0" w:color="000000"/>
              <w:left w:val="single" w:sz="6" w:space="0" w:color="000000"/>
              <w:bottom w:val="single" w:sz="6" w:space="0" w:color="000000"/>
              <w:right w:val="single" w:sz="6" w:space="0" w:color="000000"/>
            </w:tcBorders>
          </w:tcPr>
          <w:p w14:paraId="73A83D1C" w14:textId="50C40C46" w:rsidR="00E13D16" w:rsidRPr="00E13D16" w:rsidRDefault="00D80D04" w:rsidP="006C4E87">
            <w:pPr>
              <w:spacing w:before="60" w:after="60" w:line="240" w:lineRule="auto"/>
              <w:rPr>
                <w:rFonts w:ascii="Times New Roman" w:eastAsia="Times New Roman" w:hAnsi="Times New Roman" w:cs="Times New Roman"/>
                <w:i/>
                <w:iCs/>
                <w:color w:val="000000"/>
                <w:lang w:eastAsia="fr-FR"/>
              </w:rPr>
            </w:pPr>
            <w:r w:rsidRPr="00D80D04">
              <w:rPr>
                <w:rFonts w:ascii="Times New Roman" w:eastAsia="Times New Roman" w:hAnsi="Times New Roman" w:cs="Times New Roman"/>
                <w:i/>
                <w:iCs/>
                <w:color w:val="000000"/>
                <w:lang w:eastAsia="fr-FR"/>
              </w:rPr>
              <w:t>[à remplir par l'établissement de crédit]</w:t>
            </w:r>
          </w:p>
        </w:tc>
      </w:tr>
      <w:tr w:rsidR="009369DF" w:rsidRPr="006C4E87" w14:paraId="794150F9"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562DE24" w14:textId="77777777" w:rsidR="006C4E87" w:rsidRPr="006C4E87" w:rsidRDefault="006C4E87" w:rsidP="00E13D16">
            <w:pPr>
              <w:spacing w:before="60" w:after="60" w:line="240" w:lineRule="auto"/>
              <w:ind w:right="195"/>
              <w:rPr>
                <w:rFonts w:ascii="Times New Roman" w:eastAsia="Times New Roman" w:hAnsi="Times New Roman" w:cs="Times New Roman"/>
                <w:b/>
                <w:bCs/>
                <w:color w:val="000000"/>
                <w:lang w:eastAsia="fr-FR"/>
              </w:rPr>
            </w:pPr>
            <w:r w:rsidRPr="006C4E87">
              <w:rPr>
                <w:rFonts w:ascii="Times New Roman" w:eastAsia="Times New Roman" w:hAnsi="Times New Roman" w:cs="Times New Roman"/>
                <w:b/>
                <w:bCs/>
                <w:color w:val="000000"/>
                <w:lang w:eastAsia="fr-FR"/>
              </w:rPr>
              <w:t>Adresse de l'établissement de crédit dans l'État membre d'accueil à laquelle des documents peuvent être obtenus:</w:t>
            </w:r>
          </w:p>
        </w:tc>
        <w:tc>
          <w:tcPr>
            <w:tcW w:w="0" w:type="auto"/>
            <w:tcBorders>
              <w:top w:val="single" w:sz="6" w:space="0" w:color="000000"/>
              <w:left w:val="single" w:sz="6" w:space="0" w:color="000000"/>
              <w:bottom w:val="single" w:sz="6" w:space="0" w:color="000000"/>
              <w:right w:val="single" w:sz="6" w:space="0" w:color="000000"/>
            </w:tcBorders>
            <w:hideMark/>
          </w:tcPr>
          <w:p w14:paraId="3CF0B44A"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i/>
                <w:iCs/>
                <w:color w:val="000000"/>
                <w:lang w:eastAsia="fr-FR"/>
              </w:rPr>
              <w:t>[à remplir par l'établissement de crédit]</w:t>
            </w:r>
            <w:r w:rsidRPr="006C4E87">
              <w:rPr>
                <w:rFonts w:ascii="Times New Roman" w:eastAsia="Times New Roman" w:hAnsi="Times New Roman" w:cs="Times New Roman"/>
                <w:color w:val="000000"/>
                <w:lang w:eastAsia="fr-FR"/>
              </w:rPr>
              <w:t xml:space="preserve"> </w:t>
            </w:r>
          </w:p>
        </w:tc>
      </w:tr>
      <w:tr w:rsidR="009369DF" w:rsidRPr="006C4E87" w14:paraId="1A37C114"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9CC5558" w14:textId="77777777" w:rsidR="006C4E87" w:rsidRPr="006C4E87" w:rsidRDefault="006C4E87" w:rsidP="00E13D16">
            <w:pPr>
              <w:spacing w:before="60" w:after="60" w:line="240" w:lineRule="auto"/>
              <w:ind w:right="195"/>
              <w:rPr>
                <w:rFonts w:ascii="Times New Roman" w:eastAsia="Times New Roman" w:hAnsi="Times New Roman" w:cs="Times New Roman"/>
                <w:b/>
                <w:bCs/>
                <w:color w:val="000000"/>
                <w:lang w:eastAsia="fr-FR"/>
              </w:rPr>
            </w:pPr>
            <w:r w:rsidRPr="006C4E87">
              <w:rPr>
                <w:rFonts w:ascii="Times New Roman" w:eastAsia="Times New Roman" w:hAnsi="Times New Roman" w:cs="Times New Roman"/>
                <w:b/>
                <w:bCs/>
                <w:color w:val="000000"/>
                <w:lang w:eastAsia="fr-FR"/>
              </w:rPr>
              <w:t>Siège d'exploitation principal prévu de la succursale dans l'État membre d'accueil:</w:t>
            </w:r>
          </w:p>
        </w:tc>
        <w:tc>
          <w:tcPr>
            <w:tcW w:w="0" w:type="auto"/>
            <w:tcBorders>
              <w:top w:val="single" w:sz="6" w:space="0" w:color="000000"/>
              <w:left w:val="single" w:sz="6" w:space="0" w:color="000000"/>
              <w:bottom w:val="single" w:sz="6" w:space="0" w:color="000000"/>
              <w:right w:val="single" w:sz="6" w:space="0" w:color="000000"/>
            </w:tcBorders>
            <w:hideMark/>
          </w:tcPr>
          <w:p w14:paraId="0EF2F899"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i/>
                <w:iCs/>
                <w:color w:val="000000"/>
                <w:lang w:eastAsia="fr-FR"/>
              </w:rPr>
              <w:t>[à remplir par l'établissement de crédit]</w:t>
            </w:r>
            <w:r w:rsidRPr="006C4E87">
              <w:rPr>
                <w:rFonts w:ascii="Times New Roman" w:eastAsia="Times New Roman" w:hAnsi="Times New Roman" w:cs="Times New Roman"/>
                <w:color w:val="000000"/>
                <w:lang w:eastAsia="fr-FR"/>
              </w:rPr>
              <w:t xml:space="preserve"> </w:t>
            </w:r>
          </w:p>
        </w:tc>
      </w:tr>
      <w:tr w:rsidR="009369DF" w:rsidRPr="006C4E87" w14:paraId="7E1A1696"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7F6D848" w14:textId="77777777" w:rsidR="006C4E87" w:rsidRPr="006C4E87" w:rsidRDefault="006C4E87" w:rsidP="00E13D16">
            <w:pPr>
              <w:spacing w:before="60" w:after="60" w:line="240" w:lineRule="auto"/>
              <w:ind w:right="195"/>
              <w:rPr>
                <w:rFonts w:ascii="Times New Roman" w:eastAsia="Times New Roman" w:hAnsi="Times New Roman" w:cs="Times New Roman"/>
                <w:b/>
                <w:bCs/>
                <w:color w:val="000000"/>
                <w:lang w:eastAsia="fr-FR"/>
              </w:rPr>
            </w:pPr>
            <w:r w:rsidRPr="006C4E87">
              <w:rPr>
                <w:rFonts w:ascii="Times New Roman" w:eastAsia="Times New Roman" w:hAnsi="Times New Roman" w:cs="Times New Roman"/>
                <w:b/>
                <w:bCs/>
                <w:color w:val="000000"/>
                <w:lang w:eastAsia="fr-FR"/>
              </w:rPr>
              <w:t>Date à laquelle la succursale prévoit de commencer ses activités:</w:t>
            </w:r>
          </w:p>
        </w:tc>
        <w:tc>
          <w:tcPr>
            <w:tcW w:w="0" w:type="auto"/>
            <w:tcBorders>
              <w:top w:val="single" w:sz="6" w:space="0" w:color="000000"/>
              <w:left w:val="single" w:sz="6" w:space="0" w:color="000000"/>
              <w:bottom w:val="single" w:sz="6" w:space="0" w:color="000000"/>
              <w:right w:val="single" w:sz="6" w:space="0" w:color="000000"/>
            </w:tcBorders>
            <w:hideMark/>
          </w:tcPr>
          <w:p w14:paraId="03D42EF5"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i/>
                <w:iCs/>
                <w:color w:val="000000"/>
                <w:lang w:eastAsia="fr-FR"/>
              </w:rPr>
              <w:t>[à remplir par l'établissement de crédit]</w:t>
            </w:r>
            <w:r w:rsidRPr="006C4E87">
              <w:rPr>
                <w:rFonts w:ascii="Times New Roman" w:eastAsia="Times New Roman" w:hAnsi="Times New Roman" w:cs="Times New Roman"/>
                <w:color w:val="000000"/>
                <w:lang w:eastAsia="fr-FR"/>
              </w:rPr>
              <w:t xml:space="preserve"> </w:t>
            </w:r>
          </w:p>
        </w:tc>
      </w:tr>
      <w:tr w:rsidR="009369DF" w:rsidRPr="006C4E87" w14:paraId="0C1D5AFB"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9E1716D" w14:textId="77777777" w:rsidR="006C4E87" w:rsidRPr="006C4E87" w:rsidRDefault="006C4E87" w:rsidP="00E13D16">
            <w:pPr>
              <w:spacing w:before="60" w:after="60" w:line="240" w:lineRule="auto"/>
              <w:ind w:right="195"/>
              <w:rPr>
                <w:rFonts w:ascii="Times New Roman" w:eastAsia="Times New Roman" w:hAnsi="Times New Roman" w:cs="Times New Roman"/>
                <w:b/>
                <w:bCs/>
                <w:color w:val="000000"/>
                <w:lang w:eastAsia="fr-FR"/>
              </w:rPr>
            </w:pPr>
            <w:r w:rsidRPr="006C4E87">
              <w:rPr>
                <w:rFonts w:ascii="Times New Roman" w:eastAsia="Times New Roman" w:hAnsi="Times New Roman" w:cs="Times New Roman"/>
                <w:b/>
                <w:bCs/>
                <w:color w:val="000000"/>
                <w:lang w:eastAsia="fr-FR"/>
              </w:rPr>
              <w:t>Nom de la personne de contact dans la succursale:</w:t>
            </w:r>
          </w:p>
        </w:tc>
        <w:tc>
          <w:tcPr>
            <w:tcW w:w="0" w:type="auto"/>
            <w:tcBorders>
              <w:top w:val="single" w:sz="6" w:space="0" w:color="000000"/>
              <w:left w:val="single" w:sz="6" w:space="0" w:color="000000"/>
              <w:bottom w:val="single" w:sz="6" w:space="0" w:color="000000"/>
              <w:right w:val="single" w:sz="6" w:space="0" w:color="000000"/>
            </w:tcBorders>
            <w:hideMark/>
          </w:tcPr>
          <w:p w14:paraId="68C94307"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i/>
                <w:iCs/>
                <w:color w:val="000000"/>
                <w:lang w:eastAsia="fr-FR"/>
              </w:rPr>
              <w:t>[à remplir par l'établissement de crédit]</w:t>
            </w:r>
            <w:r w:rsidRPr="006C4E87">
              <w:rPr>
                <w:rFonts w:ascii="Times New Roman" w:eastAsia="Times New Roman" w:hAnsi="Times New Roman" w:cs="Times New Roman"/>
                <w:color w:val="000000"/>
                <w:lang w:eastAsia="fr-FR"/>
              </w:rPr>
              <w:t xml:space="preserve"> </w:t>
            </w:r>
          </w:p>
        </w:tc>
      </w:tr>
      <w:tr w:rsidR="009369DF" w:rsidRPr="006C4E87" w14:paraId="3139BE9C"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D381730" w14:textId="77777777" w:rsidR="006C4E87" w:rsidRPr="006C4E87" w:rsidRDefault="006C4E87" w:rsidP="00E13D16">
            <w:pPr>
              <w:spacing w:before="60" w:after="60" w:line="240" w:lineRule="auto"/>
              <w:ind w:right="195"/>
              <w:rPr>
                <w:rFonts w:ascii="Times New Roman" w:eastAsia="Times New Roman" w:hAnsi="Times New Roman" w:cs="Times New Roman"/>
                <w:b/>
                <w:bCs/>
                <w:color w:val="000000"/>
                <w:lang w:eastAsia="fr-FR"/>
              </w:rPr>
            </w:pPr>
            <w:r w:rsidRPr="006C4E87">
              <w:rPr>
                <w:rFonts w:ascii="Times New Roman" w:eastAsia="Times New Roman" w:hAnsi="Times New Roman" w:cs="Times New Roman"/>
                <w:b/>
                <w:bCs/>
                <w:color w:val="000000"/>
                <w:lang w:eastAsia="fr-FR"/>
              </w:rPr>
              <w:t>Numéro de téléphone:</w:t>
            </w:r>
          </w:p>
        </w:tc>
        <w:tc>
          <w:tcPr>
            <w:tcW w:w="0" w:type="auto"/>
            <w:tcBorders>
              <w:top w:val="single" w:sz="6" w:space="0" w:color="000000"/>
              <w:left w:val="single" w:sz="6" w:space="0" w:color="000000"/>
              <w:bottom w:val="single" w:sz="6" w:space="0" w:color="000000"/>
              <w:right w:val="single" w:sz="6" w:space="0" w:color="000000"/>
            </w:tcBorders>
            <w:hideMark/>
          </w:tcPr>
          <w:p w14:paraId="4BDE7BA1"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i/>
                <w:iCs/>
                <w:color w:val="000000"/>
                <w:lang w:eastAsia="fr-FR"/>
              </w:rPr>
              <w:t>[à remplir par l'établissement de crédit]</w:t>
            </w:r>
            <w:r w:rsidRPr="006C4E87">
              <w:rPr>
                <w:rFonts w:ascii="Times New Roman" w:eastAsia="Times New Roman" w:hAnsi="Times New Roman" w:cs="Times New Roman"/>
                <w:color w:val="000000"/>
                <w:lang w:eastAsia="fr-FR"/>
              </w:rPr>
              <w:t xml:space="preserve"> </w:t>
            </w:r>
          </w:p>
        </w:tc>
      </w:tr>
      <w:tr w:rsidR="009369DF" w:rsidRPr="006C4E87" w14:paraId="017C23D5"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F522876" w14:textId="77777777" w:rsidR="006C4E87" w:rsidRPr="006C4E87" w:rsidRDefault="006C4E87" w:rsidP="00E13D16">
            <w:pPr>
              <w:spacing w:before="60" w:after="60" w:line="240" w:lineRule="auto"/>
              <w:ind w:right="195"/>
              <w:rPr>
                <w:rFonts w:ascii="Times New Roman" w:eastAsia="Times New Roman" w:hAnsi="Times New Roman" w:cs="Times New Roman"/>
                <w:b/>
                <w:bCs/>
                <w:color w:val="000000"/>
                <w:lang w:eastAsia="fr-FR"/>
              </w:rPr>
            </w:pPr>
            <w:r w:rsidRPr="006C4E87">
              <w:rPr>
                <w:rFonts w:ascii="Times New Roman" w:eastAsia="Times New Roman" w:hAnsi="Times New Roman" w:cs="Times New Roman"/>
                <w:b/>
                <w:bCs/>
                <w:color w:val="000000"/>
                <w:lang w:eastAsia="fr-FR"/>
              </w:rPr>
              <w:t>Courriel:</w:t>
            </w:r>
          </w:p>
        </w:tc>
        <w:tc>
          <w:tcPr>
            <w:tcW w:w="0" w:type="auto"/>
            <w:tcBorders>
              <w:top w:val="single" w:sz="6" w:space="0" w:color="000000"/>
              <w:left w:val="single" w:sz="6" w:space="0" w:color="000000"/>
              <w:bottom w:val="single" w:sz="6" w:space="0" w:color="000000"/>
              <w:right w:val="single" w:sz="6" w:space="0" w:color="000000"/>
            </w:tcBorders>
            <w:hideMark/>
          </w:tcPr>
          <w:p w14:paraId="5DE6FCC6"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i/>
                <w:iCs/>
                <w:color w:val="000000"/>
                <w:lang w:eastAsia="fr-FR"/>
              </w:rPr>
              <w:t>[à remplir par l'établissement de crédit]</w:t>
            </w:r>
            <w:r w:rsidRPr="006C4E87">
              <w:rPr>
                <w:rFonts w:ascii="Times New Roman" w:eastAsia="Times New Roman" w:hAnsi="Times New Roman" w:cs="Times New Roman"/>
                <w:color w:val="000000"/>
                <w:lang w:eastAsia="fr-FR"/>
              </w:rPr>
              <w:t xml:space="preserve"> </w:t>
            </w:r>
          </w:p>
        </w:tc>
      </w:tr>
    </w:tbl>
    <w:p w14:paraId="12774513" w14:textId="77777777" w:rsidR="006C4E87" w:rsidRPr="006C4E87" w:rsidRDefault="006C4E87" w:rsidP="006C4E87">
      <w:pPr>
        <w:spacing w:before="240" w:after="120" w:line="240" w:lineRule="auto"/>
        <w:jc w:val="both"/>
        <w:rPr>
          <w:rFonts w:ascii="Times New Roman" w:eastAsia="Times New Roman" w:hAnsi="Times New Roman" w:cs="Times New Roman"/>
          <w:b/>
          <w:bCs/>
          <w:color w:val="000000"/>
          <w:sz w:val="24"/>
          <w:szCs w:val="24"/>
          <w:lang w:eastAsia="fr-FR"/>
        </w:rPr>
      </w:pPr>
      <w:r w:rsidRPr="006C4E87">
        <w:rPr>
          <w:rFonts w:ascii="Times New Roman" w:eastAsia="Times New Roman" w:hAnsi="Times New Roman" w:cs="Times New Roman"/>
          <w:b/>
          <w:bCs/>
          <w:color w:val="000000"/>
          <w:sz w:val="24"/>
          <w:szCs w:val="24"/>
          <w:lang w:eastAsia="fr-FR"/>
        </w:rPr>
        <w:t xml:space="preserve">2. Programme d'activités </w:t>
      </w:r>
    </w:p>
    <w:p w14:paraId="04A1A134" w14:textId="77777777" w:rsidR="006C4E87" w:rsidRPr="006C4E87" w:rsidRDefault="006C4E87" w:rsidP="006C4E87">
      <w:pPr>
        <w:spacing w:before="240" w:after="120" w:line="240" w:lineRule="auto"/>
        <w:jc w:val="both"/>
        <w:rPr>
          <w:rFonts w:ascii="Times New Roman" w:eastAsia="Times New Roman" w:hAnsi="Times New Roman" w:cs="Times New Roman"/>
          <w:b/>
          <w:bCs/>
          <w:color w:val="000000"/>
          <w:sz w:val="24"/>
          <w:szCs w:val="24"/>
          <w:lang w:eastAsia="fr-FR"/>
        </w:rPr>
      </w:pPr>
      <w:r w:rsidRPr="006C4E87">
        <w:rPr>
          <w:rFonts w:ascii="Times New Roman" w:eastAsia="Times New Roman" w:hAnsi="Times New Roman" w:cs="Times New Roman"/>
          <w:b/>
          <w:bCs/>
          <w:color w:val="000000"/>
          <w:sz w:val="24"/>
          <w:szCs w:val="24"/>
          <w:lang w:eastAsia="fr-FR"/>
        </w:rPr>
        <w:t xml:space="preserve">2.1. </w:t>
      </w:r>
      <w:r w:rsidRPr="006C4E87">
        <w:rPr>
          <w:rFonts w:ascii="Times New Roman" w:eastAsia="Times New Roman" w:hAnsi="Times New Roman" w:cs="Times New Roman"/>
          <w:b/>
          <w:bCs/>
          <w:i/>
          <w:iCs/>
          <w:color w:val="000000"/>
          <w:sz w:val="24"/>
          <w:szCs w:val="24"/>
          <w:lang w:eastAsia="fr-FR"/>
        </w:rPr>
        <w:t>Types d'activités envisagées</w:t>
      </w:r>
      <w:r w:rsidRPr="006C4E87">
        <w:rPr>
          <w:rFonts w:ascii="Times New Roman" w:eastAsia="Times New Roman" w:hAnsi="Times New Roman" w:cs="Times New Roman"/>
          <w:b/>
          <w:bCs/>
          <w:color w:val="000000"/>
          <w:sz w:val="24"/>
          <w:szCs w:val="24"/>
          <w:lang w:eastAsia="fr-FR"/>
        </w:rPr>
        <w:t xml:space="preserve"> </w:t>
      </w:r>
    </w:p>
    <w:p w14:paraId="1B80EE27" w14:textId="77777777" w:rsidR="00925901" w:rsidRDefault="006C4E87" w:rsidP="00925901">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2.1.1. Description des principaux objectifs et de la stratégie commerciale de la succursale et explication sur la façon dont la succursale contribuera à la stratégie de l'établissement et, le cas échéant, de son groupe.</w:t>
      </w:r>
    </w:p>
    <w:p w14:paraId="14090F9C" w14:textId="6544CD32" w:rsidR="006C4E87" w:rsidRPr="006C4E87" w:rsidRDefault="006C4E87" w:rsidP="00925901">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i/>
          <w:iCs/>
          <w:color w:val="000000"/>
          <w:sz w:val="24"/>
          <w:szCs w:val="24"/>
          <w:lang w:eastAsia="fr-FR"/>
        </w:rPr>
        <w:t>[à remplir par l'établissement de crédit]</w:t>
      </w:r>
      <w:r w:rsidRPr="006C4E87">
        <w:rPr>
          <w:rFonts w:ascii="Times New Roman" w:eastAsia="Times New Roman" w:hAnsi="Times New Roman" w:cs="Times New Roman"/>
          <w:color w:val="000000"/>
          <w:sz w:val="24"/>
          <w:szCs w:val="24"/>
          <w:lang w:eastAsia="fr-FR"/>
        </w:rPr>
        <w:t xml:space="preserve"> </w:t>
      </w:r>
    </w:p>
    <w:p w14:paraId="3AA88F04"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lastRenderedPageBreak/>
        <w:t>2.1.2. Description des clients et contreparties cibles</w:t>
      </w:r>
    </w:p>
    <w:p w14:paraId="6F8360E5" w14:textId="77777777" w:rsidR="006C4E87" w:rsidRPr="006C4E87" w:rsidRDefault="006C4E87" w:rsidP="006C4E87">
      <w:pPr>
        <w:spacing w:after="0" w:line="240" w:lineRule="auto"/>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i/>
          <w:iCs/>
          <w:color w:val="000000"/>
          <w:sz w:val="24"/>
          <w:szCs w:val="24"/>
          <w:lang w:eastAsia="fr-FR"/>
        </w:rPr>
        <w:t>[à remplir par l'établissement de crédit]</w:t>
      </w:r>
      <w:r w:rsidRPr="006C4E87">
        <w:rPr>
          <w:rFonts w:ascii="Times New Roman" w:eastAsia="Times New Roman" w:hAnsi="Times New Roman" w:cs="Times New Roman"/>
          <w:color w:val="000000"/>
          <w:sz w:val="24"/>
          <w:szCs w:val="24"/>
          <w:lang w:eastAsia="fr-FR"/>
        </w:rPr>
        <w:t xml:space="preserve"> </w:t>
      </w:r>
    </w:p>
    <w:p w14:paraId="524DFEBD" w14:textId="77777777" w:rsidR="000156C3" w:rsidRDefault="006C4E87" w:rsidP="000156C3">
      <w:pPr>
        <w:pStyle w:val="Commentaire"/>
      </w:pPr>
      <w:r w:rsidRPr="006C4E87">
        <w:rPr>
          <w:rFonts w:ascii="Times New Roman" w:eastAsia="Times New Roman" w:hAnsi="Times New Roman" w:cs="Times New Roman"/>
          <w:color w:val="000000"/>
          <w:sz w:val="24"/>
          <w:szCs w:val="24"/>
          <w:lang w:eastAsia="fr-FR"/>
        </w:rPr>
        <w:t xml:space="preserve">2.1.3. Liste des activités visées à l'annexe I de la directive 2013/36/UE que l'établissement de crédit entend mener dans l'État membre d'accueil, avec indication des activités qui constitueront les activités de base dans l'État membre d'accueil, y compris la date de début prévue pour chaque activité </w:t>
      </w:r>
      <w:r w:rsidR="000156C3">
        <w:t>(aussi précisément que possible).</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7"/>
        <w:gridCol w:w="3145"/>
        <w:gridCol w:w="2364"/>
        <w:gridCol w:w="1753"/>
        <w:gridCol w:w="1287"/>
      </w:tblGrid>
      <w:tr w:rsidR="000156C3" w:rsidRPr="006C4E87" w14:paraId="292C99E9"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BAC74C9" w14:textId="77777777" w:rsidR="006C4E87" w:rsidRPr="006C4E87" w:rsidRDefault="006C4E87" w:rsidP="006C4E87">
            <w:pPr>
              <w:spacing w:before="60" w:after="60" w:line="240" w:lineRule="auto"/>
              <w:ind w:right="195"/>
              <w:jc w:val="center"/>
              <w:rPr>
                <w:rFonts w:ascii="Times New Roman" w:eastAsia="Times New Roman" w:hAnsi="Times New Roman" w:cs="Times New Roman"/>
                <w:b/>
                <w:bCs/>
                <w:color w:val="000000"/>
                <w:lang w:eastAsia="fr-FR"/>
              </w:rPr>
            </w:pPr>
            <w:r w:rsidRPr="006C4E87">
              <w:rPr>
                <w:rFonts w:ascii="Times New Roman" w:eastAsia="Times New Roman" w:hAnsi="Times New Roman" w:cs="Times New Roman"/>
                <w:b/>
                <w:bCs/>
                <w:color w:val="000000"/>
                <w:lang w:eastAsia="fr-FR"/>
              </w:rPr>
              <w:t>N</w:t>
            </w:r>
            <w:r w:rsidRPr="006C4E87">
              <w:rPr>
                <w:rFonts w:ascii="Times New Roman" w:eastAsia="Times New Roman" w:hAnsi="Times New Roman" w:cs="Times New Roman"/>
                <w:b/>
                <w:bCs/>
                <w:color w:val="000000"/>
                <w:sz w:val="15"/>
                <w:szCs w:val="15"/>
                <w:vertAlign w:val="superscript"/>
                <w:lang w:eastAsia="fr-FR"/>
              </w:rPr>
              <w:t>o</w:t>
            </w:r>
            <w:r w:rsidRPr="006C4E87">
              <w:rPr>
                <w:rFonts w:ascii="Times New Roman" w:eastAsia="Times New Roman" w:hAnsi="Times New Roman" w:cs="Times New Roman"/>
                <w:b/>
                <w:bCs/>
                <w:color w:val="000000"/>
                <w:lang w:eastAsia="fr-FR"/>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2090436" w14:textId="77777777" w:rsidR="006C4E87" w:rsidRPr="006C4E87" w:rsidRDefault="006C4E87" w:rsidP="006C4E87">
            <w:pPr>
              <w:spacing w:before="60" w:after="60" w:line="240" w:lineRule="auto"/>
              <w:ind w:right="195"/>
              <w:jc w:val="center"/>
              <w:rPr>
                <w:rFonts w:ascii="Times New Roman" w:eastAsia="Times New Roman" w:hAnsi="Times New Roman" w:cs="Times New Roman"/>
                <w:b/>
                <w:bCs/>
                <w:color w:val="000000"/>
                <w:lang w:eastAsia="fr-FR"/>
              </w:rPr>
            </w:pPr>
            <w:r w:rsidRPr="006C4E87">
              <w:rPr>
                <w:rFonts w:ascii="Times New Roman" w:eastAsia="Times New Roman" w:hAnsi="Times New Roman" w:cs="Times New Roman"/>
                <w:b/>
                <w:bCs/>
                <w:color w:val="000000"/>
                <w:lang w:eastAsia="fr-FR"/>
              </w:rPr>
              <w:t>Activité</w:t>
            </w:r>
          </w:p>
        </w:tc>
        <w:tc>
          <w:tcPr>
            <w:tcW w:w="0" w:type="auto"/>
            <w:tcBorders>
              <w:top w:val="single" w:sz="6" w:space="0" w:color="000000"/>
              <w:left w:val="single" w:sz="6" w:space="0" w:color="000000"/>
              <w:bottom w:val="single" w:sz="6" w:space="0" w:color="000000"/>
              <w:right w:val="single" w:sz="6" w:space="0" w:color="000000"/>
            </w:tcBorders>
            <w:hideMark/>
          </w:tcPr>
          <w:p w14:paraId="7EF34023" w14:textId="3E5B459C" w:rsidR="006C4E87" w:rsidRPr="006C4E87" w:rsidRDefault="006C4E87" w:rsidP="00E13D16">
            <w:pPr>
              <w:spacing w:before="60" w:after="60" w:line="240" w:lineRule="auto"/>
              <w:ind w:right="195"/>
              <w:jc w:val="center"/>
              <w:rPr>
                <w:rFonts w:ascii="Times New Roman" w:eastAsia="Times New Roman" w:hAnsi="Times New Roman" w:cs="Times New Roman"/>
                <w:b/>
                <w:bCs/>
                <w:color w:val="000000"/>
                <w:lang w:eastAsia="fr-FR"/>
              </w:rPr>
            </w:pPr>
            <w:r w:rsidRPr="006C4E87">
              <w:rPr>
                <w:rFonts w:ascii="Times New Roman" w:eastAsia="Times New Roman" w:hAnsi="Times New Roman" w:cs="Times New Roman"/>
                <w:b/>
                <w:bCs/>
                <w:color w:val="000000"/>
                <w:lang w:eastAsia="fr-FR"/>
              </w:rPr>
              <w:t>Activités que l'établissement de crédit entend mener</w:t>
            </w:r>
            <w:r w:rsidR="00E13D16">
              <w:rPr>
                <w:rFonts w:ascii="Times New Roman" w:eastAsia="Times New Roman" w:hAnsi="Times New Roman" w:cs="Times New Roman"/>
                <w:b/>
                <w:bCs/>
                <w:color w:val="000000"/>
                <w:lang w:eastAsia="fr-FR"/>
              </w:rPr>
              <w:t xml:space="preserve"> </w:t>
            </w:r>
            <w:r w:rsidR="00E13D16" w:rsidRPr="00E13D16">
              <w:rPr>
                <w:rFonts w:ascii="Times New Roman" w:eastAsia="Times New Roman" w:hAnsi="Times New Roman" w:cs="Times New Roman"/>
                <w:b/>
                <w:bCs/>
                <w:color w:val="000000"/>
                <w:lang w:eastAsia="fr-FR"/>
              </w:rPr>
              <w:t>(remplir avec</w:t>
            </w:r>
            <w:r w:rsidR="00E13D16">
              <w:rPr>
                <w:rFonts w:ascii="Times New Roman" w:eastAsia="Times New Roman" w:hAnsi="Times New Roman" w:cs="Times New Roman"/>
                <w:b/>
                <w:bCs/>
                <w:color w:val="000000"/>
                <w:lang w:eastAsia="fr-FR"/>
              </w:rPr>
              <w:t xml:space="preserve"> « </w:t>
            </w:r>
            <w:r w:rsidR="00E13D16" w:rsidRPr="00E13D16">
              <w:rPr>
                <w:rFonts w:ascii="Times New Roman" w:eastAsia="Times New Roman" w:hAnsi="Times New Roman" w:cs="Times New Roman"/>
                <w:b/>
                <w:bCs/>
                <w:color w:val="000000"/>
                <w:lang w:eastAsia="fr-FR"/>
              </w:rPr>
              <w:t>S</w:t>
            </w:r>
            <w:r w:rsidR="00E13D16">
              <w:rPr>
                <w:rFonts w:ascii="Times New Roman" w:eastAsia="Times New Roman" w:hAnsi="Times New Roman" w:cs="Times New Roman"/>
                <w:b/>
                <w:bCs/>
                <w:color w:val="000000"/>
                <w:lang w:eastAsia="fr-FR"/>
              </w:rPr>
              <w:t> »</w:t>
            </w:r>
            <w:r w:rsidR="00E13D16" w:rsidRPr="00E13D16">
              <w:rPr>
                <w:rFonts w:ascii="Times New Roman" w:eastAsia="Times New Roman" w:hAnsi="Times New Roman" w:cs="Times New Roman"/>
                <w:b/>
                <w:bCs/>
                <w:color w:val="000000"/>
                <w:lang w:eastAsia="fr-FR"/>
              </w:rPr>
              <w:t>)</w:t>
            </w:r>
            <w:r w:rsidR="00925901">
              <w:rPr>
                <w:rFonts w:ascii="Times New Roman" w:eastAsia="Times New Roman" w:hAnsi="Times New Roman" w:cs="Times New Roman"/>
                <w:b/>
                <w:bCs/>
                <w:color w:val="000000"/>
                <w:lang w:eastAsia="fr-FR"/>
              </w:rPr>
              <w:t xml:space="preserve"> ou </w:t>
            </w:r>
            <w:r w:rsidR="00E13D16">
              <w:rPr>
                <w:rFonts w:ascii="Times New Roman" w:eastAsia="Times New Roman" w:hAnsi="Times New Roman" w:cs="Times New Roman"/>
                <w:b/>
                <w:bCs/>
                <w:color w:val="000000"/>
                <w:lang w:eastAsia="fr-FR"/>
              </w:rPr>
              <w:t>cesser (remplir avec « C »)</w:t>
            </w:r>
          </w:p>
        </w:tc>
        <w:tc>
          <w:tcPr>
            <w:tcW w:w="0" w:type="auto"/>
            <w:tcBorders>
              <w:top w:val="single" w:sz="6" w:space="0" w:color="000000"/>
              <w:left w:val="single" w:sz="6" w:space="0" w:color="000000"/>
              <w:bottom w:val="single" w:sz="6" w:space="0" w:color="000000"/>
              <w:right w:val="single" w:sz="6" w:space="0" w:color="000000"/>
            </w:tcBorders>
            <w:hideMark/>
          </w:tcPr>
          <w:p w14:paraId="54F08B94" w14:textId="77777777" w:rsidR="006C4E87" w:rsidRPr="006C4E87" w:rsidRDefault="006C4E87" w:rsidP="00E13D16">
            <w:pPr>
              <w:spacing w:before="60" w:after="60" w:line="240" w:lineRule="auto"/>
              <w:ind w:right="195"/>
              <w:jc w:val="center"/>
              <w:rPr>
                <w:rFonts w:ascii="Times New Roman" w:eastAsia="Times New Roman" w:hAnsi="Times New Roman" w:cs="Times New Roman"/>
                <w:b/>
                <w:bCs/>
                <w:color w:val="000000"/>
                <w:lang w:eastAsia="fr-FR"/>
              </w:rPr>
            </w:pPr>
            <w:r w:rsidRPr="006C4E87">
              <w:rPr>
                <w:rFonts w:ascii="Times New Roman" w:eastAsia="Times New Roman" w:hAnsi="Times New Roman" w:cs="Times New Roman"/>
                <w:b/>
                <w:bCs/>
                <w:color w:val="000000"/>
                <w:lang w:eastAsia="fr-FR"/>
              </w:rPr>
              <w:t>Activités qui constitueront les activités de base</w:t>
            </w:r>
          </w:p>
        </w:tc>
        <w:tc>
          <w:tcPr>
            <w:tcW w:w="0" w:type="auto"/>
            <w:tcBorders>
              <w:top w:val="single" w:sz="6" w:space="0" w:color="000000"/>
              <w:left w:val="single" w:sz="6" w:space="0" w:color="000000"/>
              <w:bottom w:val="single" w:sz="6" w:space="0" w:color="000000"/>
              <w:right w:val="single" w:sz="6" w:space="0" w:color="000000"/>
            </w:tcBorders>
            <w:hideMark/>
          </w:tcPr>
          <w:p w14:paraId="2B279930" w14:textId="4CCF9486" w:rsidR="006C4E87" w:rsidRPr="006C4E87" w:rsidRDefault="006C4E87" w:rsidP="000156C3">
            <w:pPr>
              <w:spacing w:before="60" w:after="60" w:line="240" w:lineRule="auto"/>
              <w:ind w:right="195"/>
              <w:jc w:val="center"/>
              <w:rPr>
                <w:rFonts w:ascii="Times New Roman" w:eastAsia="Times New Roman" w:hAnsi="Times New Roman" w:cs="Times New Roman"/>
                <w:b/>
                <w:bCs/>
                <w:color w:val="000000"/>
                <w:lang w:eastAsia="fr-FR"/>
              </w:rPr>
            </w:pPr>
            <w:r w:rsidRPr="006C4E87">
              <w:rPr>
                <w:rFonts w:ascii="Times New Roman" w:eastAsia="Times New Roman" w:hAnsi="Times New Roman" w:cs="Times New Roman"/>
                <w:b/>
                <w:bCs/>
                <w:color w:val="000000"/>
                <w:lang w:eastAsia="fr-FR"/>
              </w:rPr>
              <w:t xml:space="preserve">Date de </w:t>
            </w:r>
            <w:r w:rsidR="000156C3">
              <w:rPr>
                <w:rFonts w:ascii="Times New Roman" w:eastAsia="Times New Roman" w:hAnsi="Times New Roman" w:cs="Times New Roman"/>
                <w:b/>
                <w:bCs/>
                <w:color w:val="000000"/>
                <w:lang w:eastAsia="fr-FR"/>
              </w:rPr>
              <w:t xml:space="preserve">début ou de fin </w:t>
            </w:r>
            <w:r w:rsidRPr="006C4E87">
              <w:rPr>
                <w:rFonts w:ascii="Times New Roman" w:eastAsia="Times New Roman" w:hAnsi="Times New Roman" w:cs="Times New Roman"/>
                <w:b/>
                <w:bCs/>
                <w:color w:val="000000"/>
                <w:lang w:eastAsia="fr-FR"/>
              </w:rPr>
              <w:t>prévue pour chaque activité</w:t>
            </w:r>
          </w:p>
        </w:tc>
      </w:tr>
      <w:tr w:rsidR="000156C3" w:rsidRPr="006C4E87" w14:paraId="5CADFBF1"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F194075"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1.</w:t>
            </w:r>
          </w:p>
        </w:tc>
        <w:tc>
          <w:tcPr>
            <w:tcW w:w="0" w:type="auto"/>
            <w:tcBorders>
              <w:top w:val="single" w:sz="6" w:space="0" w:color="000000"/>
              <w:left w:val="single" w:sz="6" w:space="0" w:color="000000"/>
              <w:bottom w:val="single" w:sz="6" w:space="0" w:color="000000"/>
              <w:right w:val="single" w:sz="6" w:space="0" w:color="000000"/>
            </w:tcBorders>
            <w:hideMark/>
          </w:tcPr>
          <w:p w14:paraId="76CAA6E9"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Réception de dépôts et d'autres fonds remboursables</w:t>
            </w:r>
          </w:p>
        </w:tc>
        <w:tc>
          <w:tcPr>
            <w:tcW w:w="0" w:type="auto"/>
            <w:tcBorders>
              <w:top w:val="single" w:sz="6" w:space="0" w:color="000000"/>
              <w:left w:val="single" w:sz="6" w:space="0" w:color="000000"/>
              <w:bottom w:val="single" w:sz="6" w:space="0" w:color="000000"/>
              <w:right w:val="single" w:sz="6" w:space="0" w:color="000000"/>
            </w:tcBorders>
            <w:hideMark/>
          </w:tcPr>
          <w:p w14:paraId="577233C0"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5338375F"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2EB1238F"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29B2841B"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9A721F9"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2.</w:t>
            </w:r>
          </w:p>
        </w:tc>
        <w:tc>
          <w:tcPr>
            <w:tcW w:w="0" w:type="auto"/>
            <w:tcBorders>
              <w:top w:val="single" w:sz="6" w:space="0" w:color="000000"/>
              <w:left w:val="single" w:sz="6" w:space="0" w:color="000000"/>
              <w:bottom w:val="single" w:sz="6" w:space="0" w:color="000000"/>
              <w:right w:val="single" w:sz="6" w:space="0" w:color="000000"/>
            </w:tcBorders>
            <w:hideMark/>
          </w:tcPr>
          <w:p w14:paraId="3BCF03A1"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Prêts, y compris, notamment, crédit à la consommation, crédit hypothécaire, affacturage avec ou sans recours et financement des transactions commerciales (affacturage à forfait inclus)</w:t>
            </w:r>
          </w:p>
        </w:tc>
        <w:tc>
          <w:tcPr>
            <w:tcW w:w="0" w:type="auto"/>
            <w:tcBorders>
              <w:top w:val="single" w:sz="6" w:space="0" w:color="000000"/>
              <w:left w:val="single" w:sz="6" w:space="0" w:color="000000"/>
              <w:bottom w:val="single" w:sz="6" w:space="0" w:color="000000"/>
              <w:right w:val="single" w:sz="6" w:space="0" w:color="000000"/>
            </w:tcBorders>
            <w:hideMark/>
          </w:tcPr>
          <w:p w14:paraId="0FCB1DD8"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7E449F96"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29AB3F92"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4C90EDF5"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082BEE6"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3.</w:t>
            </w:r>
          </w:p>
        </w:tc>
        <w:tc>
          <w:tcPr>
            <w:tcW w:w="0" w:type="auto"/>
            <w:tcBorders>
              <w:top w:val="single" w:sz="6" w:space="0" w:color="000000"/>
              <w:left w:val="single" w:sz="6" w:space="0" w:color="000000"/>
              <w:bottom w:val="single" w:sz="6" w:space="0" w:color="000000"/>
              <w:right w:val="single" w:sz="6" w:space="0" w:color="000000"/>
            </w:tcBorders>
            <w:hideMark/>
          </w:tcPr>
          <w:p w14:paraId="72E25525"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Crédits-bails</w:t>
            </w:r>
          </w:p>
        </w:tc>
        <w:tc>
          <w:tcPr>
            <w:tcW w:w="0" w:type="auto"/>
            <w:tcBorders>
              <w:top w:val="single" w:sz="6" w:space="0" w:color="000000"/>
              <w:left w:val="single" w:sz="6" w:space="0" w:color="000000"/>
              <w:bottom w:val="single" w:sz="6" w:space="0" w:color="000000"/>
              <w:right w:val="single" w:sz="6" w:space="0" w:color="000000"/>
            </w:tcBorders>
            <w:hideMark/>
          </w:tcPr>
          <w:p w14:paraId="6FE9533E"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652B5374"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4A2D7290"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1E714101"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F059C34"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4.</w:t>
            </w:r>
          </w:p>
        </w:tc>
        <w:tc>
          <w:tcPr>
            <w:tcW w:w="0" w:type="auto"/>
            <w:tcBorders>
              <w:top w:val="single" w:sz="6" w:space="0" w:color="000000"/>
              <w:left w:val="single" w:sz="6" w:space="0" w:color="000000"/>
              <w:bottom w:val="single" w:sz="6" w:space="0" w:color="000000"/>
              <w:right w:val="single" w:sz="6" w:space="0" w:color="000000"/>
            </w:tcBorders>
            <w:hideMark/>
          </w:tcPr>
          <w:p w14:paraId="45466CAE" w14:textId="77777777" w:rsidR="0060462B" w:rsidRPr="006C4E87" w:rsidRDefault="0060462B" w:rsidP="006C4E87">
            <w:pPr>
              <w:spacing w:before="60" w:after="60" w:line="240" w:lineRule="auto"/>
              <w:rPr>
                <w:rFonts w:ascii="Times New Roman" w:eastAsia="Times New Roman" w:hAnsi="Times New Roman" w:cs="Times New Roman"/>
                <w:color w:val="000000"/>
                <w:lang w:eastAsia="fr-FR"/>
              </w:rPr>
            </w:pPr>
            <w:r w:rsidRPr="00E13D16">
              <w:rPr>
                <w:rFonts w:ascii="Times New Roman" w:eastAsia="Times New Roman" w:hAnsi="Times New Roman" w:cs="Times New Roman"/>
                <w:color w:val="000000"/>
                <w:lang w:eastAsia="fr-FR"/>
              </w:rPr>
              <w:t>Services de paiement au sens de l’article 4, paragraphe 3, de la Directive (UE) 2015/2366 du Parlement européen Parlement et du Conseil</w:t>
            </w:r>
            <w:r w:rsidR="00E13D16" w:rsidRPr="00E13D16">
              <w:rPr>
                <w:rFonts w:ascii="Times New Roman" w:eastAsia="Times New Roman" w:hAnsi="Times New Roman" w:cs="Times New Roman"/>
                <w:color w:val="000000"/>
                <w:lang w:eastAsia="fr-FR"/>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9C4175E"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2C147EB"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BF0C2E3"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458D383B"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9D7823A"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4a.</w:t>
            </w:r>
          </w:p>
        </w:tc>
        <w:tc>
          <w:tcPr>
            <w:tcW w:w="0" w:type="auto"/>
            <w:tcBorders>
              <w:top w:val="single" w:sz="6" w:space="0" w:color="000000"/>
              <w:left w:val="single" w:sz="6" w:space="0" w:color="000000"/>
              <w:bottom w:val="single" w:sz="6" w:space="0" w:color="000000"/>
              <w:right w:val="single" w:sz="6" w:space="0" w:color="000000"/>
            </w:tcBorders>
            <w:hideMark/>
          </w:tcPr>
          <w:p w14:paraId="5BABD41E"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Services permettant de verser des espèces sur un compte de paiement, ainsi que toutes les opérations qu'exige la gestion d'un compte de paiement.</w:t>
            </w:r>
          </w:p>
        </w:tc>
        <w:tc>
          <w:tcPr>
            <w:tcW w:w="0" w:type="auto"/>
            <w:tcBorders>
              <w:top w:val="single" w:sz="6" w:space="0" w:color="000000"/>
              <w:left w:val="single" w:sz="6" w:space="0" w:color="000000"/>
              <w:bottom w:val="single" w:sz="6" w:space="0" w:color="000000"/>
              <w:right w:val="single" w:sz="6" w:space="0" w:color="000000"/>
            </w:tcBorders>
            <w:hideMark/>
          </w:tcPr>
          <w:p w14:paraId="69F57636"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08C4E45D"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04798919"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58C76699"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5B31975"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4b.</w:t>
            </w:r>
          </w:p>
        </w:tc>
        <w:tc>
          <w:tcPr>
            <w:tcW w:w="0" w:type="auto"/>
            <w:tcBorders>
              <w:top w:val="single" w:sz="6" w:space="0" w:color="000000"/>
              <w:left w:val="single" w:sz="6" w:space="0" w:color="000000"/>
              <w:bottom w:val="single" w:sz="6" w:space="0" w:color="000000"/>
              <w:right w:val="single" w:sz="6" w:space="0" w:color="000000"/>
            </w:tcBorders>
            <w:hideMark/>
          </w:tcPr>
          <w:p w14:paraId="52E4782B"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Services permettant de retirer des espèces d'un compte de paiement et toutes les opérations qu'exige la gestion d'un compte de paiement.</w:t>
            </w:r>
          </w:p>
        </w:tc>
        <w:tc>
          <w:tcPr>
            <w:tcW w:w="0" w:type="auto"/>
            <w:tcBorders>
              <w:top w:val="single" w:sz="6" w:space="0" w:color="000000"/>
              <w:left w:val="single" w:sz="6" w:space="0" w:color="000000"/>
              <w:bottom w:val="single" w:sz="6" w:space="0" w:color="000000"/>
              <w:right w:val="single" w:sz="6" w:space="0" w:color="000000"/>
            </w:tcBorders>
            <w:hideMark/>
          </w:tcPr>
          <w:p w14:paraId="21E2DB38"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1700C5C5"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13AFC28D"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516A2A61"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4B7F171"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4c.</w:t>
            </w:r>
          </w:p>
        </w:tc>
        <w:tc>
          <w:tcPr>
            <w:tcW w:w="0" w:type="auto"/>
            <w:tcBorders>
              <w:top w:val="single" w:sz="6" w:space="0" w:color="000000"/>
              <w:left w:val="single" w:sz="6" w:space="0" w:color="000000"/>
              <w:bottom w:val="single" w:sz="6" w:space="0" w:color="000000"/>
              <w:right w:val="single" w:sz="6" w:space="0" w:color="000000"/>
            </w:tcBorders>
            <w:hideMark/>
          </w:tcPr>
          <w:p w14:paraId="4FB6718A"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Exécution d'opérations de paiement, y compris transferts de fonds sur un compte de paiement auprès du prestataire de services de paiement de l'utilisateur ou auprès d'un autre prestataire de services de paiement:</w:t>
            </w:r>
          </w:p>
          <w:tbl>
            <w:tblPr>
              <w:tblW w:w="5000" w:type="pct"/>
              <w:tblCellSpacing w:w="0" w:type="dxa"/>
              <w:tblCellMar>
                <w:left w:w="0" w:type="dxa"/>
                <w:right w:w="0" w:type="dxa"/>
              </w:tblCellMar>
              <w:tblLook w:val="04A0" w:firstRow="1" w:lastRow="0" w:firstColumn="1" w:lastColumn="0" w:noHBand="0" w:noVBand="1"/>
            </w:tblPr>
            <w:tblGrid>
              <w:gridCol w:w="240"/>
              <w:gridCol w:w="2875"/>
            </w:tblGrid>
            <w:tr w:rsidR="006C4E87" w:rsidRPr="006C4E87" w14:paraId="13C2A3E1" w14:textId="77777777">
              <w:trPr>
                <w:tblCellSpacing w:w="0" w:type="dxa"/>
              </w:trPr>
              <w:tc>
                <w:tcPr>
                  <w:tcW w:w="0" w:type="auto"/>
                  <w:hideMark/>
                </w:tcPr>
                <w:p w14:paraId="252E8DC8"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lastRenderedPageBreak/>
                    <w:t>—</w:t>
                  </w:r>
                </w:p>
              </w:tc>
              <w:tc>
                <w:tcPr>
                  <w:tcW w:w="0" w:type="auto"/>
                  <w:hideMark/>
                </w:tcPr>
                <w:p w14:paraId="0601F28C"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exécution de prélèvements, y compris de prélèvements autorisés unitairement</w:t>
                  </w:r>
                </w:p>
              </w:tc>
            </w:tr>
          </w:tbl>
          <w:p w14:paraId="2D159900" w14:textId="77777777" w:rsidR="006C4E87" w:rsidRPr="006C4E87" w:rsidRDefault="006C4E87" w:rsidP="006C4E87">
            <w:pPr>
              <w:spacing w:after="0" w:line="240" w:lineRule="auto"/>
              <w:rPr>
                <w:rFonts w:ascii="Times New Roman" w:eastAsia="Times New Roman" w:hAnsi="Times New Roman" w:cs="Times New Roman"/>
                <w:vanish/>
                <w:color w:val="000000"/>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2875"/>
            </w:tblGrid>
            <w:tr w:rsidR="006C4E87" w:rsidRPr="006C4E87" w14:paraId="4FFED5BC" w14:textId="77777777">
              <w:trPr>
                <w:tblCellSpacing w:w="0" w:type="dxa"/>
              </w:trPr>
              <w:tc>
                <w:tcPr>
                  <w:tcW w:w="0" w:type="auto"/>
                  <w:hideMark/>
                </w:tcPr>
                <w:p w14:paraId="309B5990"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w:t>
                  </w:r>
                </w:p>
              </w:tc>
              <w:tc>
                <w:tcPr>
                  <w:tcW w:w="0" w:type="auto"/>
                  <w:hideMark/>
                </w:tcPr>
                <w:p w14:paraId="52C7A481"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exécution d'opérations de paiement par carte de paiement ou dispositif similaire</w:t>
                  </w:r>
                </w:p>
              </w:tc>
            </w:tr>
          </w:tbl>
          <w:p w14:paraId="7E5A6436" w14:textId="77777777" w:rsidR="006C4E87" w:rsidRPr="006C4E87" w:rsidRDefault="006C4E87" w:rsidP="006C4E87">
            <w:pPr>
              <w:spacing w:after="0" w:line="240" w:lineRule="auto"/>
              <w:rPr>
                <w:rFonts w:ascii="Times New Roman" w:eastAsia="Times New Roman" w:hAnsi="Times New Roman" w:cs="Times New Roman"/>
                <w:vanish/>
                <w:color w:val="000000"/>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2875"/>
            </w:tblGrid>
            <w:tr w:rsidR="006C4E87" w:rsidRPr="006C4E87" w14:paraId="13C03F53" w14:textId="77777777">
              <w:trPr>
                <w:tblCellSpacing w:w="0" w:type="dxa"/>
              </w:trPr>
              <w:tc>
                <w:tcPr>
                  <w:tcW w:w="0" w:type="auto"/>
                  <w:hideMark/>
                </w:tcPr>
                <w:p w14:paraId="6CC3606E"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w:t>
                  </w:r>
                </w:p>
              </w:tc>
              <w:tc>
                <w:tcPr>
                  <w:tcW w:w="0" w:type="auto"/>
                  <w:hideMark/>
                </w:tcPr>
                <w:p w14:paraId="1E573CB2"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exécution de virements, y compris d'ordres permanents</w:t>
                  </w:r>
                </w:p>
              </w:tc>
            </w:tr>
          </w:tbl>
          <w:p w14:paraId="514A11A4" w14:textId="77777777" w:rsidR="006C4E87" w:rsidRPr="006C4E87" w:rsidRDefault="006C4E87" w:rsidP="006C4E87">
            <w:pPr>
              <w:spacing w:after="0"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2193AD27"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9666C36"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2952328E"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343ADF1E"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0E8BF4D"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4d.</w:t>
            </w:r>
          </w:p>
        </w:tc>
        <w:tc>
          <w:tcPr>
            <w:tcW w:w="0" w:type="auto"/>
            <w:tcBorders>
              <w:top w:val="single" w:sz="6" w:space="0" w:color="000000"/>
              <w:left w:val="single" w:sz="6" w:space="0" w:color="000000"/>
              <w:bottom w:val="single" w:sz="6" w:space="0" w:color="000000"/>
              <w:right w:val="single" w:sz="6" w:space="0" w:color="000000"/>
            </w:tcBorders>
            <w:hideMark/>
          </w:tcPr>
          <w:p w14:paraId="2BFFD4AD"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 xml:space="preserve">Exécution d'opérations de paiement dans lesquelles les fonds sont couverts par une ligne de crédit accordée à l'utilisateur de services de </w:t>
            </w:r>
            <w:r w:rsidR="00E13D16">
              <w:rPr>
                <w:rFonts w:ascii="Times New Roman" w:eastAsia="Times New Roman" w:hAnsi="Times New Roman" w:cs="Times New Roman"/>
                <w:color w:val="000000"/>
                <w:lang w:eastAsia="fr-FR"/>
              </w:rPr>
              <w:t>paiement (**)</w:t>
            </w:r>
          </w:p>
          <w:tbl>
            <w:tblPr>
              <w:tblW w:w="5000" w:type="pct"/>
              <w:tblCellSpacing w:w="0" w:type="dxa"/>
              <w:tblCellMar>
                <w:left w:w="0" w:type="dxa"/>
                <w:right w:w="0" w:type="dxa"/>
              </w:tblCellMar>
              <w:tblLook w:val="04A0" w:firstRow="1" w:lastRow="0" w:firstColumn="1" w:lastColumn="0" w:noHBand="0" w:noVBand="1"/>
            </w:tblPr>
            <w:tblGrid>
              <w:gridCol w:w="240"/>
              <w:gridCol w:w="2875"/>
            </w:tblGrid>
            <w:tr w:rsidR="006C4E87" w:rsidRPr="006C4E87" w14:paraId="0514932E" w14:textId="77777777">
              <w:trPr>
                <w:tblCellSpacing w:w="0" w:type="dxa"/>
              </w:trPr>
              <w:tc>
                <w:tcPr>
                  <w:tcW w:w="0" w:type="auto"/>
                  <w:hideMark/>
                </w:tcPr>
                <w:p w14:paraId="108EB350"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w:t>
                  </w:r>
                </w:p>
              </w:tc>
              <w:tc>
                <w:tcPr>
                  <w:tcW w:w="0" w:type="auto"/>
                  <w:hideMark/>
                </w:tcPr>
                <w:p w14:paraId="4D81BBF5"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exécution de prélèvements, y compris de prélèvements autorisés unitairement</w:t>
                  </w:r>
                </w:p>
              </w:tc>
            </w:tr>
          </w:tbl>
          <w:p w14:paraId="015EF1C7" w14:textId="77777777" w:rsidR="006C4E87" w:rsidRPr="006C4E87" w:rsidRDefault="006C4E87" w:rsidP="006C4E87">
            <w:pPr>
              <w:spacing w:after="0" w:line="240" w:lineRule="auto"/>
              <w:rPr>
                <w:rFonts w:ascii="Times New Roman" w:eastAsia="Times New Roman" w:hAnsi="Times New Roman" w:cs="Times New Roman"/>
                <w:vanish/>
                <w:color w:val="000000"/>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2875"/>
            </w:tblGrid>
            <w:tr w:rsidR="006C4E87" w:rsidRPr="006C4E87" w14:paraId="5A99AEBE" w14:textId="77777777">
              <w:trPr>
                <w:tblCellSpacing w:w="0" w:type="dxa"/>
              </w:trPr>
              <w:tc>
                <w:tcPr>
                  <w:tcW w:w="0" w:type="auto"/>
                  <w:hideMark/>
                </w:tcPr>
                <w:p w14:paraId="326E1D43"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w:t>
                  </w:r>
                </w:p>
              </w:tc>
              <w:tc>
                <w:tcPr>
                  <w:tcW w:w="0" w:type="auto"/>
                  <w:hideMark/>
                </w:tcPr>
                <w:p w14:paraId="45654F22"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exécution d'opérations de paiement par carte de paiement ou dispositif similaire</w:t>
                  </w:r>
                </w:p>
              </w:tc>
            </w:tr>
          </w:tbl>
          <w:p w14:paraId="54D19A05" w14:textId="77777777" w:rsidR="006C4E87" w:rsidRPr="006C4E87" w:rsidRDefault="006C4E87" w:rsidP="006C4E87">
            <w:pPr>
              <w:spacing w:after="0" w:line="240" w:lineRule="auto"/>
              <w:rPr>
                <w:rFonts w:ascii="Times New Roman" w:eastAsia="Times New Roman" w:hAnsi="Times New Roman" w:cs="Times New Roman"/>
                <w:vanish/>
                <w:color w:val="000000"/>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240"/>
              <w:gridCol w:w="2875"/>
            </w:tblGrid>
            <w:tr w:rsidR="006C4E87" w:rsidRPr="006C4E87" w14:paraId="4E9C4E59" w14:textId="77777777">
              <w:trPr>
                <w:tblCellSpacing w:w="0" w:type="dxa"/>
              </w:trPr>
              <w:tc>
                <w:tcPr>
                  <w:tcW w:w="0" w:type="auto"/>
                  <w:hideMark/>
                </w:tcPr>
                <w:p w14:paraId="080E9A58"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w:t>
                  </w:r>
                </w:p>
              </w:tc>
              <w:tc>
                <w:tcPr>
                  <w:tcW w:w="0" w:type="auto"/>
                  <w:hideMark/>
                </w:tcPr>
                <w:p w14:paraId="3343E45B"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exécution de virements, y compris d'ordres permanents</w:t>
                  </w:r>
                </w:p>
              </w:tc>
            </w:tr>
          </w:tbl>
          <w:p w14:paraId="5D769D9F" w14:textId="77777777" w:rsidR="006C4E87" w:rsidRPr="006C4E87" w:rsidRDefault="006C4E87" w:rsidP="006C4E87">
            <w:pPr>
              <w:spacing w:after="0"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2A89CF2E"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03DDD934"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70E249EC"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44D82F0E"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18E4974" w14:textId="77777777" w:rsidR="002D02DD" w:rsidRDefault="006C4E87" w:rsidP="002D02DD">
            <w:pPr>
              <w:autoSpaceDE w:val="0"/>
              <w:autoSpaceDN w:val="0"/>
              <w:adjustRightInd w:val="0"/>
              <w:spacing w:after="0" w:line="240" w:lineRule="auto"/>
              <w:rPr>
                <w:rFonts w:ascii="Times New Roman" w:hAnsi="Times New Roman" w:cs="Times New Roman"/>
              </w:rPr>
            </w:pPr>
            <w:r w:rsidRPr="006C4E87">
              <w:rPr>
                <w:rFonts w:ascii="Times New Roman" w:eastAsia="Times New Roman" w:hAnsi="Times New Roman" w:cs="Times New Roman"/>
                <w:color w:val="000000"/>
                <w:lang w:eastAsia="fr-FR"/>
              </w:rPr>
              <w:t>4e.</w:t>
            </w:r>
            <w:r w:rsidR="002D02DD">
              <w:rPr>
                <w:rFonts w:ascii="Times New Roman" w:hAnsi="Times New Roman" w:cs="Times New Roman"/>
              </w:rPr>
              <w:t xml:space="preserve"> </w:t>
            </w:r>
          </w:p>
          <w:p w14:paraId="5AA4D2E3" w14:textId="77777777" w:rsidR="006C4E87" w:rsidRPr="006C4E87" w:rsidRDefault="002D02DD" w:rsidP="002D02DD">
            <w:pPr>
              <w:spacing w:before="60" w:after="60" w:line="240" w:lineRule="auto"/>
              <w:rPr>
                <w:rFonts w:ascii="Times New Roman" w:eastAsia="Times New Roman" w:hAnsi="Times New Roman" w:cs="Times New Roman"/>
                <w:color w:val="000000"/>
                <w:lang w:eastAsia="fr-FR"/>
              </w:rPr>
            </w:pPr>
            <w:r>
              <w:rPr>
                <w:rFonts w:ascii="Times New Roman" w:hAnsi="Times New Roman" w:cs="Times New Roman"/>
              </w:rPr>
              <w:t>(***)</w:t>
            </w:r>
          </w:p>
        </w:tc>
        <w:tc>
          <w:tcPr>
            <w:tcW w:w="0" w:type="auto"/>
            <w:tcBorders>
              <w:top w:val="single" w:sz="6" w:space="0" w:color="000000"/>
              <w:left w:val="single" w:sz="6" w:space="0" w:color="000000"/>
              <w:bottom w:val="single" w:sz="6" w:space="0" w:color="000000"/>
              <w:right w:val="single" w:sz="6" w:space="0" w:color="000000"/>
            </w:tcBorders>
            <w:hideMark/>
          </w:tcPr>
          <w:p w14:paraId="003B2FF3"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Émission et/ou acquisition d'instruments de paiement</w:t>
            </w:r>
          </w:p>
        </w:tc>
        <w:tc>
          <w:tcPr>
            <w:tcW w:w="0" w:type="auto"/>
            <w:tcBorders>
              <w:top w:val="single" w:sz="6" w:space="0" w:color="000000"/>
              <w:left w:val="single" w:sz="6" w:space="0" w:color="000000"/>
              <w:bottom w:val="single" w:sz="6" w:space="0" w:color="000000"/>
              <w:right w:val="single" w:sz="6" w:space="0" w:color="000000"/>
            </w:tcBorders>
            <w:hideMark/>
          </w:tcPr>
          <w:p w14:paraId="79AB3CD0"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948F8F7"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F83F844"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01BFB19E"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4920A92"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4f.</w:t>
            </w:r>
          </w:p>
        </w:tc>
        <w:tc>
          <w:tcPr>
            <w:tcW w:w="0" w:type="auto"/>
            <w:tcBorders>
              <w:top w:val="single" w:sz="6" w:space="0" w:color="000000"/>
              <w:left w:val="single" w:sz="6" w:space="0" w:color="000000"/>
              <w:bottom w:val="single" w:sz="6" w:space="0" w:color="000000"/>
              <w:right w:val="single" w:sz="6" w:space="0" w:color="000000"/>
            </w:tcBorders>
            <w:hideMark/>
          </w:tcPr>
          <w:p w14:paraId="61AC5EC0"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Transmission de fonds</w:t>
            </w:r>
          </w:p>
        </w:tc>
        <w:tc>
          <w:tcPr>
            <w:tcW w:w="0" w:type="auto"/>
            <w:tcBorders>
              <w:top w:val="single" w:sz="6" w:space="0" w:color="000000"/>
              <w:left w:val="single" w:sz="6" w:space="0" w:color="000000"/>
              <w:bottom w:val="single" w:sz="6" w:space="0" w:color="000000"/>
              <w:right w:val="single" w:sz="6" w:space="0" w:color="000000"/>
            </w:tcBorders>
            <w:hideMark/>
          </w:tcPr>
          <w:p w14:paraId="2CBBD22E"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C7AEDCD"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5301A910"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4D9ED586"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20DB5F8"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4g.</w:t>
            </w:r>
          </w:p>
        </w:tc>
        <w:tc>
          <w:tcPr>
            <w:tcW w:w="0" w:type="auto"/>
            <w:tcBorders>
              <w:top w:val="single" w:sz="6" w:space="0" w:color="000000"/>
              <w:left w:val="single" w:sz="6" w:space="0" w:color="000000"/>
              <w:bottom w:val="single" w:sz="6" w:space="0" w:color="000000"/>
              <w:right w:val="single" w:sz="6" w:space="0" w:color="000000"/>
            </w:tcBorders>
            <w:hideMark/>
          </w:tcPr>
          <w:p w14:paraId="530AAE15" w14:textId="77777777" w:rsidR="006C4E87" w:rsidRPr="006C4E87" w:rsidRDefault="00260C50" w:rsidP="00260C50">
            <w:pPr>
              <w:spacing w:before="60" w:after="60" w:line="240"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S</w:t>
            </w:r>
            <w:r w:rsidR="0060462B" w:rsidRPr="00260C50">
              <w:rPr>
                <w:rFonts w:ascii="Times New Roman" w:eastAsia="Times New Roman" w:hAnsi="Times New Roman" w:cs="Times New Roman"/>
                <w:color w:val="000000"/>
                <w:lang w:eastAsia="fr-FR"/>
              </w:rPr>
              <w:t>ervices d’initiation de paiement</w:t>
            </w:r>
          </w:p>
        </w:tc>
        <w:tc>
          <w:tcPr>
            <w:tcW w:w="0" w:type="auto"/>
            <w:tcBorders>
              <w:top w:val="single" w:sz="6" w:space="0" w:color="000000"/>
              <w:left w:val="single" w:sz="6" w:space="0" w:color="000000"/>
              <w:bottom w:val="single" w:sz="6" w:space="0" w:color="000000"/>
              <w:right w:val="single" w:sz="6" w:space="0" w:color="000000"/>
            </w:tcBorders>
            <w:hideMark/>
          </w:tcPr>
          <w:p w14:paraId="5BC534F1"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78CEF2C"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4C03ADC"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14DAECBA" w14:textId="77777777" w:rsidTr="0060462B">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1725A15" w14:textId="77777777" w:rsidR="0060462B" w:rsidRPr="006C4E87" w:rsidRDefault="0060462B" w:rsidP="0060462B">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4</w:t>
            </w:r>
            <w:r>
              <w:rPr>
                <w:rFonts w:ascii="Times New Roman" w:eastAsia="Times New Roman" w:hAnsi="Times New Roman" w:cs="Times New Roman"/>
                <w:color w:val="000000"/>
                <w:lang w:eastAsia="fr-FR"/>
              </w:rPr>
              <w:t>h</w:t>
            </w:r>
            <w:r w:rsidRPr="006C4E87">
              <w:rPr>
                <w:rFonts w:ascii="Times New Roman" w:eastAsia="Times New Roman" w:hAnsi="Times New Roman" w:cs="Times New Roman"/>
                <w:color w:val="000000"/>
                <w:lang w:eastAsia="fr-FR"/>
              </w:rPr>
              <w:t>.</w:t>
            </w:r>
          </w:p>
        </w:tc>
        <w:tc>
          <w:tcPr>
            <w:tcW w:w="0" w:type="auto"/>
            <w:tcBorders>
              <w:top w:val="single" w:sz="6" w:space="0" w:color="000000"/>
              <w:left w:val="single" w:sz="6" w:space="0" w:color="000000"/>
              <w:bottom w:val="single" w:sz="6" w:space="0" w:color="000000"/>
              <w:right w:val="single" w:sz="6" w:space="0" w:color="000000"/>
            </w:tcBorders>
            <w:hideMark/>
          </w:tcPr>
          <w:p w14:paraId="7AF6C0C0" w14:textId="77777777" w:rsidR="0060462B" w:rsidRPr="006C4E87" w:rsidRDefault="00260C50" w:rsidP="00260C50">
            <w:pPr>
              <w:spacing w:before="60" w:after="60" w:line="240"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S</w:t>
            </w:r>
            <w:r w:rsidR="0060462B" w:rsidRPr="00260C50">
              <w:rPr>
                <w:rFonts w:ascii="Times New Roman" w:eastAsia="Times New Roman" w:hAnsi="Times New Roman" w:cs="Times New Roman"/>
                <w:color w:val="000000"/>
                <w:lang w:eastAsia="fr-FR"/>
              </w:rPr>
              <w:t>ervices d’information sur les comptes</w:t>
            </w:r>
          </w:p>
        </w:tc>
        <w:tc>
          <w:tcPr>
            <w:tcW w:w="0" w:type="auto"/>
            <w:tcBorders>
              <w:top w:val="single" w:sz="6" w:space="0" w:color="000000"/>
              <w:left w:val="single" w:sz="6" w:space="0" w:color="000000"/>
              <w:bottom w:val="single" w:sz="6" w:space="0" w:color="000000"/>
              <w:right w:val="single" w:sz="6" w:space="0" w:color="000000"/>
            </w:tcBorders>
            <w:hideMark/>
          </w:tcPr>
          <w:p w14:paraId="674D7FE2" w14:textId="77777777" w:rsidR="0060462B" w:rsidRPr="006C4E87" w:rsidRDefault="0060462B"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232FDDF1" w14:textId="77777777" w:rsidR="0060462B" w:rsidRPr="006C4E87" w:rsidRDefault="0060462B"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7E621C0C" w14:textId="77777777" w:rsidR="0060462B" w:rsidRPr="006C4E87" w:rsidRDefault="0060462B"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5391F8CF"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DB8527F"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5.</w:t>
            </w:r>
          </w:p>
        </w:tc>
        <w:tc>
          <w:tcPr>
            <w:tcW w:w="0" w:type="auto"/>
            <w:tcBorders>
              <w:top w:val="single" w:sz="6" w:space="0" w:color="000000"/>
              <w:left w:val="single" w:sz="6" w:space="0" w:color="000000"/>
              <w:bottom w:val="single" w:sz="6" w:space="0" w:color="000000"/>
              <w:right w:val="single" w:sz="6" w:space="0" w:color="000000"/>
            </w:tcBorders>
            <w:hideMark/>
          </w:tcPr>
          <w:p w14:paraId="13418B16"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Émission et gestion d'autres moyens de paiement (par exemple, chèques de voyage et lettres de crédit) dans la mesure où cette activité n'est pas couverte par le point 4.</w:t>
            </w:r>
          </w:p>
        </w:tc>
        <w:tc>
          <w:tcPr>
            <w:tcW w:w="0" w:type="auto"/>
            <w:tcBorders>
              <w:top w:val="single" w:sz="6" w:space="0" w:color="000000"/>
              <w:left w:val="single" w:sz="6" w:space="0" w:color="000000"/>
              <w:bottom w:val="single" w:sz="6" w:space="0" w:color="000000"/>
              <w:right w:val="single" w:sz="6" w:space="0" w:color="000000"/>
            </w:tcBorders>
            <w:hideMark/>
          </w:tcPr>
          <w:p w14:paraId="54818044"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0722902A"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54015E78"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32338C25"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2030786"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6.</w:t>
            </w:r>
          </w:p>
        </w:tc>
        <w:tc>
          <w:tcPr>
            <w:tcW w:w="0" w:type="auto"/>
            <w:tcBorders>
              <w:top w:val="single" w:sz="6" w:space="0" w:color="000000"/>
              <w:left w:val="single" w:sz="6" w:space="0" w:color="000000"/>
              <w:bottom w:val="single" w:sz="6" w:space="0" w:color="000000"/>
              <w:right w:val="single" w:sz="6" w:space="0" w:color="000000"/>
            </w:tcBorders>
            <w:hideMark/>
          </w:tcPr>
          <w:p w14:paraId="69446FDA"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Octroi de garanties et souscription d'engagements</w:t>
            </w:r>
          </w:p>
        </w:tc>
        <w:tc>
          <w:tcPr>
            <w:tcW w:w="0" w:type="auto"/>
            <w:tcBorders>
              <w:top w:val="single" w:sz="6" w:space="0" w:color="000000"/>
              <w:left w:val="single" w:sz="6" w:space="0" w:color="000000"/>
              <w:bottom w:val="single" w:sz="6" w:space="0" w:color="000000"/>
              <w:right w:val="single" w:sz="6" w:space="0" w:color="000000"/>
            </w:tcBorders>
            <w:hideMark/>
          </w:tcPr>
          <w:p w14:paraId="0183E5AD"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C0ECB68"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1E9E190B"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14DDAF82"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E94366A"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lastRenderedPageBreak/>
              <w:t>7.</w:t>
            </w:r>
          </w:p>
        </w:tc>
        <w:tc>
          <w:tcPr>
            <w:tcW w:w="0" w:type="auto"/>
            <w:tcBorders>
              <w:top w:val="single" w:sz="6" w:space="0" w:color="000000"/>
              <w:left w:val="single" w:sz="6" w:space="0" w:color="000000"/>
              <w:bottom w:val="single" w:sz="6" w:space="0" w:color="000000"/>
              <w:right w:val="single" w:sz="6" w:space="0" w:color="000000"/>
            </w:tcBorders>
            <w:hideMark/>
          </w:tcPr>
          <w:p w14:paraId="16F86B95"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Transactions, pour compte propre ou pour le compte de clients, sur tout élément suivant:</w:t>
            </w:r>
          </w:p>
        </w:tc>
        <w:tc>
          <w:tcPr>
            <w:tcW w:w="0" w:type="auto"/>
            <w:tcBorders>
              <w:top w:val="single" w:sz="6" w:space="0" w:color="000000"/>
              <w:left w:val="single" w:sz="6" w:space="0" w:color="000000"/>
              <w:bottom w:val="single" w:sz="6" w:space="0" w:color="000000"/>
              <w:right w:val="single" w:sz="6" w:space="0" w:color="000000"/>
            </w:tcBorders>
            <w:hideMark/>
          </w:tcPr>
          <w:p w14:paraId="5343FC55"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72343479"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57CDFFDD"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2E57549D"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7A2C91F"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7a.</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0"/>
              <w:gridCol w:w="2875"/>
            </w:tblGrid>
            <w:tr w:rsidR="006C4E87" w:rsidRPr="006C4E87" w14:paraId="518EA830" w14:textId="77777777">
              <w:trPr>
                <w:tblCellSpacing w:w="0" w:type="dxa"/>
              </w:trPr>
              <w:tc>
                <w:tcPr>
                  <w:tcW w:w="0" w:type="auto"/>
                  <w:hideMark/>
                </w:tcPr>
                <w:p w14:paraId="5B0A7B42"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w:t>
                  </w:r>
                </w:p>
              </w:tc>
              <w:tc>
                <w:tcPr>
                  <w:tcW w:w="0" w:type="auto"/>
                  <w:hideMark/>
                </w:tcPr>
                <w:p w14:paraId="3C277A61"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instruments du marché monétaire (y compris chèques, effets, certificats de dépôt)</w:t>
                  </w:r>
                </w:p>
              </w:tc>
            </w:tr>
          </w:tbl>
          <w:p w14:paraId="68D7282E" w14:textId="77777777" w:rsidR="006C4E87" w:rsidRPr="006C4E87" w:rsidRDefault="006C4E87" w:rsidP="006C4E87">
            <w:pPr>
              <w:spacing w:after="0"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212D5863"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63A4821D"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9207C8F"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1E24D769"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755DCA1"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7b.</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789"/>
              <w:gridCol w:w="2326"/>
            </w:tblGrid>
            <w:tr w:rsidR="006C4E87" w:rsidRPr="006C4E87" w14:paraId="2F7F3DAC" w14:textId="77777777">
              <w:trPr>
                <w:tblCellSpacing w:w="0" w:type="dxa"/>
              </w:trPr>
              <w:tc>
                <w:tcPr>
                  <w:tcW w:w="0" w:type="auto"/>
                  <w:hideMark/>
                </w:tcPr>
                <w:p w14:paraId="63FE0545"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w:t>
                  </w:r>
                </w:p>
              </w:tc>
              <w:tc>
                <w:tcPr>
                  <w:tcW w:w="0" w:type="auto"/>
                  <w:hideMark/>
                </w:tcPr>
                <w:p w14:paraId="231D20C7"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devises</w:t>
                  </w:r>
                </w:p>
              </w:tc>
            </w:tr>
          </w:tbl>
          <w:p w14:paraId="3F6DBEFC" w14:textId="77777777" w:rsidR="006C4E87" w:rsidRPr="006C4E87" w:rsidRDefault="006C4E87" w:rsidP="006C4E87">
            <w:pPr>
              <w:spacing w:after="0"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704498AB"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12A1D122"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64E0C650"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3542052C"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668A3A6"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7c.</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0"/>
              <w:gridCol w:w="2875"/>
            </w:tblGrid>
            <w:tr w:rsidR="006C4E87" w:rsidRPr="006C4E87" w14:paraId="2521CC82" w14:textId="77777777">
              <w:trPr>
                <w:tblCellSpacing w:w="0" w:type="dxa"/>
              </w:trPr>
              <w:tc>
                <w:tcPr>
                  <w:tcW w:w="0" w:type="auto"/>
                  <w:hideMark/>
                </w:tcPr>
                <w:p w14:paraId="775ADC3C"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w:t>
                  </w:r>
                </w:p>
              </w:tc>
              <w:tc>
                <w:tcPr>
                  <w:tcW w:w="0" w:type="auto"/>
                  <w:hideMark/>
                </w:tcPr>
                <w:p w14:paraId="73BFEE31"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instruments financiers à terme et options</w:t>
                  </w:r>
                </w:p>
              </w:tc>
            </w:tr>
          </w:tbl>
          <w:p w14:paraId="1CAF50B3" w14:textId="77777777" w:rsidR="006C4E87" w:rsidRPr="006C4E87" w:rsidRDefault="006C4E87" w:rsidP="006C4E87">
            <w:pPr>
              <w:spacing w:after="0"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0CB7A2B8"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7BEA2F74"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622B6156"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192BF6AA"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0CD3629"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7d.</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40"/>
              <w:gridCol w:w="2875"/>
            </w:tblGrid>
            <w:tr w:rsidR="006C4E87" w:rsidRPr="006C4E87" w14:paraId="40EC6F74" w14:textId="77777777">
              <w:trPr>
                <w:tblCellSpacing w:w="0" w:type="dxa"/>
              </w:trPr>
              <w:tc>
                <w:tcPr>
                  <w:tcW w:w="0" w:type="auto"/>
                  <w:hideMark/>
                </w:tcPr>
                <w:p w14:paraId="1BA3A02F"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w:t>
                  </w:r>
                </w:p>
              </w:tc>
              <w:tc>
                <w:tcPr>
                  <w:tcW w:w="0" w:type="auto"/>
                  <w:hideMark/>
                </w:tcPr>
                <w:p w14:paraId="6F44E404"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instruments sur devises ou sur taux d'intérêt</w:t>
                  </w:r>
                </w:p>
              </w:tc>
            </w:tr>
          </w:tbl>
          <w:p w14:paraId="497C94AD" w14:textId="77777777" w:rsidR="006C4E87" w:rsidRPr="006C4E87" w:rsidRDefault="006C4E87" w:rsidP="006C4E87">
            <w:pPr>
              <w:spacing w:after="0"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4B607B07"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4F5C8EA3"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2CD8EDEA"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4021E3DA"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6A28444"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7e.</w:t>
            </w:r>
          </w:p>
        </w:tc>
        <w:tc>
          <w:tcPr>
            <w:tcW w:w="0" w:type="auto"/>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372"/>
              <w:gridCol w:w="2743"/>
            </w:tblGrid>
            <w:tr w:rsidR="006C4E87" w:rsidRPr="006C4E87" w14:paraId="13DBB0EB" w14:textId="77777777">
              <w:trPr>
                <w:tblCellSpacing w:w="0" w:type="dxa"/>
              </w:trPr>
              <w:tc>
                <w:tcPr>
                  <w:tcW w:w="0" w:type="auto"/>
                  <w:hideMark/>
                </w:tcPr>
                <w:p w14:paraId="63B8FA7F"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w:t>
                  </w:r>
                </w:p>
              </w:tc>
              <w:tc>
                <w:tcPr>
                  <w:tcW w:w="0" w:type="auto"/>
                  <w:hideMark/>
                </w:tcPr>
                <w:p w14:paraId="4A6EB327"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valeurs mobilières</w:t>
                  </w:r>
                </w:p>
              </w:tc>
            </w:tr>
          </w:tbl>
          <w:p w14:paraId="6E1EE15D" w14:textId="77777777" w:rsidR="006C4E87" w:rsidRPr="006C4E87" w:rsidRDefault="006C4E87" w:rsidP="006C4E87">
            <w:pPr>
              <w:spacing w:after="0" w:line="240" w:lineRule="auto"/>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1B89D41"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127592D2"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438E2B5A"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3D41E844"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F2EF8F6"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8.</w:t>
            </w:r>
          </w:p>
        </w:tc>
        <w:tc>
          <w:tcPr>
            <w:tcW w:w="0" w:type="auto"/>
            <w:tcBorders>
              <w:top w:val="single" w:sz="6" w:space="0" w:color="000000"/>
              <w:left w:val="single" w:sz="6" w:space="0" w:color="000000"/>
              <w:bottom w:val="single" w:sz="6" w:space="0" w:color="000000"/>
              <w:right w:val="single" w:sz="6" w:space="0" w:color="000000"/>
            </w:tcBorders>
            <w:hideMark/>
          </w:tcPr>
          <w:p w14:paraId="7811DC3E"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Participation aux émissions de titres et prestations de services y afférents</w:t>
            </w:r>
          </w:p>
        </w:tc>
        <w:tc>
          <w:tcPr>
            <w:tcW w:w="0" w:type="auto"/>
            <w:tcBorders>
              <w:top w:val="single" w:sz="6" w:space="0" w:color="000000"/>
              <w:left w:val="single" w:sz="6" w:space="0" w:color="000000"/>
              <w:bottom w:val="single" w:sz="6" w:space="0" w:color="000000"/>
              <w:right w:val="single" w:sz="6" w:space="0" w:color="000000"/>
            </w:tcBorders>
            <w:hideMark/>
          </w:tcPr>
          <w:p w14:paraId="603B1F7F"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57343768"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093E7CAF"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4F37C7EB"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478565E"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9.</w:t>
            </w:r>
          </w:p>
        </w:tc>
        <w:tc>
          <w:tcPr>
            <w:tcW w:w="0" w:type="auto"/>
            <w:tcBorders>
              <w:top w:val="single" w:sz="6" w:space="0" w:color="000000"/>
              <w:left w:val="single" w:sz="6" w:space="0" w:color="000000"/>
              <w:bottom w:val="single" w:sz="6" w:space="0" w:color="000000"/>
              <w:right w:val="single" w:sz="6" w:space="0" w:color="000000"/>
            </w:tcBorders>
            <w:hideMark/>
          </w:tcPr>
          <w:p w14:paraId="37960993"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Conseil aux entreprises en matière de structure de capital, de stratégie industrielle et questions connexes et conseils ainsi que services dans le domaine de la fusion et du rachat d'entreprises</w:t>
            </w:r>
          </w:p>
        </w:tc>
        <w:tc>
          <w:tcPr>
            <w:tcW w:w="0" w:type="auto"/>
            <w:tcBorders>
              <w:top w:val="single" w:sz="6" w:space="0" w:color="000000"/>
              <w:left w:val="single" w:sz="6" w:space="0" w:color="000000"/>
              <w:bottom w:val="single" w:sz="6" w:space="0" w:color="000000"/>
              <w:right w:val="single" w:sz="6" w:space="0" w:color="000000"/>
            </w:tcBorders>
            <w:hideMark/>
          </w:tcPr>
          <w:p w14:paraId="11FA1370"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41C86AA8"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40B086FF"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512D298D"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9FD4FB3"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10.</w:t>
            </w:r>
          </w:p>
        </w:tc>
        <w:tc>
          <w:tcPr>
            <w:tcW w:w="0" w:type="auto"/>
            <w:tcBorders>
              <w:top w:val="single" w:sz="6" w:space="0" w:color="000000"/>
              <w:left w:val="single" w:sz="6" w:space="0" w:color="000000"/>
              <w:bottom w:val="single" w:sz="6" w:space="0" w:color="000000"/>
              <w:right w:val="single" w:sz="6" w:space="0" w:color="000000"/>
            </w:tcBorders>
            <w:hideMark/>
          </w:tcPr>
          <w:p w14:paraId="75E74AE2"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Intermédiation sur les marchés interbancaires</w:t>
            </w:r>
          </w:p>
        </w:tc>
        <w:tc>
          <w:tcPr>
            <w:tcW w:w="0" w:type="auto"/>
            <w:tcBorders>
              <w:top w:val="single" w:sz="6" w:space="0" w:color="000000"/>
              <w:left w:val="single" w:sz="6" w:space="0" w:color="000000"/>
              <w:bottom w:val="single" w:sz="6" w:space="0" w:color="000000"/>
              <w:right w:val="single" w:sz="6" w:space="0" w:color="000000"/>
            </w:tcBorders>
            <w:hideMark/>
          </w:tcPr>
          <w:p w14:paraId="4530BD88"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79E3E6F1"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71F91E7"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3D134914"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C9FEFDF"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11.</w:t>
            </w:r>
          </w:p>
        </w:tc>
        <w:tc>
          <w:tcPr>
            <w:tcW w:w="0" w:type="auto"/>
            <w:tcBorders>
              <w:top w:val="single" w:sz="6" w:space="0" w:color="000000"/>
              <w:left w:val="single" w:sz="6" w:space="0" w:color="000000"/>
              <w:bottom w:val="single" w:sz="6" w:space="0" w:color="000000"/>
              <w:right w:val="single" w:sz="6" w:space="0" w:color="000000"/>
            </w:tcBorders>
            <w:hideMark/>
          </w:tcPr>
          <w:p w14:paraId="2EC21C33"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Gestion et conseil en gestion de patrimoine</w:t>
            </w:r>
          </w:p>
        </w:tc>
        <w:tc>
          <w:tcPr>
            <w:tcW w:w="0" w:type="auto"/>
            <w:tcBorders>
              <w:top w:val="single" w:sz="6" w:space="0" w:color="000000"/>
              <w:left w:val="single" w:sz="6" w:space="0" w:color="000000"/>
              <w:bottom w:val="single" w:sz="6" w:space="0" w:color="000000"/>
              <w:right w:val="single" w:sz="6" w:space="0" w:color="000000"/>
            </w:tcBorders>
            <w:hideMark/>
          </w:tcPr>
          <w:p w14:paraId="67C0905D"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616F36B2"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02922E9F"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0920BBA7"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7E74A67"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12.</w:t>
            </w:r>
          </w:p>
        </w:tc>
        <w:tc>
          <w:tcPr>
            <w:tcW w:w="0" w:type="auto"/>
            <w:tcBorders>
              <w:top w:val="single" w:sz="6" w:space="0" w:color="000000"/>
              <w:left w:val="single" w:sz="6" w:space="0" w:color="000000"/>
              <w:bottom w:val="single" w:sz="6" w:space="0" w:color="000000"/>
              <w:right w:val="single" w:sz="6" w:space="0" w:color="000000"/>
            </w:tcBorders>
            <w:hideMark/>
          </w:tcPr>
          <w:p w14:paraId="6F1E1C7E"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Conservation et administration de valeurs mobilières</w:t>
            </w:r>
          </w:p>
        </w:tc>
        <w:tc>
          <w:tcPr>
            <w:tcW w:w="0" w:type="auto"/>
            <w:tcBorders>
              <w:top w:val="single" w:sz="6" w:space="0" w:color="000000"/>
              <w:left w:val="single" w:sz="6" w:space="0" w:color="000000"/>
              <w:bottom w:val="single" w:sz="6" w:space="0" w:color="000000"/>
              <w:right w:val="single" w:sz="6" w:space="0" w:color="000000"/>
            </w:tcBorders>
            <w:hideMark/>
          </w:tcPr>
          <w:p w14:paraId="71380E1F"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0E82C150"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493ECBE4"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17722D50"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47CBB6A1"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13.</w:t>
            </w:r>
          </w:p>
        </w:tc>
        <w:tc>
          <w:tcPr>
            <w:tcW w:w="0" w:type="auto"/>
            <w:tcBorders>
              <w:top w:val="single" w:sz="6" w:space="0" w:color="000000"/>
              <w:left w:val="single" w:sz="6" w:space="0" w:color="000000"/>
              <w:bottom w:val="single" w:sz="6" w:space="0" w:color="000000"/>
              <w:right w:val="single" w:sz="6" w:space="0" w:color="000000"/>
            </w:tcBorders>
            <w:hideMark/>
          </w:tcPr>
          <w:p w14:paraId="6D2A2AD5"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Renseignements commerciaux</w:t>
            </w:r>
          </w:p>
        </w:tc>
        <w:tc>
          <w:tcPr>
            <w:tcW w:w="0" w:type="auto"/>
            <w:tcBorders>
              <w:top w:val="single" w:sz="6" w:space="0" w:color="000000"/>
              <w:left w:val="single" w:sz="6" w:space="0" w:color="000000"/>
              <w:bottom w:val="single" w:sz="6" w:space="0" w:color="000000"/>
              <w:right w:val="single" w:sz="6" w:space="0" w:color="000000"/>
            </w:tcBorders>
            <w:hideMark/>
          </w:tcPr>
          <w:p w14:paraId="05BA203F"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5073D5E5"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06E19733"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00C6C79C"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24108DE"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14.</w:t>
            </w:r>
          </w:p>
        </w:tc>
        <w:tc>
          <w:tcPr>
            <w:tcW w:w="0" w:type="auto"/>
            <w:tcBorders>
              <w:top w:val="single" w:sz="6" w:space="0" w:color="000000"/>
              <w:left w:val="single" w:sz="6" w:space="0" w:color="000000"/>
              <w:bottom w:val="single" w:sz="6" w:space="0" w:color="000000"/>
              <w:right w:val="single" w:sz="6" w:space="0" w:color="000000"/>
            </w:tcBorders>
            <w:hideMark/>
          </w:tcPr>
          <w:p w14:paraId="63FDE5F7"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Location de coffres</w:t>
            </w:r>
          </w:p>
        </w:tc>
        <w:tc>
          <w:tcPr>
            <w:tcW w:w="0" w:type="auto"/>
            <w:tcBorders>
              <w:top w:val="single" w:sz="6" w:space="0" w:color="000000"/>
              <w:left w:val="single" w:sz="6" w:space="0" w:color="000000"/>
              <w:bottom w:val="single" w:sz="6" w:space="0" w:color="000000"/>
              <w:right w:val="single" w:sz="6" w:space="0" w:color="000000"/>
            </w:tcBorders>
            <w:hideMark/>
          </w:tcPr>
          <w:p w14:paraId="1E6C3336"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7F56979"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5CDC0C0A"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r w:rsidR="000156C3" w:rsidRPr="006C4E87" w14:paraId="38C96535" w14:textId="77777777" w:rsidTr="006C4E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4E45555"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15.</w:t>
            </w:r>
          </w:p>
        </w:tc>
        <w:tc>
          <w:tcPr>
            <w:tcW w:w="0" w:type="auto"/>
            <w:tcBorders>
              <w:top w:val="single" w:sz="6" w:space="0" w:color="000000"/>
              <w:left w:val="single" w:sz="6" w:space="0" w:color="000000"/>
              <w:bottom w:val="single" w:sz="6" w:space="0" w:color="000000"/>
              <w:right w:val="single" w:sz="6" w:space="0" w:color="000000"/>
            </w:tcBorders>
            <w:hideMark/>
          </w:tcPr>
          <w:p w14:paraId="26AA776C" w14:textId="77777777" w:rsidR="006C4E87" w:rsidRPr="006C4E87" w:rsidRDefault="006C4E87" w:rsidP="006C4E87">
            <w:pPr>
              <w:spacing w:before="60" w:after="60" w:line="240" w:lineRule="auto"/>
              <w:rPr>
                <w:rFonts w:ascii="Times New Roman" w:eastAsia="Times New Roman" w:hAnsi="Times New Roman" w:cs="Times New Roman"/>
                <w:color w:val="000000"/>
                <w:lang w:eastAsia="fr-FR"/>
              </w:rPr>
            </w:pPr>
            <w:r w:rsidRPr="006C4E87">
              <w:rPr>
                <w:rFonts w:ascii="Times New Roman" w:eastAsia="Times New Roman" w:hAnsi="Times New Roman" w:cs="Times New Roman"/>
                <w:color w:val="000000"/>
                <w:lang w:eastAsia="fr-FR"/>
              </w:rPr>
              <w:t>Émission de monnaie électronique</w:t>
            </w:r>
          </w:p>
        </w:tc>
        <w:tc>
          <w:tcPr>
            <w:tcW w:w="0" w:type="auto"/>
            <w:tcBorders>
              <w:top w:val="single" w:sz="6" w:space="0" w:color="000000"/>
              <w:left w:val="single" w:sz="6" w:space="0" w:color="000000"/>
              <w:bottom w:val="single" w:sz="6" w:space="0" w:color="000000"/>
              <w:right w:val="single" w:sz="6" w:space="0" w:color="000000"/>
            </w:tcBorders>
            <w:hideMark/>
          </w:tcPr>
          <w:p w14:paraId="74B42B7E"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3EF588FE"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c>
          <w:tcPr>
            <w:tcW w:w="0" w:type="auto"/>
            <w:tcBorders>
              <w:top w:val="single" w:sz="6" w:space="0" w:color="000000"/>
              <w:left w:val="single" w:sz="6" w:space="0" w:color="000000"/>
              <w:bottom w:val="single" w:sz="6" w:space="0" w:color="000000"/>
              <w:right w:val="single" w:sz="6" w:space="0" w:color="000000"/>
            </w:tcBorders>
            <w:hideMark/>
          </w:tcPr>
          <w:p w14:paraId="6C955ACD" w14:textId="77777777" w:rsidR="006C4E87" w:rsidRPr="006C4E87" w:rsidRDefault="006C4E87" w:rsidP="00E13D16">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p>
        </w:tc>
      </w:tr>
    </w:tbl>
    <w:p w14:paraId="213C6A1D" w14:textId="77777777" w:rsidR="002D02DD" w:rsidRDefault="00DF49AB" w:rsidP="00260C50">
      <w:pPr>
        <w:spacing w:before="60" w:after="60" w:line="240" w:lineRule="auto"/>
        <w:jc w:val="both"/>
        <w:rPr>
          <w:rFonts w:ascii="Times New Roman" w:eastAsia="Times New Roman" w:hAnsi="Times New Roman" w:cs="Times New Roman"/>
          <w:color w:val="000000"/>
          <w:sz w:val="19"/>
          <w:szCs w:val="19"/>
          <w:lang w:eastAsia="fr-FR"/>
        </w:rPr>
      </w:pPr>
      <w:hyperlink r:id="rId7" w:anchor="ntc1-L_2014254FR.01000701-E0001" w:history="1">
        <w:r w:rsidR="00260C50" w:rsidRPr="002D02DD">
          <w:rPr>
            <w:rFonts w:ascii="Times New Roman" w:eastAsia="Times New Roman" w:hAnsi="Times New Roman" w:cs="Times New Roman"/>
            <w:color w:val="000000"/>
            <w:sz w:val="19"/>
            <w:szCs w:val="19"/>
            <w:lang w:eastAsia="fr-FR"/>
          </w:rPr>
          <w:t>(</w:t>
        </w:r>
        <w:r w:rsidR="002D02DD">
          <w:rPr>
            <w:rFonts w:ascii="Times New Roman" w:eastAsia="Times New Roman" w:hAnsi="Times New Roman" w:cs="Times New Roman"/>
            <w:color w:val="000000"/>
            <w:sz w:val="19"/>
            <w:szCs w:val="19"/>
            <w:lang w:eastAsia="fr-FR"/>
          </w:rPr>
          <w:t>*</w:t>
        </w:r>
        <w:r w:rsidR="00260C50" w:rsidRPr="002D02DD">
          <w:rPr>
            <w:rFonts w:ascii="Times New Roman" w:eastAsia="Times New Roman" w:hAnsi="Times New Roman" w:cs="Times New Roman"/>
            <w:color w:val="000000"/>
            <w:sz w:val="19"/>
            <w:szCs w:val="19"/>
            <w:lang w:eastAsia="fr-FR"/>
          </w:rPr>
          <w:t>)</w:t>
        </w:r>
      </w:hyperlink>
      <w:r w:rsidR="00260C50" w:rsidRPr="002D02DD">
        <w:rPr>
          <w:rFonts w:ascii="Times New Roman" w:eastAsia="Times New Roman" w:hAnsi="Times New Roman" w:cs="Times New Roman"/>
          <w:color w:val="000000"/>
          <w:sz w:val="19"/>
          <w:szCs w:val="19"/>
          <w:lang w:eastAsia="fr-FR"/>
        </w:rPr>
        <w:t xml:space="preserve"> Directive </w:t>
      </w:r>
      <w:r w:rsidR="002D02DD" w:rsidRPr="002D02DD">
        <w:rPr>
          <w:rFonts w:ascii="Times New Roman" w:eastAsia="Times New Roman" w:hAnsi="Times New Roman" w:cs="Times New Roman"/>
          <w:color w:val="000000"/>
          <w:sz w:val="19"/>
          <w:szCs w:val="19"/>
          <w:lang w:eastAsia="fr-FR"/>
        </w:rPr>
        <w:t>2015/2366</w:t>
      </w:r>
      <w:r w:rsidR="00260C50" w:rsidRPr="002D02DD">
        <w:rPr>
          <w:rFonts w:ascii="Times New Roman" w:eastAsia="Times New Roman" w:hAnsi="Times New Roman" w:cs="Times New Roman"/>
          <w:color w:val="000000"/>
          <w:sz w:val="19"/>
          <w:szCs w:val="19"/>
          <w:lang w:eastAsia="fr-FR"/>
        </w:rPr>
        <w:t xml:space="preserve">/CE du Parlement européen et du Conseil du </w:t>
      </w:r>
      <w:r w:rsidR="002D02DD">
        <w:rPr>
          <w:rFonts w:ascii="Times New Roman" w:eastAsia="Times New Roman" w:hAnsi="Times New Roman" w:cs="Times New Roman"/>
          <w:color w:val="000000"/>
          <w:sz w:val="19"/>
          <w:szCs w:val="19"/>
          <w:lang w:eastAsia="fr-FR"/>
        </w:rPr>
        <w:t>25 Novemb</w:t>
      </w:r>
      <w:r w:rsidR="002D02DD" w:rsidRPr="002D02DD">
        <w:rPr>
          <w:rFonts w:ascii="Times New Roman" w:eastAsia="Times New Roman" w:hAnsi="Times New Roman" w:cs="Times New Roman"/>
          <w:color w:val="000000"/>
          <w:sz w:val="19"/>
          <w:szCs w:val="19"/>
          <w:lang w:eastAsia="fr-FR"/>
        </w:rPr>
        <w:t>r</w:t>
      </w:r>
      <w:r w:rsidR="002D02DD">
        <w:rPr>
          <w:rFonts w:ascii="Times New Roman" w:eastAsia="Times New Roman" w:hAnsi="Times New Roman" w:cs="Times New Roman"/>
          <w:color w:val="000000"/>
          <w:sz w:val="19"/>
          <w:szCs w:val="19"/>
          <w:lang w:eastAsia="fr-FR"/>
        </w:rPr>
        <w:t>e</w:t>
      </w:r>
      <w:r w:rsidR="002D02DD" w:rsidRPr="002D02DD">
        <w:rPr>
          <w:rFonts w:ascii="Times New Roman" w:eastAsia="Times New Roman" w:hAnsi="Times New Roman" w:cs="Times New Roman"/>
          <w:color w:val="000000"/>
          <w:sz w:val="19"/>
          <w:szCs w:val="19"/>
          <w:lang w:eastAsia="fr-FR"/>
        </w:rPr>
        <w:t xml:space="preserve"> 2015 </w:t>
      </w:r>
      <w:r w:rsidR="00260C50" w:rsidRPr="002D02DD">
        <w:rPr>
          <w:rFonts w:ascii="Times New Roman" w:eastAsia="Times New Roman" w:hAnsi="Times New Roman" w:cs="Times New Roman"/>
          <w:color w:val="000000"/>
          <w:sz w:val="19"/>
          <w:szCs w:val="19"/>
          <w:lang w:eastAsia="fr-FR"/>
        </w:rPr>
        <w:t>concernant les services de paiement dans le marché intérieur (</w:t>
      </w:r>
      <w:hyperlink r:id="rId8" w:history="1">
        <w:r w:rsidR="00260C50" w:rsidRPr="002D02DD">
          <w:rPr>
            <w:rFonts w:ascii="Times New Roman" w:eastAsia="Times New Roman" w:hAnsi="Times New Roman" w:cs="Times New Roman"/>
            <w:color w:val="000000"/>
            <w:sz w:val="19"/>
            <w:szCs w:val="19"/>
            <w:lang w:eastAsia="fr-FR"/>
          </w:rPr>
          <w:t>JO</w:t>
        </w:r>
        <w:r w:rsidR="002D02DD" w:rsidRPr="002D02DD">
          <w:rPr>
            <w:rFonts w:ascii="Times New Roman" w:eastAsia="Times New Roman" w:hAnsi="Times New Roman" w:cs="Times New Roman"/>
            <w:color w:val="000000"/>
            <w:sz w:val="19"/>
            <w:szCs w:val="19"/>
            <w:lang w:eastAsia="fr-FR"/>
          </w:rPr>
          <w:t xml:space="preserve"> L 337, 23.12.2015, p. 35–127</w:t>
        </w:r>
      </w:hyperlink>
      <w:r w:rsidR="00260C50" w:rsidRPr="002D02DD">
        <w:rPr>
          <w:rFonts w:ascii="Times New Roman" w:eastAsia="Times New Roman" w:hAnsi="Times New Roman" w:cs="Times New Roman"/>
          <w:color w:val="000000"/>
          <w:sz w:val="19"/>
          <w:szCs w:val="19"/>
          <w:lang w:eastAsia="fr-FR"/>
        </w:rPr>
        <w:t>).</w:t>
      </w:r>
    </w:p>
    <w:p w14:paraId="25BF956E" w14:textId="77777777" w:rsidR="002D02DD" w:rsidRDefault="002D02DD" w:rsidP="00260C50">
      <w:pPr>
        <w:spacing w:before="60" w:after="60" w:line="240" w:lineRule="auto"/>
        <w:jc w:val="both"/>
        <w:rPr>
          <w:rFonts w:ascii="Times New Roman" w:eastAsia="Times New Roman" w:hAnsi="Times New Roman" w:cs="Times New Roman"/>
          <w:color w:val="000000"/>
          <w:sz w:val="19"/>
          <w:szCs w:val="19"/>
          <w:lang w:eastAsia="fr-FR"/>
        </w:rPr>
      </w:pPr>
    </w:p>
    <w:p w14:paraId="41D46DF5" w14:textId="77777777" w:rsidR="00260C50" w:rsidRPr="006C4E87" w:rsidRDefault="00DF49AB" w:rsidP="00260C50">
      <w:pPr>
        <w:spacing w:before="60" w:after="60" w:line="240" w:lineRule="auto"/>
        <w:jc w:val="both"/>
        <w:rPr>
          <w:rFonts w:ascii="Times New Roman" w:eastAsia="Times New Roman" w:hAnsi="Times New Roman" w:cs="Times New Roman"/>
          <w:color w:val="000000"/>
          <w:sz w:val="19"/>
          <w:szCs w:val="19"/>
          <w:lang w:eastAsia="fr-FR"/>
        </w:rPr>
      </w:pPr>
      <w:hyperlink r:id="rId9" w:anchor="ntc2-L_2014254FR.01000701-E0002" w:history="1">
        <w:r w:rsidR="00260C50" w:rsidRPr="002D02DD">
          <w:rPr>
            <w:rFonts w:ascii="Times New Roman" w:eastAsia="Times New Roman" w:hAnsi="Times New Roman" w:cs="Times New Roman"/>
            <w:color w:val="000000"/>
            <w:sz w:val="19"/>
            <w:szCs w:val="19"/>
            <w:lang w:eastAsia="fr-FR"/>
          </w:rPr>
          <w:t>(</w:t>
        </w:r>
        <w:r w:rsidR="002D02DD" w:rsidRPr="002D02DD">
          <w:rPr>
            <w:rFonts w:ascii="Times New Roman" w:eastAsia="Times New Roman" w:hAnsi="Times New Roman" w:cs="Times New Roman"/>
            <w:color w:val="000000"/>
            <w:sz w:val="19"/>
            <w:szCs w:val="19"/>
            <w:lang w:eastAsia="fr-FR"/>
          </w:rPr>
          <w:t>**</w:t>
        </w:r>
        <w:r w:rsidR="00260C50" w:rsidRPr="002D02DD">
          <w:rPr>
            <w:rFonts w:ascii="Times New Roman" w:eastAsia="Times New Roman" w:hAnsi="Times New Roman" w:cs="Times New Roman"/>
            <w:color w:val="000000"/>
            <w:sz w:val="19"/>
            <w:szCs w:val="19"/>
            <w:lang w:eastAsia="fr-FR"/>
          </w:rPr>
          <w:t>)</w:t>
        </w:r>
      </w:hyperlink>
      <w:r w:rsidR="00260C50" w:rsidRPr="002D02DD">
        <w:rPr>
          <w:rFonts w:ascii="Times New Roman" w:eastAsia="Times New Roman" w:hAnsi="Times New Roman" w:cs="Times New Roman"/>
          <w:color w:val="000000"/>
          <w:sz w:val="19"/>
          <w:szCs w:val="19"/>
          <w:lang w:eastAsia="fr-FR"/>
        </w:rPr>
        <w:t xml:space="preserve"> L'activité visée au point 4</w:t>
      </w:r>
      <w:r w:rsidR="002D02DD" w:rsidRPr="002D02DD">
        <w:rPr>
          <w:rFonts w:ascii="Times New Roman" w:eastAsia="Times New Roman" w:hAnsi="Times New Roman" w:cs="Times New Roman"/>
          <w:color w:val="000000"/>
          <w:sz w:val="19"/>
          <w:szCs w:val="19"/>
          <w:lang w:eastAsia="fr-FR"/>
        </w:rPr>
        <w:t>d</w:t>
      </w:r>
      <w:r w:rsidR="00260C50" w:rsidRPr="002D02DD">
        <w:rPr>
          <w:rFonts w:ascii="Times New Roman" w:eastAsia="Times New Roman" w:hAnsi="Times New Roman" w:cs="Times New Roman"/>
          <w:color w:val="000000"/>
          <w:sz w:val="19"/>
          <w:szCs w:val="19"/>
          <w:lang w:eastAsia="fr-FR"/>
        </w:rPr>
        <w:t xml:space="preserve"> inclut-elle l'octroi de crédit conformément aux conditions établies à l'article 1</w:t>
      </w:r>
      <w:r w:rsidR="002D02DD" w:rsidRPr="002D02DD">
        <w:rPr>
          <w:rFonts w:ascii="Times New Roman" w:eastAsia="Times New Roman" w:hAnsi="Times New Roman" w:cs="Times New Roman"/>
          <w:color w:val="000000"/>
          <w:sz w:val="19"/>
          <w:szCs w:val="19"/>
          <w:lang w:eastAsia="fr-FR"/>
        </w:rPr>
        <w:t>8, paragraphe 4</w:t>
      </w:r>
      <w:r w:rsidR="00260C50" w:rsidRPr="002D02DD">
        <w:rPr>
          <w:rFonts w:ascii="Times New Roman" w:eastAsia="Times New Roman" w:hAnsi="Times New Roman" w:cs="Times New Roman"/>
          <w:color w:val="000000"/>
          <w:sz w:val="19"/>
          <w:szCs w:val="19"/>
          <w:lang w:eastAsia="fr-FR"/>
        </w:rPr>
        <w:t>, de la di</w:t>
      </w:r>
      <w:r w:rsidR="00260C50" w:rsidRPr="006C4E87">
        <w:rPr>
          <w:rFonts w:ascii="Times New Roman" w:eastAsia="Times New Roman" w:hAnsi="Times New Roman" w:cs="Times New Roman"/>
          <w:color w:val="000000"/>
          <w:sz w:val="19"/>
          <w:szCs w:val="19"/>
          <w:lang w:eastAsia="fr-FR"/>
        </w:rPr>
        <w:t xml:space="preserve">rective </w:t>
      </w:r>
      <w:r w:rsidR="002D02DD" w:rsidRPr="002D02DD">
        <w:rPr>
          <w:rFonts w:ascii="Times New Roman" w:eastAsia="Times New Roman" w:hAnsi="Times New Roman" w:cs="Times New Roman"/>
          <w:color w:val="000000"/>
          <w:sz w:val="19"/>
          <w:szCs w:val="19"/>
          <w:lang w:eastAsia="fr-FR"/>
        </w:rPr>
        <w:t>2015/2366</w:t>
      </w:r>
      <w:r w:rsidR="00260C50" w:rsidRPr="006C4E87">
        <w:rPr>
          <w:rFonts w:ascii="Times New Roman" w:eastAsia="Times New Roman" w:hAnsi="Times New Roman" w:cs="Times New Roman"/>
          <w:color w:val="000000"/>
          <w:sz w:val="19"/>
          <w:szCs w:val="19"/>
          <w:lang w:eastAsia="fr-FR"/>
        </w:rPr>
        <w:t>/CE?</w:t>
      </w:r>
    </w:p>
    <w:p w14:paraId="0D8B3769" w14:textId="77777777" w:rsidR="00260C50" w:rsidRDefault="00260C50" w:rsidP="00260C50">
      <w:pPr>
        <w:spacing w:before="60" w:after="60" w:line="240" w:lineRule="auto"/>
        <w:jc w:val="both"/>
        <w:rPr>
          <w:rFonts w:ascii="Times New Roman" w:eastAsia="Times New Roman" w:hAnsi="Times New Roman" w:cs="Times New Roman"/>
          <w:color w:val="000000"/>
          <w:sz w:val="19"/>
          <w:szCs w:val="19"/>
          <w:lang w:eastAsia="fr-FR"/>
        </w:rPr>
      </w:pPr>
      <w:r w:rsidRPr="002D02DD">
        <w:rPr>
          <w:rFonts w:ascii="Segoe UI Symbol" w:eastAsia="Times New Roman" w:hAnsi="Segoe UI Symbol" w:cs="Segoe UI Symbol"/>
          <w:color w:val="000000"/>
          <w:sz w:val="19"/>
          <w:szCs w:val="19"/>
          <w:lang w:eastAsia="fr-FR"/>
        </w:rPr>
        <w:t>☐</w:t>
      </w:r>
      <w:r w:rsidRPr="006C4E87">
        <w:rPr>
          <w:rFonts w:ascii="Times New Roman" w:eastAsia="Times New Roman" w:hAnsi="Times New Roman" w:cs="Times New Roman"/>
          <w:color w:val="000000"/>
          <w:sz w:val="19"/>
          <w:szCs w:val="19"/>
          <w:lang w:eastAsia="fr-FR"/>
        </w:rPr>
        <w:t xml:space="preserve"> oui </w:t>
      </w:r>
      <w:r w:rsidRPr="002D02DD">
        <w:rPr>
          <w:rFonts w:ascii="Segoe UI Symbol" w:eastAsia="Times New Roman" w:hAnsi="Segoe UI Symbol" w:cs="Segoe UI Symbol"/>
          <w:color w:val="000000"/>
          <w:sz w:val="19"/>
          <w:szCs w:val="19"/>
          <w:lang w:eastAsia="fr-FR"/>
        </w:rPr>
        <w:t>☐</w:t>
      </w:r>
      <w:r w:rsidRPr="006C4E87">
        <w:rPr>
          <w:rFonts w:ascii="Times New Roman" w:eastAsia="Times New Roman" w:hAnsi="Times New Roman" w:cs="Times New Roman"/>
          <w:color w:val="000000"/>
          <w:sz w:val="19"/>
          <w:szCs w:val="19"/>
          <w:lang w:eastAsia="fr-FR"/>
        </w:rPr>
        <w:t xml:space="preserve"> non</w:t>
      </w:r>
    </w:p>
    <w:p w14:paraId="30D95DBC" w14:textId="77777777" w:rsidR="002D02DD" w:rsidRPr="006C4E87" w:rsidRDefault="002D02DD" w:rsidP="00260C50">
      <w:pPr>
        <w:spacing w:before="60" w:after="60" w:line="240" w:lineRule="auto"/>
        <w:jc w:val="both"/>
        <w:rPr>
          <w:rFonts w:ascii="Times New Roman" w:eastAsia="Times New Roman" w:hAnsi="Times New Roman" w:cs="Times New Roman"/>
          <w:color w:val="000000"/>
          <w:sz w:val="19"/>
          <w:szCs w:val="19"/>
          <w:lang w:eastAsia="fr-FR"/>
        </w:rPr>
      </w:pPr>
    </w:p>
    <w:p w14:paraId="1DEDBDAE" w14:textId="77777777" w:rsidR="002D02DD" w:rsidRDefault="00DF49AB" w:rsidP="002D02DD">
      <w:pPr>
        <w:spacing w:before="60" w:after="60" w:line="240" w:lineRule="auto"/>
        <w:jc w:val="both"/>
        <w:rPr>
          <w:rFonts w:ascii="Times New Roman" w:eastAsia="Times New Roman" w:hAnsi="Times New Roman" w:cs="Times New Roman"/>
          <w:color w:val="000000"/>
          <w:sz w:val="19"/>
          <w:szCs w:val="19"/>
          <w:lang w:eastAsia="fr-FR"/>
        </w:rPr>
      </w:pPr>
      <w:hyperlink r:id="rId10" w:anchor="ntc3-L_2014254FR.01000701-E0003" w:history="1">
        <w:r w:rsidR="00260C50" w:rsidRPr="002D02DD">
          <w:rPr>
            <w:rFonts w:ascii="Times New Roman" w:eastAsia="Times New Roman" w:hAnsi="Times New Roman" w:cs="Times New Roman"/>
            <w:color w:val="000000"/>
            <w:sz w:val="19"/>
            <w:szCs w:val="19"/>
            <w:lang w:eastAsia="fr-FR"/>
          </w:rPr>
          <w:t>(</w:t>
        </w:r>
        <w:r w:rsidR="002D02DD" w:rsidRPr="002D02DD">
          <w:rPr>
            <w:rFonts w:ascii="Times New Roman" w:eastAsia="Times New Roman" w:hAnsi="Times New Roman" w:cs="Times New Roman"/>
            <w:color w:val="000000"/>
            <w:sz w:val="19"/>
            <w:szCs w:val="19"/>
            <w:lang w:eastAsia="fr-FR"/>
          </w:rPr>
          <w:t>***</w:t>
        </w:r>
        <w:r w:rsidR="00260C50" w:rsidRPr="002D02DD">
          <w:rPr>
            <w:rFonts w:ascii="Times New Roman" w:eastAsia="Times New Roman" w:hAnsi="Times New Roman" w:cs="Times New Roman"/>
            <w:color w:val="000000"/>
            <w:sz w:val="19"/>
            <w:szCs w:val="19"/>
            <w:lang w:eastAsia="fr-FR"/>
          </w:rPr>
          <w:t>)</w:t>
        </w:r>
      </w:hyperlink>
      <w:r w:rsidR="00260C50" w:rsidRPr="006C4E87">
        <w:rPr>
          <w:rFonts w:ascii="Times New Roman" w:eastAsia="Times New Roman" w:hAnsi="Times New Roman" w:cs="Times New Roman"/>
          <w:color w:val="000000"/>
          <w:sz w:val="19"/>
          <w:szCs w:val="19"/>
          <w:lang w:eastAsia="fr-FR"/>
        </w:rPr>
        <w:t xml:space="preserve"> </w:t>
      </w:r>
      <w:r w:rsidR="002D02DD" w:rsidRPr="002D02DD">
        <w:rPr>
          <w:rFonts w:ascii="Times New Roman" w:eastAsia="Times New Roman" w:hAnsi="Times New Roman" w:cs="Times New Roman"/>
          <w:color w:val="000000"/>
          <w:sz w:val="19"/>
          <w:szCs w:val="19"/>
          <w:lang w:eastAsia="fr-FR"/>
        </w:rPr>
        <w:t>L'activité visée au point 4e inclut-elle l'octroi de crédit conformément aux conditions établies à l'article 18, paragraphe 4, de la di</w:t>
      </w:r>
      <w:r w:rsidR="002D02DD" w:rsidRPr="006C4E87">
        <w:rPr>
          <w:rFonts w:ascii="Times New Roman" w:eastAsia="Times New Roman" w:hAnsi="Times New Roman" w:cs="Times New Roman"/>
          <w:color w:val="000000"/>
          <w:sz w:val="19"/>
          <w:szCs w:val="19"/>
          <w:lang w:eastAsia="fr-FR"/>
        </w:rPr>
        <w:t xml:space="preserve">rective </w:t>
      </w:r>
      <w:r w:rsidR="002D02DD" w:rsidRPr="002D02DD">
        <w:rPr>
          <w:rFonts w:ascii="Times New Roman" w:eastAsia="Times New Roman" w:hAnsi="Times New Roman" w:cs="Times New Roman"/>
          <w:color w:val="000000"/>
          <w:sz w:val="19"/>
          <w:szCs w:val="19"/>
          <w:lang w:eastAsia="fr-FR"/>
        </w:rPr>
        <w:t>2015/2366</w:t>
      </w:r>
      <w:r w:rsidR="002D02DD" w:rsidRPr="006C4E87">
        <w:rPr>
          <w:rFonts w:ascii="Times New Roman" w:eastAsia="Times New Roman" w:hAnsi="Times New Roman" w:cs="Times New Roman"/>
          <w:color w:val="000000"/>
          <w:sz w:val="19"/>
          <w:szCs w:val="19"/>
          <w:lang w:eastAsia="fr-FR"/>
        </w:rPr>
        <w:t>/CE?</w:t>
      </w:r>
    </w:p>
    <w:p w14:paraId="44928185" w14:textId="77777777" w:rsidR="002D02DD" w:rsidRPr="006C4E87" w:rsidRDefault="002D02DD" w:rsidP="002D02DD">
      <w:pPr>
        <w:spacing w:before="60" w:after="60" w:line="240" w:lineRule="auto"/>
        <w:jc w:val="both"/>
        <w:rPr>
          <w:rFonts w:ascii="Times New Roman" w:eastAsia="Times New Roman" w:hAnsi="Times New Roman" w:cs="Times New Roman"/>
          <w:color w:val="000000"/>
          <w:sz w:val="19"/>
          <w:szCs w:val="19"/>
          <w:lang w:eastAsia="fr-FR"/>
        </w:rPr>
      </w:pPr>
      <w:r w:rsidRPr="002D02DD">
        <w:rPr>
          <w:rFonts w:ascii="Segoe UI Symbol" w:eastAsia="Times New Roman" w:hAnsi="Segoe UI Symbol" w:cs="Segoe UI Symbol"/>
          <w:color w:val="000000"/>
          <w:sz w:val="19"/>
          <w:szCs w:val="19"/>
          <w:lang w:eastAsia="fr-FR"/>
        </w:rPr>
        <w:t>☐</w:t>
      </w:r>
      <w:r w:rsidRPr="006C4E87">
        <w:rPr>
          <w:rFonts w:ascii="Times New Roman" w:eastAsia="Times New Roman" w:hAnsi="Times New Roman" w:cs="Times New Roman"/>
          <w:color w:val="000000"/>
          <w:sz w:val="19"/>
          <w:szCs w:val="19"/>
          <w:lang w:eastAsia="fr-FR"/>
        </w:rPr>
        <w:t xml:space="preserve"> oui </w:t>
      </w:r>
      <w:r w:rsidRPr="002D02DD">
        <w:rPr>
          <w:rFonts w:ascii="Segoe UI Symbol" w:eastAsia="Times New Roman" w:hAnsi="Segoe UI Symbol" w:cs="Segoe UI Symbol"/>
          <w:color w:val="000000"/>
          <w:sz w:val="19"/>
          <w:szCs w:val="19"/>
          <w:lang w:eastAsia="fr-FR"/>
        </w:rPr>
        <w:t>☐</w:t>
      </w:r>
      <w:r w:rsidRPr="006C4E87">
        <w:rPr>
          <w:rFonts w:ascii="Times New Roman" w:eastAsia="Times New Roman" w:hAnsi="Times New Roman" w:cs="Times New Roman"/>
          <w:color w:val="000000"/>
          <w:sz w:val="19"/>
          <w:szCs w:val="19"/>
          <w:lang w:eastAsia="fr-FR"/>
        </w:rPr>
        <w:t xml:space="preserve"> non</w:t>
      </w:r>
    </w:p>
    <w:p w14:paraId="437FA5D4" w14:textId="77777777" w:rsidR="002D02DD" w:rsidRPr="006C4E87" w:rsidRDefault="002D02DD" w:rsidP="002D02DD">
      <w:pPr>
        <w:spacing w:before="60" w:after="60" w:line="240" w:lineRule="auto"/>
        <w:jc w:val="both"/>
        <w:rPr>
          <w:rFonts w:ascii="Times New Roman" w:eastAsia="Times New Roman" w:hAnsi="Times New Roman" w:cs="Times New Roman"/>
          <w:color w:val="000000"/>
          <w:sz w:val="19"/>
          <w:szCs w:val="19"/>
          <w:lang w:eastAsia="fr-FR"/>
        </w:rPr>
      </w:pPr>
    </w:p>
    <w:p w14:paraId="7E598734" w14:textId="7482BDBC" w:rsidR="00260C50" w:rsidRDefault="00260C50" w:rsidP="006C4E87">
      <w:pPr>
        <w:spacing w:before="120" w:after="0" w:line="240" w:lineRule="auto"/>
        <w:jc w:val="both"/>
        <w:rPr>
          <w:rFonts w:ascii="Times New Roman" w:eastAsia="Times New Roman" w:hAnsi="Times New Roman" w:cs="Times New Roman"/>
          <w:color w:val="000000"/>
          <w:sz w:val="24"/>
          <w:szCs w:val="24"/>
          <w:lang w:eastAsia="fr-FR"/>
        </w:rPr>
      </w:pPr>
    </w:p>
    <w:p w14:paraId="4BA4CEC0" w14:textId="4EE8728C" w:rsidR="00CB0EBD" w:rsidRDefault="006C4E87" w:rsidP="000156C3">
      <w:pPr>
        <w:pStyle w:val="Commentaire"/>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2.1.4. Liste des services et activités que l'établissement de crédit entend assurer dans l'État membre d'accueil et qui sont prévus aux sections A et B de l'annexe I de la directive 20</w:t>
      </w:r>
      <w:r w:rsidR="000156C3">
        <w:rPr>
          <w:rFonts w:ascii="Times New Roman" w:eastAsia="Times New Roman" w:hAnsi="Times New Roman" w:cs="Times New Roman"/>
          <w:color w:val="000000"/>
          <w:sz w:val="24"/>
          <w:szCs w:val="24"/>
          <w:lang w:eastAsia="fr-FR"/>
        </w:rPr>
        <w:t>14/65/UE</w:t>
      </w:r>
      <w:r w:rsidRPr="006C4E87">
        <w:rPr>
          <w:rFonts w:ascii="Times New Roman" w:eastAsia="Times New Roman" w:hAnsi="Times New Roman" w:cs="Times New Roman"/>
          <w:color w:val="000000"/>
          <w:sz w:val="24"/>
          <w:szCs w:val="24"/>
          <w:lang w:eastAsia="fr-FR"/>
        </w:rPr>
        <w:t xml:space="preserve"> du Parlement européen et du Conseil</w:t>
      </w:r>
      <w:r w:rsidR="000156C3">
        <w:rPr>
          <w:rFonts w:ascii="Times New Roman" w:eastAsia="Times New Roman" w:hAnsi="Times New Roman" w:cs="Times New Roman"/>
          <w:color w:val="000000"/>
          <w:sz w:val="24"/>
          <w:szCs w:val="24"/>
          <w:lang w:eastAsia="fr-FR"/>
        </w:rPr>
        <w:t xml:space="preserve"> </w:t>
      </w:r>
      <w:r w:rsidR="000156C3" w:rsidRPr="000156C3">
        <w:rPr>
          <w:rFonts w:ascii="Times New Roman" w:eastAsia="Times New Roman" w:hAnsi="Times New Roman" w:cs="Times New Roman"/>
          <w:color w:val="000000"/>
          <w:sz w:val="24"/>
          <w:szCs w:val="24"/>
          <w:lang w:eastAsia="fr-FR"/>
        </w:rPr>
        <w:t>du 15 mai 2014 concernant les marchés d'instruments financiers et modifiant la directive 2002/92/CE et la directive 2011/61/UE (</w:t>
      </w:r>
      <w:r w:rsidR="000156C3">
        <w:rPr>
          <w:rFonts w:ascii="Times New Roman" w:eastAsia="Times New Roman" w:hAnsi="Times New Roman" w:cs="Times New Roman"/>
          <w:color w:val="000000"/>
          <w:sz w:val="24"/>
          <w:szCs w:val="24"/>
          <w:lang w:eastAsia="fr-FR"/>
        </w:rPr>
        <w:t>JO L 243 du 12.6.2014, p. 349 )</w:t>
      </w:r>
      <w:r w:rsidR="000156C3">
        <w:rPr>
          <w:sz w:val="22"/>
          <w:szCs w:val="22"/>
        </w:rPr>
        <w:t>,</w:t>
      </w:r>
      <w:r w:rsidRPr="006C4E87">
        <w:rPr>
          <w:rFonts w:ascii="Times New Roman" w:eastAsia="Times New Roman" w:hAnsi="Times New Roman" w:cs="Times New Roman"/>
          <w:color w:val="000000"/>
          <w:sz w:val="24"/>
          <w:szCs w:val="24"/>
          <w:lang w:eastAsia="fr-FR"/>
        </w:rPr>
        <w:t xml:space="preserve"> lorsqu'ils renvoient aux instruments financiers visés à la section C de l'annexe I de ladite directive.</w:t>
      </w:r>
    </w:p>
    <w:tbl>
      <w:tblPr>
        <w:tblStyle w:val="TableNormal"/>
        <w:tblW w:w="99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456"/>
        <w:gridCol w:w="458"/>
        <w:gridCol w:w="457"/>
        <w:gridCol w:w="458"/>
        <w:gridCol w:w="458"/>
        <w:gridCol w:w="457"/>
        <w:gridCol w:w="453"/>
        <w:gridCol w:w="459"/>
        <w:gridCol w:w="443"/>
        <w:gridCol w:w="576"/>
        <w:gridCol w:w="560"/>
        <w:gridCol w:w="561"/>
        <w:gridCol w:w="560"/>
        <w:gridCol w:w="560"/>
        <w:gridCol w:w="561"/>
        <w:gridCol w:w="560"/>
      </w:tblGrid>
      <w:tr w:rsidR="000156C3" w14:paraId="7FCC0E3E" w14:textId="77777777" w:rsidTr="00A75C61">
        <w:trPr>
          <w:trHeight w:val="1095"/>
        </w:trPr>
        <w:tc>
          <w:tcPr>
            <w:tcW w:w="1942" w:type="dxa"/>
          </w:tcPr>
          <w:p w14:paraId="594B8D89" w14:textId="77777777" w:rsidR="000156C3" w:rsidRDefault="000156C3" w:rsidP="00A75C61">
            <w:pPr>
              <w:pStyle w:val="TableParagraph"/>
              <w:spacing w:before="119" w:line="350" w:lineRule="auto"/>
              <w:ind w:left="451" w:firstLine="110"/>
            </w:pPr>
            <w:r>
              <w:rPr>
                <w:w w:val="90"/>
              </w:rPr>
              <w:t xml:space="preserve">Financial </w:t>
            </w:r>
            <w:r>
              <w:rPr>
                <w:w w:val="75"/>
              </w:rPr>
              <w:t>Instruments</w:t>
            </w:r>
          </w:p>
        </w:tc>
        <w:tc>
          <w:tcPr>
            <w:tcW w:w="4099" w:type="dxa"/>
            <w:gridSpan w:val="9"/>
          </w:tcPr>
          <w:p w14:paraId="428195E3" w14:textId="77777777" w:rsidR="000156C3" w:rsidRDefault="000156C3" w:rsidP="00A75C61">
            <w:pPr>
              <w:pStyle w:val="TableParagraph"/>
              <w:spacing w:before="119"/>
              <w:ind w:left="568"/>
            </w:pPr>
            <w:r>
              <w:rPr>
                <w:w w:val="90"/>
              </w:rPr>
              <w:t>Investment services and activities</w:t>
            </w:r>
          </w:p>
        </w:tc>
        <w:tc>
          <w:tcPr>
            <w:tcW w:w="3938" w:type="dxa"/>
            <w:gridSpan w:val="7"/>
          </w:tcPr>
          <w:p w14:paraId="00600C7F" w14:textId="77777777" w:rsidR="000156C3" w:rsidRDefault="000156C3" w:rsidP="00A75C61">
            <w:pPr>
              <w:pStyle w:val="TableParagraph"/>
              <w:spacing w:before="119"/>
              <w:ind w:left="1179"/>
            </w:pPr>
            <w:r>
              <w:rPr>
                <w:w w:val="95"/>
              </w:rPr>
              <w:t>Ancillary services</w:t>
            </w:r>
          </w:p>
        </w:tc>
      </w:tr>
      <w:tr w:rsidR="000156C3" w14:paraId="13F94600" w14:textId="77777777" w:rsidTr="00A75C61">
        <w:trPr>
          <w:trHeight w:val="806"/>
        </w:trPr>
        <w:tc>
          <w:tcPr>
            <w:tcW w:w="1942" w:type="dxa"/>
          </w:tcPr>
          <w:p w14:paraId="524B63E0" w14:textId="77777777" w:rsidR="000156C3" w:rsidRDefault="000156C3" w:rsidP="00A75C61">
            <w:pPr>
              <w:pStyle w:val="TableParagraph"/>
              <w:rPr>
                <w:rFonts w:ascii="DejaVu Serif"/>
                <w:sz w:val="20"/>
              </w:rPr>
            </w:pPr>
          </w:p>
        </w:tc>
        <w:tc>
          <w:tcPr>
            <w:tcW w:w="456" w:type="dxa"/>
          </w:tcPr>
          <w:p w14:paraId="31435A46" w14:textId="77777777" w:rsidR="000156C3" w:rsidRDefault="000156C3" w:rsidP="00A75C61">
            <w:pPr>
              <w:pStyle w:val="TableParagraph"/>
              <w:spacing w:before="120"/>
              <w:ind w:left="39"/>
            </w:pPr>
            <w:r>
              <w:t>A 1</w:t>
            </w:r>
          </w:p>
        </w:tc>
        <w:tc>
          <w:tcPr>
            <w:tcW w:w="458" w:type="dxa"/>
          </w:tcPr>
          <w:p w14:paraId="7FEAF75B" w14:textId="77777777" w:rsidR="000156C3" w:rsidRDefault="000156C3" w:rsidP="00A75C61">
            <w:pPr>
              <w:pStyle w:val="TableParagraph"/>
              <w:spacing w:before="120"/>
              <w:ind w:left="39"/>
            </w:pPr>
            <w:r>
              <w:t>A 2</w:t>
            </w:r>
          </w:p>
        </w:tc>
        <w:tc>
          <w:tcPr>
            <w:tcW w:w="457" w:type="dxa"/>
          </w:tcPr>
          <w:p w14:paraId="74206CA5" w14:textId="77777777" w:rsidR="000156C3" w:rsidRDefault="000156C3" w:rsidP="00A75C61">
            <w:pPr>
              <w:pStyle w:val="TableParagraph"/>
              <w:spacing w:before="120"/>
              <w:ind w:left="39"/>
            </w:pPr>
            <w:r>
              <w:t>A 3</w:t>
            </w:r>
          </w:p>
        </w:tc>
        <w:tc>
          <w:tcPr>
            <w:tcW w:w="458" w:type="dxa"/>
          </w:tcPr>
          <w:p w14:paraId="1AF4E942" w14:textId="77777777" w:rsidR="000156C3" w:rsidRDefault="000156C3" w:rsidP="00A75C61">
            <w:pPr>
              <w:pStyle w:val="TableParagraph"/>
              <w:spacing w:before="120"/>
              <w:ind w:left="40"/>
            </w:pPr>
            <w:r>
              <w:t>A 4</w:t>
            </w:r>
          </w:p>
        </w:tc>
        <w:tc>
          <w:tcPr>
            <w:tcW w:w="458" w:type="dxa"/>
          </w:tcPr>
          <w:p w14:paraId="40A5516F" w14:textId="77777777" w:rsidR="000156C3" w:rsidRDefault="000156C3" w:rsidP="00A75C61">
            <w:pPr>
              <w:pStyle w:val="TableParagraph"/>
              <w:spacing w:before="120"/>
              <w:ind w:left="40"/>
            </w:pPr>
            <w:r>
              <w:t>A 5</w:t>
            </w:r>
          </w:p>
        </w:tc>
        <w:tc>
          <w:tcPr>
            <w:tcW w:w="457" w:type="dxa"/>
          </w:tcPr>
          <w:p w14:paraId="2131DB9A" w14:textId="77777777" w:rsidR="000156C3" w:rsidRDefault="000156C3" w:rsidP="00A75C61">
            <w:pPr>
              <w:pStyle w:val="TableParagraph"/>
              <w:spacing w:before="120"/>
              <w:ind w:left="40"/>
            </w:pPr>
            <w:r>
              <w:t>A 6</w:t>
            </w:r>
          </w:p>
        </w:tc>
        <w:tc>
          <w:tcPr>
            <w:tcW w:w="453" w:type="dxa"/>
          </w:tcPr>
          <w:p w14:paraId="10C27957" w14:textId="77777777" w:rsidR="000156C3" w:rsidRDefault="000156C3" w:rsidP="00A75C61">
            <w:pPr>
              <w:pStyle w:val="TableParagraph"/>
              <w:spacing w:before="120"/>
              <w:ind w:left="40"/>
            </w:pPr>
            <w:r>
              <w:t>A 7</w:t>
            </w:r>
          </w:p>
        </w:tc>
        <w:tc>
          <w:tcPr>
            <w:tcW w:w="459" w:type="dxa"/>
          </w:tcPr>
          <w:p w14:paraId="0FB5C2A5" w14:textId="77777777" w:rsidR="000156C3" w:rsidRDefault="000156C3" w:rsidP="00A75C61">
            <w:pPr>
              <w:pStyle w:val="TableParagraph"/>
              <w:spacing w:before="120"/>
              <w:ind w:left="41"/>
            </w:pPr>
            <w:r>
              <w:t>A 8</w:t>
            </w:r>
          </w:p>
        </w:tc>
        <w:tc>
          <w:tcPr>
            <w:tcW w:w="443" w:type="dxa"/>
          </w:tcPr>
          <w:p w14:paraId="4AF8E4B8" w14:textId="77777777" w:rsidR="000156C3" w:rsidRDefault="000156C3" w:rsidP="00A75C61">
            <w:pPr>
              <w:pStyle w:val="TableParagraph"/>
              <w:spacing w:before="120"/>
              <w:ind w:left="41"/>
            </w:pPr>
            <w:r>
              <w:t>A9</w:t>
            </w:r>
          </w:p>
        </w:tc>
        <w:tc>
          <w:tcPr>
            <w:tcW w:w="576" w:type="dxa"/>
          </w:tcPr>
          <w:p w14:paraId="496B4A33" w14:textId="77777777" w:rsidR="000156C3" w:rsidRDefault="000156C3" w:rsidP="00A75C61">
            <w:pPr>
              <w:pStyle w:val="TableParagraph"/>
              <w:spacing w:before="120"/>
              <w:ind w:left="42"/>
            </w:pPr>
            <w:r>
              <w:t>B 1</w:t>
            </w:r>
          </w:p>
        </w:tc>
        <w:tc>
          <w:tcPr>
            <w:tcW w:w="560" w:type="dxa"/>
          </w:tcPr>
          <w:p w14:paraId="340A5AD3" w14:textId="77777777" w:rsidR="000156C3" w:rsidRDefault="000156C3" w:rsidP="00A75C61">
            <w:pPr>
              <w:pStyle w:val="TableParagraph"/>
              <w:spacing w:before="120"/>
              <w:ind w:left="44"/>
            </w:pPr>
            <w:r>
              <w:t>B 2</w:t>
            </w:r>
          </w:p>
        </w:tc>
        <w:tc>
          <w:tcPr>
            <w:tcW w:w="561" w:type="dxa"/>
          </w:tcPr>
          <w:p w14:paraId="0C4B1165" w14:textId="77777777" w:rsidR="000156C3" w:rsidRDefault="000156C3" w:rsidP="00A75C61">
            <w:pPr>
              <w:pStyle w:val="TableParagraph"/>
              <w:spacing w:before="120"/>
              <w:ind w:left="46"/>
            </w:pPr>
            <w:r>
              <w:t>B 3</w:t>
            </w:r>
          </w:p>
        </w:tc>
        <w:tc>
          <w:tcPr>
            <w:tcW w:w="560" w:type="dxa"/>
          </w:tcPr>
          <w:p w14:paraId="36E700C5" w14:textId="77777777" w:rsidR="000156C3" w:rsidRDefault="000156C3" w:rsidP="00A75C61">
            <w:pPr>
              <w:pStyle w:val="TableParagraph"/>
              <w:spacing w:before="120"/>
              <w:ind w:left="47"/>
            </w:pPr>
            <w:r>
              <w:t>B 4</w:t>
            </w:r>
          </w:p>
        </w:tc>
        <w:tc>
          <w:tcPr>
            <w:tcW w:w="560" w:type="dxa"/>
          </w:tcPr>
          <w:p w14:paraId="57155E6E" w14:textId="77777777" w:rsidR="000156C3" w:rsidRDefault="000156C3" w:rsidP="00A75C61">
            <w:pPr>
              <w:pStyle w:val="TableParagraph"/>
              <w:spacing w:before="120"/>
              <w:ind w:left="49"/>
            </w:pPr>
            <w:r>
              <w:t>B 5</w:t>
            </w:r>
          </w:p>
        </w:tc>
        <w:tc>
          <w:tcPr>
            <w:tcW w:w="561" w:type="dxa"/>
          </w:tcPr>
          <w:p w14:paraId="69D48C22" w14:textId="77777777" w:rsidR="000156C3" w:rsidRDefault="000156C3" w:rsidP="00A75C61">
            <w:pPr>
              <w:pStyle w:val="TableParagraph"/>
              <w:spacing w:before="120"/>
              <w:ind w:left="51"/>
            </w:pPr>
            <w:r>
              <w:t>B 6</w:t>
            </w:r>
          </w:p>
        </w:tc>
        <w:tc>
          <w:tcPr>
            <w:tcW w:w="560" w:type="dxa"/>
          </w:tcPr>
          <w:p w14:paraId="1A10DCF4" w14:textId="77777777" w:rsidR="000156C3" w:rsidRDefault="000156C3" w:rsidP="00A75C61">
            <w:pPr>
              <w:pStyle w:val="TableParagraph"/>
              <w:spacing w:before="120"/>
              <w:ind w:left="52"/>
            </w:pPr>
            <w:r>
              <w:t>B 7</w:t>
            </w:r>
          </w:p>
        </w:tc>
      </w:tr>
      <w:tr w:rsidR="000156C3" w14:paraId="07388C6F" w14:textId="77777777" w:rsidTr="00A75C61">
        <w:trPr>
          <w:trHeight w:val="528"/>
        </w:trPr>
        <w:tc>
          <w:tcPr>
            <w:tcW w:w="1942" w:type="dxa"/>
          </w:tcPr>
          <w:p w14:paraId="5CFF1ACE" w14:textId="77777777" w:rsidR="000156C3" w:rsidRDefault="000156C3" w:rsidP="00A75C61">
            <w:pPr>
              <w:pStyle w:val="TableParagraph"/>
              <w:spacing w:before="120"/>
              <w:ind w:left="39"/>
            </w:pPr>
            <w:r>
              <w:rPr>
                <w:w w:val="95"/>
              </w:rPr>
              <w:t>C1</w:t>
            </w:r>
          </w:p>
        </w:tc>
        <w:tc>
          <w:tcPr>
            <w:tcW w:w="456" w:type="dxa"/>
          </w:tcPr>
          <w:p w14:paraId="41B44281" w14:textId="77777777" w:rsidR="000156C3" w:rsidRDefault="000156C3" w:rsidP="00A75C61">
            <w:pPr>
              <w:pStyle w:val="TableParagraph"/>
              <w:rPr>
                <w:rFonts w:ascii="DejaVu Serif"/>
                <w:sz w:val="20"/>
              </w:rPr>
            </w:pPr>
          </w:p>
        </w:tc>
        <w:tc>
          <w:tcPr>
            <w:tcW w:w="458" w:type="dxa"/>
          </w:tcPr>
          <w:p w14:paraId="3B681765" w14:textId="77777777" w:rsidR="000156C3" w:rsidRDefault="000156C3" w:rsidP="00A75C61">
            <w:pPr>
              <w:pStyle w:val="TableParagraph"/>
              <w:rPr>
                <w:rFonts w:ascii="DejaVu Serif"/>
                <w:sz w:val="20"/>
              </w:rPr>
            </w:pPr>
          </w:p>
        </w:tc>
        <w:tc>
          <w:tcPr>
            <w:tcW w:w="457" w:type="dxa"/>
          </w:tcPr>
          <w:p w14:paraId="235650F0" w14:textId="77777777" w:rsidR="000156C3" w:rsidRDefault="000156C3" w:rsidP="00A75C61">
            <w:pPr>
              <w:pStyle w:val="TableParagraph"/>
              <w:rPr>
                <w:rFonts w:ascii="DejaVu Serif"/>
                <w:sz w:val="20"/>
              </w:rPr>
            </w:pPr>
          </w:p>
        </w:tc>
        <w:tc>
          <w:tcPr>
            <w:tcW w:w="458" w:type="dxa"/>
          </w:tcPr>
          <w:p w14:paraId="416BD976" w14:textId="77777777" w:rsidR="000156C3" w:rsidRDefault="000156C3" w:rsidP="00A75C61">
            <w:pPr>
              <w:pStyle w:val="TableParagraph"/>
              <w:rPr>
                <w:rFonts w:ascii="DejaVu Serif"/>
                <w:sz w:val="20"/>
              </w:rPr>
            </w:pPr>
          </w:p>
        </w:tc>
        <w:tc>
          <w:tcPr>
            <w:tcW w:w="458" w:type="dxa"/>
          </w:tcPr>
          <w:p w14:paraId="61824846" w14:textId="77777777" w:rsidR="000156C3" w:rsidRDefault="000156C3" w:rsidP="00A75C61">
            <w:pPr>
              <w:pStyle w:val="TableParagraph"/>
              <w:rPr>
                <w:rFonts w:ascii="DejaVu Serif"/>
                <w:sz w:val="20"/>
              </w:rPr>
            </w:pPr>
          </w:p>
        </w:tc>
        <w:tc>
          <w:tcPr>
            <w:tcW w:w="457" w:type="dxa"/>
          </w:tcPr>
          <w:p w14:paraId="5E1B9F69" w14:textId="77777777" w:rsidR="000156C3" w:rsidRDefault="000156C3" w:rsidP="00A75C61">
            <w:pPr>
              <w:pStyle w:val="TableParagraph"/>
              <w:rPr>
                <w:rFonts w:ascii="DejaVu Serif"/>
                <w:sz w:val="20"/>
              </w:rPr>
            </w:pPr>
          </w:p>
        </w:tc>
        <w:tc>
          <w:tcPr>
            <w:tcW w:w="453" w:type="dxa"/>
          </w:tcPr>
          <w:p w14:paraId="64BF7441" w14:textId="77777777" w:rsidR="000156C3" w:rsidRDefault="000156C3" w:rsidP="00A75C61">
            <w:pPr>
              <w:pStyle w:val="TableParagraph"/>
              <w:rPr>
                <w:rFonts w:ascii="DejaVu Serif"/>
                <w:sz w:val="20"/>
              </w:rPr>
            </w:pPr>
          </w:p>
        </w:tc>
        <w:tc>
          <w:tcPr>
            <w:tcW w:w="459" w:type="dxa"/>
          </w:tcPr>
          <w:p w14:paraId="1FDBDE25" w14:textId="77777777" w:rsidR="000156C3" w:rsidRDefault="000156C3" w:rsidP="00A75C61">
            <w:pPr>
              <w:pStyle w:val="TableParagraph"/>
              <w:rPr>
                <w:rFonts w:ascii="DejaVu Serif"/>
                <w:sz w:val="20"/>
              </w:rPr>
            </w:pPr>
          </w:p>
        </w:tc>
        <w:tc>
          <w:tcPr>
            <w:tcW w:w="443" w:type="dxa"/>
          </w:tcPr>
          <w:p w14:paraId="50E606EF" w14:textId="77777777" w:rsidR="000156C3" w:rsidRDefault="000156C3" w:rsidP="00A75C61">
            <w:pPr>
              <w:pStyle w:val="TableParagraph"/>
              <w:rPr>
                <w:rFonts w:ascii="DejaVu Serif"/>
                <w:sz w:val="20"/>
              </w:rPr>
            </w:pPr>
          </w:p>
        </w:tc>
        <w:tc>
          <w:tcPr>
            <w:tcW w:w="576" w:type="dxa"/>
          </w:tcPr>
          <w:p w14:paraId="23A4E255" w14:textId="77777777" w:rsidR="000156C3" w:rsidRDefault="000156C3" w:rsidP="00A75C61">
            <w:pPr>
              <w:pStyle w:val="TableParagraph"/>
              <w:rPr>
                <w:rFonts w:ascii="DejaVu Serif"/>
                <w:sz w:val="20"/>
              </w:rPr>
            </w:pPr>
          </w:p>
        </w:tc>
        <w:tc>
          <w:tcPr>
            <w:tcW w:w="560" w:type="dxa"/>
          </w:tcPr>
          <w:p w14:paraId="078B92C0" w14:textId="77777777" w:rsidR="000156C3" w:rsidRDefault="000156C3" w:rsidP="00A75C61">
            <w:pPr>
              <w:pStyle w:val="TableParagraph"/>
              <w:rPr>
                <w:rFonts w:ascii="DejaVu Serif"/>
                <w:sz w:val="20"/>
              </w:rPr>
            </w:pPr>
          </w:p>
        </w:tc>
        <w:tc>
          <w:tcPr>
            <w:tcW w:w="561" w:type="dxa"/>
          </w:tcPr>
          <w:p w14:paraId="10898840" w14:textId="77777777" w:rsidR="000156C3" w:rsidRDefault="000156C3" w:rsidP="00A75C61">
            <w:pPr>
              <w:pStyle w:val="TableParagraph"/>
              <w:rPr>
                <w:rFonts w:ascii="DejaVu Serif"/>
                <w:sz w:val="20"/>
              </w:rPr>
            </w:pPr>
          </w:p>
        </w:tc>
        <w:tc>
          <w:tcPr>
            <w:tcW w:w="560" w:type="dxa"/>
          </w:tcPr>
          <w:p w14:paraId="073CB115" w14:textId="77777777" w:rsidR="000156C3" w:rsidRDefault="000156C3" w:rsidP="00A75C61">
            <w:pPr>
              <w:pStyle w:val="TableParagraph"/>
              <w:rPr>
                <w:rFonts w:ascii="DejaVu Serif"/>
                <w:sz w:val="20"/>
              </w:rPr>
            </w:pPr>
          </w:p>
        </w:tc>
        <w:tc>
          <w:tcPr>
            <w:tcW w:w="560" w:type="dxa"/>
          </w:tcPr>
          <w:p w14:paraId="3E621E16" w14:textId="77777777" w:rsidR="000156C3" w:rsidRDefault="000156C3" w:rsidP="00A75C61">
            <w:pPr>
              <w:pStyle w:val="TableParagraph"/>
              <w:rPr>
                <w:rFonts w:ascii="DejaVu Serif"/>
                <w:sz w:val="20"/>
              </w:rPr>
            </w:pPr>
          </w:p>
        </w:tc>
        <w:tc>
          <w:tcPr>
            <w:tcW w:w="561" w:type="dxa"/>
          </w:tcPr>
          <w:p w14:paraId="55291951" w14:textId="77777777" w:rsidR="000156C3" w:rsidRDefault="000156C3" w:rsidP="00A75C61">
            <w:pPr>
              <w:pStyle w:val="TableParagraph"/>
              <w:rPr>
                <w:rFonts w:ascii="DejaVu Serif"/>
                <w:sz w:val="20"/>
              </w:rPr>
            </w:pPr>
          </w:p>
        </w:tc>
        <w:tc>
          <w:tcPr>
            <w:tcW w:w="560" w:type="dxa"/>
          </w:tcPr>
          <w:p w14:paraId="24BD24C6" w14:textId="77777777" w:rsidR="000156C3" w:rsidRDefault="000156C3" w:rsidP="00A75C61">
            <w:pPr>
              <w:pStyle w:val="TableParagraph"/>
              <w:rPr>
                <w:rFonts w:ascii="DejaVu Serif"/>
                <w:sz w:val="20"/>
              </w:rPr>
            </w:pPr>
          </w:p>
        </w:tc>
      </w:tr>
      <w:tr w:rsidR="000156C3" w14:paraId="4EC94877" w14:textId="77777777" w:rsidTr="00A75C61">
        <w:trPr>
          <w:trHeight w:val="507"/>
        </w:trPr>
        <w:tc>
          <w:tcPr>
            <w:tcW w:w="1942" w:type="dxa"/>
          </w:tcPr>
          <w:p w14:paraId="1F704343" w14:textId="77777777" w:rsidR="000156C3" w:rsidRDefault="000156C3" w:rsidP="00A75C61">
            <w:pPr>
              <w:pStyle w:val="TableParagraph"/>
              <w:spacing w:before="119"/>
              <w:ind w:left="39"/>
            </w:pPr>
            <w:r>
              <w:rPr>
                <w:w w:val="95"/>
              </w:rPr>
              <w:t>C2</w:t>
            </w:r>
          </w:p>
        </w:tc>
        <w:tc>
          <w:tcPr>
            <w:tcW w:w="456" w:type="dxa"/>
          </w:tcPr>
          <w:p w14:paraId="30D11903" w14:textId="77777777" w:rsidR="000156C3" w:rsidRDefault="000156C3" w:rsidP="00A75C61">
            <w:pPr>
              <w:pStyle w:val="TableParagraph"/>
              <w:rPr>
                <w:rFonts w:ascii="DejaVu Serif"/>
                <w:sz w:val="20"/>
              </w:rPr>
            </w:pPr>
          </w:p>
        </w:tc>
        <w:tc>
          <w:tcPr>
            <w:tcW w:w="458" w:type="dxa"/>
          </w:tcPr>
          <w:p w14:paraId="60B9605B" w14:textId="77777777" w:rsidR="000156C3" w:rsidRDefault="000156C3" w:rsidP="00A75C61">
            <w:pPr>
              <w:pStyle w:val="TableParagraph"/>
              <w:rPr>
                <w:rFonts w:ascii="DejaVu Serif"/>
                <w:sz w:val="20"/>
              </w:rPr>
            </w:pPr>
          </w:p>
        </w:tc>
        <w:tc>
          <w:tcPr>
            <w:tcW w:w="457" w:type="dxa"/>
          </w:tcPr>
          <w:p w14:paraId="42B25BD9" w14:textId="77777777" w:rsidR="000156C3" w:rsidRDefault="000156C3" w:rsidP="00A75C61">
            <w:pPr>
              <w:pStyle w:val="TableParagraph"/>
              <w:rPr>
                <w:rFonts w:ascii="DejaVu Serif"/>
                <w:sz w:val="20"/>
              </w:rPr>
            </w:pPr>
          </w:p>
        </w:tc>
        <w:tc>
          <w:tcPr>
            <w:tcW w:w="458" w:type="dxa"/>
          </w:tcPr>
          <w:p w14:paraId="4F7A7709" w14:textId="77777777" w:rsidR="000156C3" w:rsidRDefault="000156C3" w:rsidP="00A75C61">
            <w:pPr>
              <w:pStyle w:val="TableParagraph"/>
              <w:rPr>
                <w:rFonts w:ascii="DejaVu Serif"/>
                <w:sz w:val="20"/>
              </w:rPr>
            </w:pPr>
          </w:p>
        </w:tc>
        <w:tc>
          <w:tcPr>
            <w:tcW w:w="458" w:type="dxa"/>
          </w:tcPr>
          <w:p w14:paraId="283580FE" w14:textId="77777777" w:rsidR="000156C3" w:rsidRDefault="000156C3" w:rsidP="00A75C61">
            <w:pPr>
              <w:pStyle w:val="TableParagraph"/>
              <w:rPr>
                <w:rFonts w:ascii="DejaVu Serif"/>
                <w:sz w:val="20"/>
              </w:rPr>
            </w:pPr>
          </w:p>
        </w:tc>
        <w:tc>
          <w:tcPr>
            <w:tcW w:w="457" w:type="dxa"/>
          </w:tcPr>
          <w:p w14:paraId="27A25941" w14:textId="77777777" w:rsidR="000156C3" w:rsidRDefault="000156C3" w:rsidP="00A75C61">
            <w:pPr>
              <w:pStyle w:val="TableParagraph"/>
              <w:rPr>
                <w:rFonts w:ascii="DejaVu Serif"/>
                <w:sz w:val="20"/>
              </w:rPr>
            </w:pPr>
          </w:p>
        </w:tc>
        <w:tc>
          <w:tcPr>
            <w:tcW w:w="453" w:type="dxa"/>
          </w:tcPr>
          <w:p w14:paraId="1A46E94F" w14:textId="77777777" w:rsidR="000156C3" w:rsidRDefault="000156C3" w:rsidP="00A75C61">
            <w:pPr>
              <w:pStyle w:val="TableParagraph"/>
              <w:rPr>
                <w:rFonts w:ascii="DejaVu Serif"/>
                <w:sz w:val="20"/>
              </w:rPr>
            </w:pPr>
          </w:p>
        </w:tc>
        <w:tc>
          <w:tcPr>
            <w:tcW w:w="459" w:type="dxa"/>
          </w:tcPr>
          <w:p w14:paraId="2D71353F" w14:textId="77777777" w:rsidR="000156C3" w:rsidRDefault="000156C3" w:rsidP="00A75C61">
            <w:pPr>
              <w:pStyle w:val="TableParagraph"/>
              <w:rPr>
                <w:rFonts w:ascii="DejaVu Serif"/>
                <w:sz w:val="20"/>
              </w:rPr>
            </w:pPr>
          </w:p>
        </w:tc>
        <w:tc>
          <w:tcPr>
            <w:tcW w:w="443" w:type="dxa"/>
          </w:tcPr>
          <w:p w14:paraId="6B14788B" w14:textId="77777777" w:rsidR="000156C3" w:rsidRDefault="000156C3" w:rsidP="00A75C61">
            <w:pPr>
              <w:pStyle w:val="TableParagraph"/>
              <w:rPr>
                <w:rFonts w:ascii="DejaVu Serif"/>
                <w:sz w:val="20"/>
              </w:rPr>
            </w:pPr>
          </w:p>
        </w:tc>
        <w:tc>
          <w:tcPr>
            <w:tcW w:w="576" w:type="dxa"/>
          </w:tcPr>
          <w:p w14:paraId="0B61515A" w14:textId="77777777" w:rsidR="000156C3" w:rsidRDefault="000156C3" w:rsidP="00A75C61">
            <w:pPr>
              <w:pStyle w:val="TableParagraph"/>
              <w:rPr>
                <w:rFonts w:ascii="DejaVu Serif"/>
                <w:sz w:val="20"/>
              </w:rPr>
            </w:pPr>
          </w:p>
        </w:tc>
        <w:tc>
          <w:tcPr>
            <w:tcW w:w="560" w:type="dxa"/>
          </w:tcPr>
          <w:p w14:paraId="2F7AB00E" w14:textId="77777777" w:rsidR="000156C3" w:rsidRDefault="000156C3" w:rsidP="00A75C61">
            <w:pPr>
              <w:pStyle w:val="TableParagraph"/>
              <w:rPr>
                <w:rFonts w:ascii="DejaVu Serif"/>
                <w:sz w:val="20"/>
              </w:rPr>
            </w:pPr>
          </w:p>
        </w:tc>
        <w:tc>
          <w:tcPr>
            <w:tcW w:w="561" w:type="dxa"/>
          </w:tcPr>
          <w:p w14:paraId="10C0D212" w14:textId="77777777" w:rsidR="000156C3" w:rsidRDefault="000156C3" w:rsidP="00A75C61">
            <w:pPr>
              <w:pStyle w:val="TableParagraph"/>
              <w:rPr>
                <w:rFonts w:ascii="DejaVu Serif"/>
                <w:sz w:val="20"/>
              </w:rPr>
            </w:pPr>
          </w:p>
        </w:tc>
        <w:tc>
          <w:tcPr>
            <w:tcW w:w="560" w:type="dxa"/>
          </w:tcPr>
          <w:p w14:paraId="5047ACDE" w14:textId="77777777" w:rsidR="000156C3" w:rsidRDefault="000156C3" w:rsidP="00A75C61">
            <w:pPr>
              <w:pStyle w:val="TableParagraph"/>
              <w:rPr>
                <w:rFonts w:ascii="DejaVu Serif"/>
                <w:sz w:val="20"/>
              </w:rPr>
            </w:pPr>
          </w:p>
        </w:tc>
        <w:tc>
          <w:tcPr>
            <w:tcW w:w="560" w:type="dxa"/>
          </w:tcPr>
          <w:p w14:paraId="68BFA08E" w14:textId="77777777" w:rsidR="000156C3" w:rsidRDefault="000156C3" w:rsidP="00A75C61">
            <w:pPr>
              <w:pStyle w:val="TableParagraph"/>
              <w:rPr>
                <w:rFonts w:ascii="DejaVu Serif"/>
                <w:sz w:val="20"/>
              </w:rPr>
            </w:pPr>
          </w:p>
        </w:tc>
        <w:tc>
          <w:tcPr>
            <w:tcW w:w="561" w:type="dxa"/>
          </w:tcPr>
          <w:p w14:paraId="1A7F549C" w14:textId="77777777" w:rsidR="000156C3" w:rsidRDefault="000156C3" w:rsidP="00A75C61">
            <w:pPr>
              <w:pStyle w:val="TableParagraph"/>
              <w:rPr>
                <w:rFonts w:ascii="DejaVu Serif"/>
                <w:sz w:val="20"/>
              </w:rPr>
            </w:pPr>
          </w:p>
        </w:tc>
        <w:tc>
          <w:tcPr>
            <w:tcW w:w="560" w:type="dxa"/>
          </w:tcPr>
          <w:p w14:paraId="21DDA32A" w14:textId="77777777" w:rsidR="000156C3" w:rsidRDefault="000156C3" w:rsidP="00A75C61">
            <w:pPr>
              <w:pStyle w:val="TableParagraph"/>
              <w:rPr>
                <w:rFonts w:ascii="DejaVu Serif"/>
                <w:sz w:val="20"/>
              </w:rPr>
            </w:pPr>
          </w:p>
        </w:tc>
      </w:tr>
      <w:tr w:rsidR="000156C3" w14:paraId="40F288BC" w14:textId="77777777" w:rsidTr="00A75C61">
        <w:trPr>
          <w:trHeight w:val="508"/>
        </w:trPr>
        <w:tc>
          <w:tcPr>
            <w:tcW w:w="1942" w:type="dxa"/>
          </w:tcPr>
          <w:p w14:paraId="1AEDDEA4" w14:textId="77777777" w:rsidR="000156C3" w:rsidRDefault="000156C3" w:rsidP="00A75C61">
            <w:pPr>
              <w:pStyle w:val="TableParagraph"/>
              <w:spacing w:before="120"/>
              <w:ind w:left="39"/>
            </w:pPr>
            <w:r>
              <w:rPr>
                <w:w w:val="95"/>
              </w:rPr>
              <w:t>C3</w:t>
            </w:r>
          </w:p>
        </w:tc>
        <w:tc>
          <w:tcPr>
            <w:tcW w:w="456" w:type="dxa"/>
          </w:tcPr>
          <w:p w14:paraId="3282F226" w14:textId="77777777" w:rsidR="000156C3" w:rsidRDefault="000156C3" w:rsidP="00A75C61">
            <w:pPr>
              <w:pStyle w:val="TableParagraph"/>
              <w:rPr>
                <w:rFonts w:ascii="DejaVu Serif"/>
                <w:sz w:val="20"/>
              </w:rPr>
            </w:pPr>
          </w:p>
        </w:tc>
        <w:tc>
          <w:tcPr>
            <w:tcW w:w="458" w:type="dxa"/>
          </w:tcPr>
          <w:p w14:paraId="64907AF6" w14:textId="77777777" w:rsidR="000156C3" w:rsidRDefault="000156C3" w:rsidP="00A75C61">
            <w:pPr>
              <w:pStyle w:val="TableParagraph"/>
              <w:rPr>
                <w:rFonts w:ascii="DejaVu Serif"/>
                <w:sz w:val="20"/>
              </w:rPr>
            </w:pPr>
          </w:p>
        </w:tc>
        <w:tc>
          <w:tcPr>
            <w:tcW w:w="457" w:type="dxa"/>
          </w:tcPr>
          <w:p w14:paraId="15CA236F" w14:textId="77777777" w:rsidR="000156C3" w:rsidRDefault="000156C3" w:rsidP="00A75C61">
            <w:pPr>
              <w:pStyle w:val="TableParagraph"/>
              <w:rPr>
                <w:rFonts w:ascii="DejaVu Serif"/>
                <w:sz w:val="20"/>
              </w:rPr>
            </w:pPr>
          </w:p>
        </w:tc>
        <w:tc>
          <w:tcPr>
            <w:tcW w:w="458" w:type="dxa"/>
          </w:tcPr>
          <w:p w14:paraId="06BE1AAA" w14:textId="77777777" w:rsidR="000156C3" w:rsidRDefault="000156C3" w:rsidP="00A75C61">
            <w:pPr>
              <w:pStyle w:val="TableParagraph"/>
              <w:rPr>
                <w:rFonts w:ascii="DejaVu Serif"/>
                <w:sz w:val="20"/>
              </w:rPr>
            </w:pPr>
          </w:p>
        </w:tc>
        <w:tc>
          <w:tcPr>
            <w:tcW w:w="458" w:type="dxa"/>
          </w:tcPr>
          <w:p w14:paraId="4611AE38" w14:textId="77777777" w:rsidR="000156C3" w:rsidRDefault="000156C3" w:rsidP="00A75C61">
            <w:pPr>
              <w:pStyle w:val="TableParagraph"/>
              <w:rPr>
                <w:rFonts w:ascii="DejaVu Serif"/>
                <w:sz w:val="20"/>
              </w:rPr>
            </w:pPr>
          </w:p>
        </w:tc>
        <w:tc>
          <w:tcPr>
            <w:tcW w:w="457" w:type="dxa"/>
          </w:tcPr>
          <w:p w14:paraId="2F55789B" w14:textId="77777777" w:rsidR="000156C3" w:rsidRDefault="000156C3" w:rsidP="00A75C61">
            <w:pPr>
              <w:pStyle w:val="TableParagraph"/>
              <w:rPr>
                <w:rFonts w:ascii="DejaVu Serif"/>
                <w:sz w:val="20"/>
              </w:rPr>
            </w:pPr>
          </w:p>
        </w:tc>
        <w:tc>
          <w:tcPr>
            <w:tcW w:w="453" w:type="dxa"/>
          </w:tcPr>
          <w:p w14:paraId="7D00991D" w14:textId="77777777" w:rsidR="000156C3" w:rsidRDefault="000156C3" w:rsidP="00A75C61">
            <w:pPr>
              <w:pStyle w:val="TableParagraph"/>
              <w:rPr>
                <w:rFonts w:ascii="DejaVu Serif"/>
                <w:sz w:val="20"/>
              </w:rPr>
            </w:pPr>
          </w:p>
        </w:tc>
        <w:tc>
          <w:tcPr>
            <w:tcW w:w="459" w:type="dxa"/>
          </w:tcPr>
          <w:p w14:paraId="1AFEE054" w14:textId="77777777" w:rsidR="000156C3" w:rsidRDefault="000156C3" w:rsidP="00A75C61">
            <w:pPr>
              <w:pStyle w:val="TableParagraph"/>
              <w:rPr>
                <w:rFonts w:ascii="DejaVu Serif"/>
                <w:sz w:val="20"/>
              </w:rPr>
            </w:pPr>
          </w:p>
        </w:tc>
        <w:tc>
          <w:tcPr>
            <w:tcW w:w="443" w:type="dxa"/>
          </w:tcPr>
          <w:p w14:paraId="3EF0B47B" w14:textId="77777777" w:rsidR="000156C3" w:rsidRDefault="000156C3" w:rsidP="00A75C61">
            <w:pPr>
              <w:pStyle w:val="TableParagraph"/>
              <w:rPr>
                <w:rFonts w:ascii="DejaVu Serif"/>
                <w:sz w:val="20"/>
              </w:rPr>
            </w:pPr>
          </w:p>
        </w:tc>
        <w:tc>
          <w:tcPr>
            <w:tcW w:w="576" w:type="dxa"/>
          </w:tcPr>
          <w:p w14:paraId="3348B4D7" w14:textId="77777777" w:rsidR="000156C3" w:rsidRDefault="000156C3" w:rsidP="00A75C61">
            <w:pPr>
              <w:pStyle w:val="TableParagraph"/>
              <w:rPr>
                <w:rFonts w:ascii="DejaVu Serif"/>
                <w:sz w:val="20"/>
              </w:rPr>
            </w:pPr>
          </w:p>
        </w:tc>
        <w:tc>
          <w:tcPr>
            <w:tcW w:w="560" w:type="dxa"/>
          </w:tcPr>
          <w:p w14:paraId="074E7400" w14:textId="77777777" w:rsidR="000156C3" w:rsidRDefault="000156C3" w:rsidP="00A75C61">
            <w:pPr>
              <w:pStyle w:val="TableParagraph"/>
              <w:rPr>
                <w:rFonts w:ascii="DejaVu Serif"/>
                <w:sz w:val="20"/>
              </w:rPr>
            </w:pPr>
          </w:p>
        </w:tc>
        <w:tc>
          <w:tcPr>
            <w:tcW w:w="561" w:type="dxa"/>
          </w:tcPr>
          <w:p w14:paraId="67C4D9F2" w14:textId="77777777" w:rsidR="000156C3" w:rsidRDefault="000156C3" w:rsidP="00A75C61">
            <w:pPr>
              <w:pStyle w:val="TableParagraph"/>
              <w:rPr>
                <w:rFonts w:ascii="DejaVu Serif"/>
                <w:sz w:val="20"/>
              </w:rPr>
            </w:pPr>
          </w:p>
        </w:tc>
        <w:tc>
          <w:tcPr>
            <w:tcW w:w="560" w:type="dxa"/>
          </w:tcPr>
          <w:p w14:paraId="05EA10BA" w14:textId="77777777" w:rsidR="000156C3" w:rsidRDefault="000156C3" w:rsidP="00A75C61">
            <w:pPr>
              <w:pStyle w:val="TableParagraph"/>
              <w:rPr>
                <w:rFonts w:ascii="DejaVu Serif"/>
                <w:sz w:val="20"/>
              </w:rPr>
            </w:pPr>
          </w:p>
        </w:tc>
        <w:tc>
          <w:tcPr>
            <w:tcW w:w="560" w:type="dxa"/>
          </w:tcPr>
          <w:p w14:paraId="7F90740D" w14:textId="77777777" w:rsidR="000156C3" w:rsidRDefault="000156C3" w:rsidP="00A75C61">
            <w:pPr>
              <w:pStyle w:val="TableParagraph"/>
              <w:rPr>
                <w:rFonts w:ascii="DejaVu Serif"/>
                <w:sz w:val="20"/>
              </w:rPr>
            </w:pPr>
          </w:p>
        </w:tc>
        <w:tc>
          <w:tcPr>
            <w:tcW w:w="561" w:type="dxa"/>
          </w:tcPr>
          <w:p w14:paraId="63C117AC" w14:textId="77777777" w:rsidR="000156C3" w:rsidRDefault="000156C3" w:rsidP="00A75C61">
            <w:pPr>
              <w:pStyle w:val="TableParagraph"/>
              <w:rPr>
                <w:rFonts w:ascii="DejaVu Serif"/>
                <w:sz w:val="20"/>
              </w:rPr>
            </w:pPr>
          </w:p>
        </w:tc>
        <w:tc>
          <w:tcPr>
            <w:tcW w:w="560" w:type="dxa"/>
          </w:tcPr>
          <w:p w14:paraId="01B6128E" w14:textId="77777777" w:rsidR="000156C3" w:rsidRDefault="000156C3" w:rsidP="00A75C61">
            <w:pPr>
              <w:pStyle w:val="TableParagraph"/>
              <w:rPr>
                <w:rFonts w:ascii="DejaVu Serif"/>
                <w:sz w:val="20"/>
              </w:rPr>
            </w:pPr>
          </w:p>
        </w:tc>
      </w:tr>
      <w:tr w:rsidR="000156C3" w14:paraId="13035551" w14:textId="77777777" w:rsidTr="00A75C61">
        <w:trPr>
          <w:trHeight w:val="503"/>
        </w:trPr>
        <w:tc>
          <w:tcPr>
            <w:tcW w:w="1942" w:type="dxa"/>
          </w:tcPr>
          <w:p w14:paraId="33746227" w14:textId="77777777" w:rsidR="000156C3" w:rsidRDefault="000156C3" w:rsidP="00A75C61">
            <w:pPr>
              <w:pStyle w:val="TableParagraph"/>
              <w:spacing w:before="119"/>
              <w:ind w:left="39"/>
            </w:pPr>
            <w:r>
              <w:rPr>
                <w:w w:val="95"/>
              </w:rPr>
              <w:t>C4</w:t>
            </w:r>
          </w:p>
        </w:tc>
        <w:tc>
          <w:tcPr>
            <w:tcW w:w="456" w:type="dxa"/>
          </w:tcPr>
          <w:p w14:paraId="12E63216" w14:textId="77777777" w:rsidR="000156C3" w:rsidRDefault="000156C3" w:rsidP="00A75C61">
            <w:pPr>
              <w:pStyle w:val="TableParagraph"/>
              <w:rPr>
                <w:rFonts w:ascii="DejaVu Serif"/>
                <w:sz w:val="20"/>
              </w:rPr>
            </w:pPr>
          </w:p>
        </w:tc>
        <w:tc>
          <w:tcPr>
            <w:tcW w:w="458" w:type="dxa"/>
          </w:tcPr>
          <w:p w14:paraId="241C2726" w14:textId="77777777" w:rsidR="000156C3" w:rsidRDefault="000156C3" w:rsidP="00A75C61">
            <w:pPr>
              <w:pStyle w:val="TableParagraph"/>
              <w:rPr>
                <w:rFonts w:ascii="DejaVu Serif"/>
                <w:sz w:val="20"/>
              </w:rPr>
            </w:pPr>
          </w:p>
        </w:tc>
        <w:tc>
          <w:tcPr>
            <w:tcW w:w="457" w:type="dxa"/>
          </w:tcPr>
          <w:p w14:paraId="67169646" w14:textId="77777777" w:rsidR="000156C3" w:rsidRDefault="000156C3" w:rsidP="00A75C61">
            <w:pPr>
              <w:pStyle w:val="TableParagraph"/>
              <w:rPr>
                <w:rFonts w:ascii="DejaVu Serif"/>
                <w:sz w:val="20"/>
              </w:rPr>
            </w:pPr>
          </w:p>
        </w:tc>
        <w:tc>
          <w:tcPr>
            <w:tcW w:w="458" w:type="dxa"/>
          </w:tcPr>
          <w:p w14:paraId="688FE17B" w14:textId="77777777" w:rsidR="000156C3" w:rsidRDefault="000156C3" w:rsidP="00A75C61">
            <w:pPr>
              <w:pStyle w:val="TableParagraph"/>
              <w:rPr>
                <w:rFonts w:ascii="DejaVu Serif"/>
                <w:sz w:val="20"/>
              </w:rPr>
            </w:pPr>
          </w:p>
        </w:tc>
        <w:tc>
          <w:tcPr>
            <w:tcW w:w="458" w:type="dxa"/>
          </w:tcPr>
          <w:p w14:paraId="72CA14A8" w14:textId="77777777" w:rsidR="000156C3" w:rsidRDefault="000156C3" w:rsidP="00A75C61">
            <w:pPr>
              <w:pStyle w:val="TableParagraph"/>
              <w:rPr>
                <w:rFonts w:ascii="DejaVu Serif"/>
                <w:sz w:val="20"/>
              </w:rPr>
            </w:pPr>
          </w:p>
        </w:tc>
        <w:tc>
          <w:tcPr>
            <w:tcW w:w="457" w:type="dxa"/>
          </w:tcPr>
          <w:p w14:paraId="4D875D3A" w14:textId="77777777" w:rsidR="000156C3" w:rsidRDefault="000156C3" w:rsidP="00A75C61">
            <w:pPr>
              <w:pStyle w:val="TableParagraph"/>
              <w:rPr>
                <w:rFonts w:ascii="DejaVu Serif"/>
                <w:sz w:val="20"/>
              </w:rPr>
            </w:pPr>
          </w:p>
        </w:tc>
        <w:tc>
          <w:tcPr>
            <w:tcW w:w="453" w:type="dxa"/>
          </w:tcPr>
          <w:p w14:paraId="5D105EFF" w14:textId="77777777" w:rsidR="000156C3" w:rsidRDefault="000156C3" w:rsidP="00A75C61">
            <w:pPr>
              <w:pStyle w:val="TableParagraph"/>
              <w:rPr>
                <w:rFonts w:ascii="DejaVu Serif"/>
                <w:sz w:val="20"/>
              </w:rPr>
            </w:pPr>
          </w:p>
        </w:tc>
        <w:tc>
          <w:tcPr>
            <w:tcW w:w="459" w:type="dxa"/>
          </w:tcPr>
          <w:p w14:paraId="5819502D" w14:textId="77777777" w:rsidR="000156C3" w:rsidRDefault="000156C3" w:rsidP="00A75C61">
            <w:pPr>
              <w:pStyle w:val="TableParagraph"/>
              <w:rPr>
                <w:rFonts w:ascii="DejaVu Serif"/>
                <w:sz w:val="20"/>
              </w:rPr>
            </w:pPr>
          </w:p>
        </w:tc>
        <w:tc>
          <w:tcPr>
            <w:tcW w:w="443" w:type="dxa"/>
          </w:tcPr>
          <w:p w14:paraId="5E25ABA2" w14:textId="77777777" w:rsidR="000156C3" w:rsidRDefault="000156C3" w:rsidP="00A75C61">
            <w:pPr>
              <w:pStyle w:val="TableParagraph"/>
              <w:rPr>
                <w:rFonts w:ascii="DejaVu Serif"/>
                <w:sz w:val="20"/>
              </w:rPr>
            </w:pPr>
          </w:p>
        </w:tc>
        <w:tc>
          <w:tcPr>
            <w:tcW w:w="576" w:type="dxa"/>
          </w:tcPr>
          <w:p w14:paraId="66364529" w14:textId="77777777" w:rsidR="000156C3" w:rsidRDefault="000156C3" w:rsidP="00A75C61">
            <w:pPr>
              <w:pStyle w:val="TableParagraph"/>
              <w:rPr>
                <w:rFonts w:ascii="DejaVu Serif"/>
                <w:sz w:val="20"/>
              </w:rPr>
            </w:pPr>
          </w:p>
        </w:tc>
        <w:tc>
          <w:tcPr>
            <w:tcW w:w="560" w:type="dxa"/>
          </w:tcPr>
          <w:p w14:paraId="4B081188" w14:textId="77777777" w:rsidR="000156C3" w:rsidRDefault="000156C3" w:rsidP="00A75C61">
            <w:pPr>
              <w:pStyle w:val="TableParagraph"/>
              <w:rPr>
                <w:rFonts w:ascii="DejaVu Serif"/>
                <w:sz w:val="20"/>
              </w:rPr>
            </w:pPr>
          </w:p>
        </w:tc>
        <w:tc>
          <w:tcPr>
            <w:tcW w:w="561" w:type="dxa"/>
          </w:tcPr>
          <w:p w14:paraId="0F956DDE" w14:textId="77777777" w:rsidR="000156C3" w:rsidRDefault="000156C3" w:rsidP="00A75C61">
            <w:pPr>
              <w:pStyle w:val="TableParagraph"/>
              <w:rPr>
                <w:rFonts w:ascii="DejaVu Serif"/>
                <w:sz w:val="20"/>
              </w:rPr>
            </w:pPr>
          </w:p>
        </w:tc>
        <w:tc>
          <w:tcPr>
            <w:tcW w:w="560" w:type="dxa"/>
          </w:tcPr>
          <w:p w14:paraId="72A4A0DB" w14:textId="77777777" w:rsidR="000156C3" w:rsidRDefault="000156C3" w:rsidP="00A75C61">
            <w:pPr>
              <w:pStyle w:val="TableParagraph"/>
              <w:rPr>
                <w:rFonts w:ascii="DejaVu Serif"/>
                <w:sz w:val="20"/>
              </w:rPr>
            </w:pPr>
          </w:p>
        </w:tc>
        <w:tc>
          <w:tcPr>
            <w:tcW w:w="560" w:type="dxa"/>
          </w:tcPr>
          <w:p w14:paraId="30BBEF24" w14:textId="77777777" w:rsidR="000156C3" w:rsidRDefault="000156C3" w:rsidP="00A75C61">
            <w:pPr>
              <w:pStyle w:val="TableParagraph"/>
              <w:rPr>
                <w:rFonts w:ascii="DejaVu Serif"/>
                <w:sz w:val="20"/>
              </w:rPr>
            </w:pPr>
          </w:p>
        </w:tc>
        <w:tc>
          <w:tcPr>
            <w:tcW w:w="561" w:type="dxa"/>
          </w:tcPr>
          <w:p w14:paraId="34D1FC0A" w14:textId="77777777" w:rsidR="000156C3" w:rsidRDefault="000156C3" w:rsidP="00A75C61">
            <w:pPr>
              <w:pStyle w:val="TableParagraph"/>
              <w:rPr>
                <w:rFonts w:ascii="DejaVu Serif"/>
                <w:sz w:val="20"/>
              </w:rPr>
            </w:pPr>
          </w:p>
        </w:tc>
        <w:tc>
          <w:tcPr>
            <w:tcW w:w="560" w:type="dxa"/>
          </w:tcPr>
          <w:p w14:paraId="76BEDBCE" w14:textId="77777777" w:rsidR="000156C3" w:rsidRDefault="000156C3" w:rsidP="00A75C61">
            <w:pPr>
              <w:pStyle w:val="TableParagraph"/>
              <w:rPr>
                <w:rFonts w:ascii="DejaVu Serif"/>
                <w:sz w:val="20"/>
              </w:rPr>
            </w:pPr>
          </w:p>
        </w:tc>
      </w:tr>
      <w:tr w:rsidR="000156C3" w14:paraId="7F51D3AC" w14:textId="77777777" w:rsidTr="00A75C61">
        <w:trPr>
          <w:trHeight w:val="508"/>
        </w:trPr>
        <w:tc>
          <w:tcPr>
            <w:tcW w:w="1942" w:type="dxa"/>
          </w:tcPr>
          <w:p w14:paraId="01ECB210" w14:textId="77777777" w:rsidR="000156C3" w:rsidRDefault="000156C3" w:rsidP="00A75C61">
            <w:pPr>
              <w:pStyle w:val="TableParagraph"/>
              <w:spacing w:before="120"/>
              <w:ind w:left="39"/>
            </w:pPr>
            <w:r>
              <w:rPr>
                <w:w w:val="95"/>
              </w:rPr>
              <w:t>C5</w:t>
            </w:r>
          </w:p>
        </w:tc>
        <w:tc>
          <w:tcPr>
            <w:tcW w:w="456" w:type="dxa"/>
          </w:tcPr>
          <w:p w14:paraId="7077B4AD" w14:textId="77777777" w:rsidR="000156C3" w:rsidRDefault="000156C3" w:rsidP="00A75C61">
            <w:pPr>
              <w:pStyle w:val="TableParagraph"/>
              <w:rPr>
                <w:rFonts w:ascii="DejaVu Serif"/>
                <w:sz w:val="20"/>
              </w:rPr>
            </w:pPr>
          </w:p>
        </w:tc>
        <w:tc>
          <w:tcPr>
            <w:tcW w:w="458" w:type="dxa"/>
          </w:tcPr>
          <w:p w14:paraId="3B5B38C7" w14:textId="77777777" w:rsidR="000156C3" w:rsidRDefault="000156C3" w:rsidP="00A75C61">
            <w:pPr>
              <w:pStyle w:val="TableParagraph"/>
              <w:rPr>
                <w:rFonts w:ascii="DejaVu Serif"/>
                <w:sz w:val="20"/>
              </w:rPr>
            </w:pPr>
          </w:p>
        </w:tc>
        <w:tc>
          <w:tcPr>
            <w:tcW w:w="457" w:type="dxa"/>
          </w:tcPr>
          <w:p w14:paraId="359DF24D" w14:textId="77777777" w:rsidR="000156C3" w:rsidRDefault="000156C3" w:rsidP="00A75C61">
            <w:pPr>
              <w:pStyle w:val="TableParagraph"/>
              <w:rPr>
                <w:rFonts w:ascii="DejaVu Serif"/>
                <w:sz w:val="20"/>
              </w:rPr>
            </w:pPr>
          </w:p>
        </w:tc>
        <w:tc>
          <w:tcPr>
            <w:tcW w:w="458" w:type="dxa"/>
          </w:tcPr>
          <w:p w14:paraId="07653CCF" w14:textId="77777777" w:rsidR="000156C3" w:rsidRDefault="000156C3" w:rsidP="00A75C61">
            <w:pPr>
              <w:pStyle w:val="TableParagraph"/>
              <w:rPr>
                <w:rFonts w:ascii="DejaVu Serif"/>
                <w:sz w:val="20"/>
              </w:rPr>
            </w:pPr>
          </w:p>
        </w:tc>
        <w:tc>
          <w:tcPr>
            <w:tcW w:w="458" w:type="dxa"/>
          </w:tcPr>
          <w:p w14:paraId="51DA7397" w14:textId="77777777" w:rsidR="000156C3" w:rsidRDefault="000156C3" w:rsidP="00A75C61">
            <w:pPr>
              <w:pStyle w:val="TableParagraph"/>
              <w:rPr>
                <w:rFonts w:ascii="DejaVu Serif"/>
                <w:sz w:val="20"/>
              </w:rPr>
            </w:pPr>
          </w:p>
        </w:tc>
        <w:tc>
          <w:tcPr>
            <w:tcW w:w="457" w:type="dxa"/>
          </w:tcPr>
          <w:p w14:paraId="44915001" w14:textId="77777777" w:rsidR="000156C3" w:rsidRDefault="000156C3" w:rsidP="00A75C61">
            <w:pPr>
              <w:pStyle w:val="TableParagraph"/>
              <w:rPr>
                <w:rFonts w:ascii="DejaVu Serif"/>
                <w:sz w:val="20"/>
              </w:rPr>
            </w:pPr>
          </w:p>
        </w:tc>
        <w:tc>
          <w:tcPr>
            <w:tcW w:w="453" w:type="dxa"/>
          </w:tcPr>
          <w:p w14:paraId="15B722A3" w14:textId="77777777" w:rsidR="000156C3" w:rsidRDefault="000156C3" w:rsidP="00A75C61">
            <w:pPr>
              <w:pStyle w:val="TableParagraph"/>
              <w:rPr>
                <w:rFonts w:ascii="DejaVu Serif"/>
                <w:sz w:val="20"/>
              </w:rPr>
            </w:pPr>
          </w:p>
        </w:tc>
        <w:tc>
          <w:tcPr>
            <w:tcW w:w="459" w:type="dxa"/>
          </w:tcPr>
          <w:p w14:paraId="2DB88CC0" w14:textId="77777777" w:rsidR="000156C3" w:rsidRDefault="000156C3" w:rsidP="00A75C61">
            <w:pPr>
              <w:pStyle w:val="TableParagraph"/>
              <w:rPr>
                <w:rFonts w:ascii="DejaVu Serif"/>
                <w:sz w:val="20"/>
              </w:rPr>
            </w:pPr>
          </w:p>
        </w:tc>
        <w:tc>
          <w:tcPr>
            <w:tcW w:w="443" w:type="dxa"/>
          </w:tcPr>
          <w:p w14:paraId="1BFC6ACF" w14:textId="77777777" w:rsidR="000156C3" w:rsidRDefault="000156C3" w:rsidP="00A75C61">
            <w:pPr>
              <w:pStyle w:val="TableParagraph"/>
              <w:rPr>
                <w:rFonts w:ascii="DejaVu Serif"/>
                <w:sz w:val="20"/>
              </w:rPr>
            </w:pPr>
          </w:p>
        </w:tc>
        <w:tc>
          <w:tcPr>
            <w:tcW w:w="576" w:type="dxa"/>
          </w:tcPr>
          <w:p w14:paraId="3D9A3E7F" w14:textId="77777777" w:rsidR="000156C3" w:rsidRDefault="000156C3" w:rsidP="00A75C61">
            <w:pPr>
              <w:pStyle w:val="TableParagraph"/>
              <w:rPr>
                <w:rFonts w:ascii="DejaVu Serif"/>
                <w:sz w:val="20"/>
              </w:rPr>
            </w:pPr>
          </w:p>
        </w:tc>
        <w:tc>
          <w:tcPr>
            <w:tcW w:w="560" w:type="dxa"/>
          </w:tcPr>
          <w:p w14:paraId="615C69EC" w14:textId="77777777" w:rsidR="000156C3" w:rsidRDefault="000156C3" w:rsidP="00A75C61">
            <w:pPr>
              <w:pStyle w:val="TableParagraph"/>
              <w:rPr>
                <w:rFonts w:ascii="DejaVu Serif"/>
                <w:sz w:val="20"/>
              </w:rPr>
            </w:pPr>
          </w:p>
        </w:tc>
        <w:tc>
          <w:tcPr>
            <w:tcW w:w="561" w:type="dxa"/>
          </w:tcPr>
          <w:p w14:paraId="31587022" w14:textId="77777777" w:rsidR="000156C3" w:rsidRDefault="000156C3" w:rsidP="00A75C61">
            <w:pPr>
              <w:pStyle w:val="TableParagraph"/>
              <w:rPr>
                <w:rFonts w:ascii="DejaVu Serif"/>
                <w:sz w:val="20"/>
              </w:rPr>
            </w:pPr>
          </w:p>
        </w:tc>
        <w:tc>
          <w:tcPr>
            <w:tcW w:w="560" w:type="dxa"/>
          </w:tcPr>
          <w:p w14:paraId="28D28352" w14:textId="77777777" w:rsidR="000156C3" w:rsidRDefault="000156C3" w:rsidP="00A75C61">
            <w:pPr>
              <w:pStyle w:val="TableParagraph"/>
              <w:rPr>
                <w:rFonts w:ascii="DejaVu Serif"/>
                <w:sz w:val="20"/>
              </w:rPr>
            </w:pPr>
          </w:p>
        </w:tc>
        <w:tc>
          <w:tcPr>
            <w:tcW w:w="560" w:type="dxa"/>
          </w:tcPr>
          <w:p w14:paraId="2F04B8C2" w14:textId="77777777" w:rsidR="000156C3" w:rsidRDefault="000156C3" w:rsidP="00A75C61">
            <w:pPr>
              <w:pStyle w:val="TableParagraph"/>
              <w:rPr>
                <w:rFonts w:ascii="DejaVu Serif"/>
                <w:sz w:val="20"/>
              </w:rPr>
            </w:pPr>
          </w:p>
        </w:tc>
        <w:tc>
          <w:tcPr>
            <w:tcW w:w="561" w:type="dxa"/>
          </w:tcPr>
          <w:p w14:paraId="6330A764" w14:textId="77777777" w:rsidR="000156C3" w:rsidRDefault="000156C3" w:rsidP="00A75C61">
            <w:pPr>
              <w:pStyle w:val="TableParagraph"/>
              <w:rPr>
                <w:rFonts w:ascii="DejaVu Serif"/>
                <w:sz w:val="20"/>
              </w:rPr>
            </w:pPr>
          </w:p>
        </w:tc>
        <w:tc>
          <w:tcPr>
            <w:tcW w:w="560" w:type="dxa"/>
          </w:tcPr>
          <w:p w14:paraId="5C929B04" w14:textId="77777777" w:rsidR="000156C3" w:rsidRDefault="000156C3" w:rsidP="00A75C61">
            <w:pPr>
              <w:pStyle w:val="TableParagraph"/>
              <w:rPr>
                <w:rFonts w:ascii="DejaVu Serif"/>
                <w:sz w:val="20"/>
              </w:rPr>
            </w:pPr>
          </w:p>
        </w:tc>
      </w:tr>
      <w:tr w:rsidR="000156C3" w14:paraId="494ED420" w14:textId="77777777" w:rsidTr="00A75C61">
        <w:trPr>
          <w:trHeight w:val="508"/>
        </w:trPr>
        <w:tc>
          <w:tcPr>
            <w:tcW w:w="1942" w:type="dxa"/>
          </w:tcPr>
          <w:p w14:paraId="01326AEB" w14:textId="77777777" w:rsidR="000156C3" w:rsidRDefault="000156C3" w:rsidP="00A75C61">
            <w:pPr>
              <w:pStyle w:val="TableParagraph"/>
              <w:spacing w:before="119"/>
              <w:ind w:left="39"/>
            </w:pPr>
            <w:r>
              <w:rPr>
                <w:w w:val="95"/>
              </w:rPr>
              <w:t>C6</w:t>
            </w:r>
          </w:p>
        </w:tc>
        <w:tc>
          <w:tcPr>
            <w:tcW w:w="456" w:type="dxa"/>
          </w:tcPr>
          <w:p w14:paraId="063C6F8C" w14:textId="77777777" w:rsidR="000156C3" w:rsidRDefault="000156C3" w:rsidP="00A75C61">
            <w:pPr>
              <w:pStyle w:val="TableParagraph"/>
              <w:rPr>
                <w:rFonts w:ascii="DejaVu Serif"/>
                <w:sz w:val="20"/>
              </w:rPr>
            </w:pPr>
          </w:p>
        </w:tc>
        <w:tc>
          <w:tcPr>
            <w:tcW w:w="458" w:type="dxa"/>
          </w:tcPr>
          <w:p w14:paraId="57900DD9" w14:textId="77777777" w:rsidR="000156C3" w:rsidRDefault="000156C3" w:rsidP="00A75C61">
            <w:pPr>
              <w:pStyle w:val="TableParagraph"/>
              <w:rPr>
                <w:rFonts w:ascii="DejaVu Serif"/>
                <w:sz w:val="20"/>
              </w:rPr>
            </w:pPr>
          </w:p>
        </w:tc>
        <w:tc>
          <w:tcPr>
            <w:tcW w:w="457" w:type="dxa"/>
          </w:tcPr>
          <w:p w14:paraId="4C7027D0" w14:textId="77777777" w:rsidR="000156C3" w:rsidRDefault="000156C3" w:rsidP="00A75C61">
            <w:pPr>
              <w:pStyle w:val="TableParagraph"/>
              <w:rPr>
                <w:rFonts w:ascii="DejaVu Serif"/>
                <w:sz w:val="20"/>
              </w:rPr>
            </w:pPr>
          </w:p>
        </w:tc>
        <w:tc>
          <w:tcPr>
            <w:tcW w:w="458" w:type="dxa"/>
          </w:tcPr>
          <w:p w14:paraId="05B43952" w14:textId="77777777" w:rsidR="000156C3" w:rsidRDefault="000156C3" w:rsidP="00A75C61">
            <w:pPr>
              <w:pStyle w:val="TableParagraph"/>
              <w:rPr>
                <w:rFonts w:ascii="DejaVu Serif"/>
                <w:sz w:val="20"/>
              </w:rPr>
            </w:pPr>
          </w:p>
        </w:tc>
        <w:tc>
          <w:tcPr>
            <w:tcW w:w="458" w:type="dxa"/>
          </w:tcPr>
          <w:p w14:paraId="6E07C1B3" w14:textId="77777777" w:rsidR="000156C3" w:rsidRDefault="000156C3" w:rsidP="00A75C61">
            <w:pPr>
              <w:pStyle w:val="TableParagraph"/>
              <w:rPr>
                <w:rFonts w:ascii="DejaVu Serif"/>
                <w:sz w:val="20"/>
              </w:rPr>
            </w:pPr>
          </w:p>
        </w:tc>
        <w:tc>
          <w:tcPr>
            <w:tcW w:w="457" w:type="dxa"/>
          </w:tcPr>
          <w:p w14:paraId="3A9ED1BC" w14:textId="77777777" w:rsidR="000156C3" w:rsidRDefault="000156C3" w:rsidP="00A75C61">
            <w:pPr>
              <w:pStyle w:val="TableParagraph"/>
              <w:rPr>
                <w:rFonts w:ascii="DejaVu Serif"/>
                <w:sz w:val="20"/>
              </w:rPr>
            </w:pPr>
          </w:p>
        </w:tc>
        <w:tc>
          <w:tcPr>
            <w:tcW w:w="453" w:type="dxa"/>
          </w:tcPr>
          <w:p w14:paraId="79E0EDBD" w14:textId="77777777" w:rsidR="000156C3" w:rsidRDefault="000156C3" w:rsidP="00A75C61">
            <w:pPr>
              <w:pStyle w:val="TableParagraph"/>
              <w:rPr>
                <w:rFonts w:ascii="DejaVu Serif"/>
                <w:sz w:val="20"/>
              </w:rPr>
            </w:pPr>
          </w:p>
        </w:tc>
        <w:tc>
          <w:tcPr>
            <w:tcW w:w="459" w:type="dxa"/>
          </w:tcPr>
          <w:p w14:paraId="450D60B3" w14:textId="77777777" w:rsidR="000156C3" w:rsidRDefault="000156C3" w:rsidP="00A75C61">
            <w:pPr>
              <w:pStyle w:val="TableParagraph"/>
              <w:rPr>
                <w:rFonts w:ascii="DejaVu Serif"/>
                <w:sz w:val="20"/>
              </w:rPr>
            </w:pPr>
          </w:p>
        </w:tc>
        <w:tc>
          <w:tcPr>
            <w:tcW w:w="443" w:type="dxa"/>
          </w:tcPr>
          <w:p w14:paraId="2D438261" w14:textId="77777777" w:rsidR="000156C3" w:rsidRDefault="000156C3" w:rsidP="00A75C61">
            <w:pPr>
              <w:pStyle w:val="TableParagraph"/>
              <w:rPr>
                <w:rFonts w:ascii="DejaVu Serif"/>
                <w:sz w:val="20"/>
              </w:rPr>
            </w:pPr>
          </w:p>
        </w:tc>
        <w:tc>
          <w:tcPr>
            <w:tcW w:w="576" w:type="dxa"/>
          </w:tcPr>
          <w:p w14:paraId="11ED846E" w14:textId="77777777" w:rsidR="000156C3" w:rsidRDefault="000156C3" w:rsidP="00A75C61">
            <w:pPr>
              <w:pStyle w:val="TableParagraph"/>
              <w:rPr>
                <w:rFonts w:ascii="DejaVu Serif"/>
                <w:sz w:val="20"/>
              </w:rPr>
            </w:pPr>
          </w:p>
        </w:tc>
        <w:tc>
          <w:tcPr>
            <w:tcW w:w="560" w:type="dxa"/>
          </w:tcPr>
          <w:p w14:paraId="5FFE247C" w14:textId="77777777" w:rsidR="000156C3" w:rsidRDefault="000156C3" w:rsidP="00A75C61">
            <w:pPr>
              <w:pStyle w:val="TableParagraph"/>
              <w:rPr>
                <w:rFonts w:ascii="DejaVu Serif"/>
                <w:sz w:val="20"/>
              </w:rPr>
            </w:pPr>
          </w:p>
        </w:tc>
        <w:tc>
          <w:tcPr>
            <w:tcW w:w="561" w:type="dxa"/>
          </w:tcPr>
          <w:p w14:paraId="33CA8F8D" w14:textId="77777777" w:rsidR="000156C3" w:rsidRDefault="000156C3" w:rsidP="00A75C61">
            <w:pPr>
              <w:pStyle w:val="TableParagraph"/>
              <w:rPr>
                <w:rFonts w:ascii="DejaVu Serif"/>
                <w:sz w:val="20"/>
              </w:rPr>
            </w:pPr>
          </w:p>
        </w:tc>
        <w:tc>
          <w:tcPr>
            <w:tcW w:w="560" w:type="dxa"/>
          </w:tcPr>
          <w:p w14:paraId="7CF1DA47" w14:textId="77777777" w:rsidR="000156C3" w:rsidRDefault="000156C3" w:rsidP="00A75C61">
            <w:pPr>
              <w:pStyle w:val="TableParagraph"/>
              <w:rPr>
                <w:rFonts w:ascii="DejaVu Serif"/>
                <w:sz w:val="20"/>
              </w:rPr>
            </w:pPr>
          </w:p>
        </w:tc>
        <w:tc>
          <w:tcPr>
            <w:tcW w:w="560" w:type="dxa"/>
          </w:tcPr>
          <w:p w14:paraId="654FCFA0" w14:textId="77777777" w:rsidR="000156C3" w:rsidRDefault="000156C3" w:rsidP="00A75C61">
            <w:pPr>
              <w:pStyle w:val="TableParagraph"/>
              <w:rPr>
                <w:rFonts w:ascii="DejaVu Serif"/>
                <w:sz w:val="20"/>
              </w:rPr>
            </w:pPr>
          </w:p>
        </w:tc>
        <w:tc>
          <w:tcPr>
            <w:tcW w:w="561" w:type="dxa"/>
          </w:tcPr>
          <w:p w14:paraId="41DD1474" w14:textId="77777777" w:rsidR="000156C3" w:rsidRDefault="000156C3" w:rsidP="00A75C61">
            <w:pPr>
              <w:pStyle w:val="TableParagraph"/>
              <w:rPr>
                <w:rFonts w:ascii="DejaVu Serif"/>
                <w:sz w:val="20"/>
              </w:rPr>
            </w:pPr>
          </w:p>
        </w:tc>
        <w:tc>
          <w:tcPr>
            <w:tcW w:w="560" w:type="dxa"/>
          </w:tcPr>
          <w:p w14:paraId="59666C1F" w14:textId="77777777" w:rsidR="000156C3" w:rsidRDefault="000156C3" w:rsidP="00A75C61">
            <w:pPr>
              <w:pStyle w:val="TableParagraph"/>
              <w:rPr>
                <w:rFonts w:ascii="DejaVu Serif"/>
                <w:sz w:val="20"/>
              </w:rPr>
            </w:pPr>
          </w:p>
        </w:tc>
      </w:tr>
      <w:tr w:rsidR="000156C3" w14:paraId="141B1489" w14:textId="77777777" w:rsidTr="00A75C61">
        <w:trPr>
          <w:trHeight w:val="507"/>
        </w:trPr>
        <w:tc>
          <w:tcPr>
            <w:tcW w:w="1942" w:type="dxa"/>
          </w:tcPr>
          <w:p w14:paraId="702CBAEB" w14:textId="77777777" w:rsidR="000156C3" w:rsidRDefault="000156C3" w:rsidP="00A75C61">
            <w:pPr>
              <w:pStyle w:val="TableParagraph"/>
              <w:spacing w:before="119"/>
              <w:ind w:left="39"/>
            </w:pPr>
            <w:r>
              <w:rPr>
                <w:w w:val="95"/>
              </w:rPr>
              <w:t>C7</w:t>
            </w:r>
          </w:p>
        </w:tc>
        <w:tc>
          <w:tcPr>
            <w:tcW w:w="456" w:type="dxa"/>
          </w:tcPr>
          <w:p w14:paraId="7F0BCDC4" w14:textId="77777777" w:rsidR="000156C3" w:rsidRDefault="000156C3" w:rsidP="00A75C61">
            <w:pPr>
              <w:pStyle w:val="TableParagraph"/>
              <w:rPr>
                <w:rFonts w:ascii="DejaVu Serif"/>
                <w:sz w:val="20"/>
              </w:rPr>
            </w:pPr>
          </w:p>
        </w:tc>
        <w:tc>
          <w:tcPr>
            <w:tcW w:w="458" w:type="dxa"/>
          </w:tcPr>
          <w:p w14:paraId="02E1D6E9" w14:textId="77777777" w:rsidR="000156C3" w:rsidRDefault="000156C3" w:rsidP="00A75C61">
            <w:pPr>
              <w:pStyle w:val="TableParagraph"/>
              <w:rPr>
                <w:rFonts w:ascii="DejaVu Serif"/>
                <w:sz w:val="20"/>
              </w:rPr>
            </w:pPr>
          </w:p>
        </w:tc>
        <w:tc>
          <w:tcPr>
            <w:tcW w:w="457" w:type="dxa"/>
          </w:tcPr>
          <w:p w14:paraId="2CFE621E" w14:textId="77777777" w:rsidR="000156C3" w:rsidRDefault="000156C3" w:rsidP="00A75C61">
            <w:pPr>
              <w:pStyle w:val="TableParagraph"/>
              <w:rPr>
                <w:rFonts w:ascii="DejaVu Serif"/>
                <w:sz w:val="20"/>
              </w:rPr>
            </w:pPr>
          </w:p>
        </w:tc>
        <w:tc>
          <w:tcPr>
            <w:tcW w:w="458" w:type="dxa"/>
          </w:tcPr>
          <w:p w14:paraId="3606D897" w14:textId="77777777" w:rsidR="000156C3" w:rsidRDefault="000156C3" w:rsidP="00A75C61">
            <w:pPr>
              <w:pStyle w:val="TableParagraph"/>
              <w:rPr>
                <w:rFonts w:ascii="DejaVu Serif"/>
                <w:sz w:val="20"/>
              </w:rPr>
            </w:pPr>
          </w:p>
        </w:tc>
        <w:tc>
          <w:tcPr>
            <w:tcW w:w="458" w:type="dxa"/>
          </w:tcPr>
          <w:p w14:paraId="3FAFF278" w14:textId="77777777" w:rsidR="000156C3" w:rsidRDefault="000156C3" w:rsidP="00A75C61">
            <w:pPr>
              <w:pStyle w:val="TableParagraph"/>
              <w:rPr>
                <w:rFonts w:ascii="DejaVu Serif"/>
                <w:sz w:val="20"/>
              </w:rPr>
            </w:pPr>
          </w:p>
        </w:tc>
        <w:tc>
          <w:tcPr>
            <w:tcW w:w="457" w:type="dxa"/>
          </w:tcPr>
          <w:p w14:paraId="5BF5C8B9" w14:textId="77777777" w:rsidR="000156C3" w:rsidRDefault="000156C3" w:rsidP="00A75C61">
            <w:pPr>
              <w:pStyle w:val="TableParagraph"/>
              <w:rPr>
                <w:rFonts w:ascii="DejaVu Serif"/>
                <w:sz w:val="20"/>
              </w:rPr>
            </w:pPr>
          </w:p>
        </w:tc>
        <w:tc>
          <w:tcPr>
            <w:tcW w:w="453" w:type="dxa"/>
          </w:tcPr>
          <w:p w14:paraId="7F2246F5" w14:textId="77777777" w:rsidR="000156C3" w:rsidRDefault="000156C3" w:rsidP="00A75C61">
            <w:pPr>
              <w:pStyle w:val="TableParagraph"/>
              <w:rPr>
                <w:rFonts w:ascii="DejaVu Serif"/>
                <w:sz w:val="20"/>
              </w:rPr>
            </w:pPr>
          </w:p>
        </w:tc>
        <w:tc>
          <w:tcPr>
            <w:tcW w:w="459" w:type="dxa"/>
          </w:tcPr>
          <w:p w14:paraId="61091877" w14:textId="77777777" w:rsidR="000156C3" w:rsidRDefault="000156C3" w:rsidP="00A75C61">
            <w:pPr>
              <w:pStyle w:val="TableParagraph"/>
              <w:rPr>
                <w:rFonts w:ascii="DejaVu Serif"/>
                <w:sz w:val="20"/>
              </w:rPr>
            </w:pPr>
          </w:p>
        </w:tc>
        <w:tc>
          <w:tcPr>
            <w:tcW w:w="443" w:type="dxa"/>
          </w:tcPr>
          <w:p w14:paraId="34FC89FD" w14:textId="77777777" w:rsidR="000156C3" w:rsidRDefault="000156C3" w:rsidP="00A75C61">
            <w:pPr>
              <w:pStyle w:val="TableParagraph"/>
              <w:rPr>
                <w:rFonts w:ascii="DejaVu Serif"/>
                <w:sz w:val="20"/>
              </w:rPr>
            </w:pPr>
          </w:p>
        </w:tc>
        <w:tc>
          <w:tcPr>
            <w:tcW w:w="576" w:type="dxa"/>
          </w:tcPr>
          <w:p w14:paraId="574672F2" w14:textId="77777777" w:rsidR="000156C3" w:rsidRDefault="000156C3" w:rsidP="00A75C61">
            <w:pPr>
              <w:pStyle w:val="TableParagraph"/>
              <w:rPr>
                <w:rFonts w:ascii="DejaVu Serif"/>
                <w:sz w:val="20"/>
              </w:rPr>
            </w:pPr>
          </w:p>
        </w:tc>
        <w:tc>
          <w:tcPr>
            <w:tcW w:w="560" w:type="dxa"/>
          </w:tcPr>
          <w:p w14:paraId="44B4850E" w14:textId="77777777" w:rsidR="000156C3" w:rsidRDefault="000156C3" w:rsidP="00A75C61">
            <w:pPr>
              <w:pStyle w:val="TableParagraph"/>
              <w:rPr>
                <w:rFonts w:ascii="DejaVu Serif"/>
                <w:sz w:val="20"/>
              </w:rPr>
            </w:pPr>
          </w:p>
        </w:tc>
        <w:tc>
          <w:tcPr>
            <w:tcW w:w="561" w:type="dxa"/>
          </w:tcPr>
          <w:p w14:paraId="5C614D70" w14:textId="77777777" w:rsidR="000156C3" w:rsidRDefault="000156C3" w:rsidP="00A75C61">
            <w:pPr>
              <w:pStyle w:val="TableParagraph"/>
              <w:rPr>
                <w:rFonts w:ascii="DejaVu Serif"/>
                <w:sz w:val="20"/>
              </w:rPr>
            </w:pPr>
          </w:p>
        </w:tc>
        <w:tc>
          <w:tcPr>
            <w:tcW w:w="560" w:type="dxa"/>
          </w:tcPr>
          <w:p w14:paraId="1BE4BC59" w14:textId="77777777" w:rsidR="000156C3" w:rsidRDefault="000156C3" w:rsidP="00A75C61">
            <w:pPr>
              <w:pStyle w:val="TableParagraph"/>
              <w:rPr>
                <w:rFonts w:ascii="DejaVu Serif"/>
                <w:sz w:val="20"/>
              </w:rPr>
            </w:pPr>
          </w:p>
        </w:tc>
        <w:tc>
          <w:tcPr>
            <w:tcW w:w="560" w:type="dxa"/>
          </w:tcPr>
          <w:p w14:paraId="311A6312" w14:textId="77777777" w:rsidR="000156C3" w:rsidRDefault="000156C3" w:rsidP="00A75C61">
            <w:pPr>
              <w:pStyle w:val="TableParagraph"/>
              <w:rPr>
                <w:rFonts w:ascii="DejaVu Serif"/>
                <w:sz w:val="20"/>
              </w:rPr>
            </w:pPr>
          </w:p>
        </w:tc>
        <w:tc>
          <w:tcPr>
            <w:tcW w:w="561" w:type="dxa"/>
          </w:tcPr>
          <w:p w14:paraId="5C5780FB" w14:textId="77777777" w:rsidR="000156C3" w:rsidRDefault="000156C3" w:rsidP="00A75C61">
            <w:pPr>
              <w:pStyle w:val="TableParagraph"/>
              <w:rPr>
                <w:rFonts w:ascii="DejaVu Serif"/>
                <w:sz w:val="20"/>
              </w:rPr>
            </w:pPr>
          </w:p>
        </w:tc>
        <w:tc>
          <w:tcPr>
            <w:tcW w:w="560" w:type="dxa"/>
          </w:tcPr>
          <w:p w14:paraId="23FBF60D" w14:textId="77777777" w:rsidR="000156C3" w:rsidRDefault="000156C3" w:rsidP="00A75C61">
            <w:pPr>
              <w:pStyle w:val="TableParagraph"/>
              <w:rPr>
                <w:rFonts w:ascii="DejaVu Serif"/>
                <w:sz w:val="20"/>
              </w:rPr>
            </w:pPr>
          </w:p>
        </w:tc>
      </w:tr>
      <w:tr w:rsidR="000156C3" w14:paraId="51563A0E" w14:textId="77777777" w:rsidTr="00A75C61">
        <w:trPr>
          <w:trHeight w:val="508"/>
        </w:trPr>
        <w:tc>
          <w:tcPr>
            <w:tcW w:w="1942" w:type="dxa"/>
          </w:tcPr>
          <w:p w14:paraId="6DEF8E01" w14:textId="77777777" w:rsidR="000156C3" w:rsidRDefault="000156C3" w:rsidP="00A75C61">
            <w:pPr>
              <w:pStyle w:val="TableParagraph"/>
              <w:spacing w:before="120"/>
              <w:ind w:left="39"/>
            </w:pPr>
            <w:r>
              <w:rPr>
                <w:w w:val="95"/>
              </w:rPr>
              <w:t>C8</w:t>
            </w:r>
          </w:p>
        </w:tc>
        <w:tc>
          <w:tcPr>
            <w:tcW w:w="456" w:type="dxa"/>
          </w:tcPr>
          <w:p w14:paraId="1A27AC16" w14:textId="77777777" w:rsidR="000156C3" w:rsidRDefault="000156C3" w:rsidP="00A75C61">
            <w:pPr>
              <w:pStyle w:val="TableParagraph"/>
              <w:rPr>
                <w:rFonts w:ascii="DejaVu Serif"/>
                <w:sz w:val="20"/>
              </w:rPr>
            </w:pPr>
          </w:p>
        </w:tc>
        <w:tc>
          <w:tcPr>
            <w:tcW w:w="458" w:type="dxa"/>
          </w:tcPr>
          <w:p w14:paraId="7F0174DF" w14:textId="77777777" w:rsidR="000156C3" w:rsidRDefault="000156C3" w:rsidP="00A75C61">
            <w:pPr>
              <w:pStyle w:val="TableParagraph"/>
              <w:rPr>
                <w:rFonts w:ascii="DejaVu Serif"/>
                <w:sz w:val="20"/>
              </w:rPr>
            </w:pPr>
          </w:p>
        </w:tc>
        <w:tc>
          <w:tcPr>
            <w:tcW w:w="457" w:type="dxa"/>
          </w:tcPr>
          <w:p w14:paraId="75ED87A5" w14:textId="77777777" w:rsidR="000156C3" w:rsidRDefault="000156C3" w:rsidP="00A75C61">
            <w:pPr>
              <w:pStyle w:val="TableParagraph"/>
              <w:rPr>
                <w:rFonts w:ascii="DejaVu Serif"/>
                <w:sz w:val="20"/>
              </w:rPr>
            </w:pPr>
          </w:p>
        </w:tc>
        <w:tc>
          <w:tcPr>
            <w:tcW w:w="458" w:type="dxa"/>
          </w:tcPr>
          <w:p w14:paraId="3479AFDD" w14:textId="77777777" w:rsidR="000156C3" w:rsidRDefault="000156C3" w:rsidP="00A75C61">
            <w:pPr>
              <w:pStyle w:val="TableParagraph"/>
              <w:rPr>
                <w:rFonts w:ascii="DejaVu Serif"/>
                <w:sz w:val="20"/>
              </w:rPr>
            </w:pPr>
          </w:p>
        </w:tc>
        <w:tc>
          <w:tcPr>
            <w:tcW w:w="458" w:type="dxa"/>
          </w:tcPr>
          <w:p w14:paraId="3B5C92EB" w14:textId="77777777" w:rsidR="000156C3" w:rsidRDefault="000156C3" w:rsidP="00A75C61">
            <w:pPr>
              <w:pStyle w:val="TableParagraph"/>
              <w:rPr>
                <w:rFonts w:ascii="DejaVu Serif"/>
                <w:sz w:val="20"/>
              </w:rPr>
            </w:pPr>
          </w:p>
        </w:tc>
        <w:tc>
          <w:tcPr>
            <w:tcW w:w="457" w:type="dxa"/>
          </w:tcPr>
          <w:p w14:paraId="697D0ED8" w14:textId="77777777" w:rsidR="000156C3" w:rsidRDefault="000156C3" w:rsidP="00A75C61">
            <w:pPr>
              <w:pStyle w:val="TableParagraph"/>
              <w:rPr>
                <w:rFonts w:ascii="DejaVu Serif"/>
                <w:sz w:val="20"/>
              </w:rPr>
            </w:pPr>
          </w:p>
        </w:tc>
        <w:tc>
          <w:tcPr>
            <w:tcW w:w="453" w:type="dxa"/>
          </w:tcPr>
          <w:p w14:paraId="7DAF6DA0" w14:textId="77777777" w:rsidR="000156C3" w:rsidRDefault="000156C3" w:rsidP="00A75C61">
            <w:pPr>
              <w:pStyle w:val="TableParagraph"/>
              <w:rPr>
                <w:rFonts w:ascii="DejaVu Serif"/>
                <w:sz w:val="20"/>
              </w:rPr>
            </w:pPr>
          </w:p>
        </w:tc>
        <w:tc>
          <w:tcPr>
            <w:tcW w:w="459" w:type="dxa"/>
          </w:tcPr>
          <w:p w14:paraId="4E0D8850" w14:textId="77777777" w:rsidR="000156C3" w:rsidRDefault="000156C3" w:rsidP="00A75C61">
            <w:pPr>
              <w:pStyle w:val="TableParagraph"/>
              <w:rPr>
                <w:rFonts w:ascii="DejaVu Serif"/>
                <w:sz w:val="20"/>
              </w:rPr>
            </w:pPr>
          </w:p>
        </w:tc>
        <w:tc>
          <w:tcPr>
            <w:tcW w:w="443" w:type="dxa"/>
          </w:tcPr>
          <w:p w14:paraId="78334232" w14:textId="77777777" w:rsidR="000156C3" w:rsidRDefault="000156C3" w:rsidP="00A75C61">
            <w:pPr>
              <w:pStyle w:val="TableParagraph"/>
              <w:rPr>
                <w:rFonts w:ascii="DejaVu Serif"/>
                <w:sz w:val="20"/>
              </w:rPr>
            </w:pPr>
          </w:p>
        </w:tc>
        <w:tc>
          <w:tcPr>
            <w:tcW w:w="576" w:type="dxa"/>
          </w:tcPr>
          <w:p w14:paraId="617F6FE6" w14:textId="77777777" w:rsidR="000156C3" w:rsidRDefault="000156C3" w:rsidP="00A75C61">
            <w:pPr>
              <w:pStyle w:val="TableParagraph"/>
              <w:rPr>
                <w:rFonts w:ascii="DejaVu Serif"/>
                <w:sz w:val="20"/>
              </w:rPr>
            </w:pPr>
          </w:p>
        </w:tc>
        <w:tc>
          <w:tcPr>
            <w:tcW w:w="560" w:type="dxa"/>
          </w:tcPr>
          <w:p w14:paraId="70F4AE95" w14:textId="77777777" w:rsidR="000156C3" w:rsidRDefault="000156C3" w:rsidP="00A75C61">
            <w:pPr>
              <w:pStyle w:val="TableParagraph"/>
              <w:rPr>
                <w:rFonts w:ascii="DejaVu Serif"/>
                <w:sz w:val="20"/>
              </w:rPr>
            </w:pPr>
          </w:p>
        </w:tc>
        <w:tc>
          <w:tcPr>
            <w:tcW w:w="561" w:type="dxa"/>
          </w:tcPr>
          <w:p w14:paraId="75DA76C6" w14:textId="77777777" w:rsidR="000156C3" w:rsidRDefault="000156C3" w:rsidP="00A75C61">
            <w:pPr>
              <w:pStyle w:val="TableParagraph"/>
              <w:rPr>
                <w:rFonts w:ascii="DejaVu Serif"/>
                <w:sz w:val="20"/>
              </w:rPr>
            </w:pPr>
          </w:p>
        </w:tc>
        <w:tc>
          <w:tcPr>
            <w:tcW w:w="560" w:type="dxa"/>
          </w:tcPr>
          <w:p w14:paraId="590B7274" w14:textId="77777777" w:rsidR="000156C3" w:rsidRDefault="000156C3" w:rsidP="00A75C61">
            <w:pPr>
              <w:pStyle w:val="TableParagraph"/>
              <w:rPr>
                <w:rFonts w:ascii="DejaVu Serif"/>
                <w:sz w:val="20"/>
              </w:rPr>
            </w:pPr>
          </w:p>
        </w:tc>
        <w:tc>
          <w:tcPr>
            <w:tcW w:w="560" w:type="dxa"/>
          </w:tcPr>
          <w:p w14:paraId="2732B4F8" w14:textId="77777777" w:rsidR="000156C3" w:rsidRDefault="000156C3" w:rsidP="00A75C61">
            <w:pPr>
              <w:pStyle w:val="TableParagraph"/>
              <w:rPr>
                <w:rFonts w:ascii="DejaVu Serif"/>
                <w:sz w:val="20"/>
              </w:rPr>
            </w:pPr>
          </w:p>
        </w:tc>
        <w:tc>
          <w:tcPr>
            <w:tcW w:w="561" w:type="dxa"/>
          </w:tcPr>
          <w:p w14:paraId="5F5545FD" w14:textId="77777777" w:rsidR="000156C3" w:rsidRDefault="000156C3" w:rsidP="00A75C61">
            <w:pPr>
              <w:pStyle w:val="TableParagraph"/>
              <w:rPr>
                <w:rFonts w:ascii="DejaVu Serif"/>
                <w:sz w:val="20"/>
              </w:rPr>
            </w:pPr>
          </w:p>
        </w:tc>
        <w:tc>
          <w:tcPr>
            <w:tcW w:w="560" w:type="dxa"/>
          </w:tcPr>
          <w:p w14:paraId="656AE814" w14:textId="77777777" w:rsidR="000156C3" w:rsidRDefault="000156C3" w:rsidP="00A75C61">
            <w:pPr>
              <w:pStyle w:val="TableParagraph"/>
              <w:rPr>
                <w:rFonts w:ascii="DejaVu Serif"/>
                <w:sz w:val="20"/>
              </w:rPr>
            </w:pPr>
          </w:p>
        </w:tc>
      </w:tr>
      <w:tr w:rsidR="000156C3" w14:paraId="3A001C88" w14:textId="77777777" w:rsidTr="00A75C61">
        <w:trPr>
          <w:trHeight w:val="508"/>
        </w:trPr>
        <w:tc>
          <w:tcPr>
            <w:tcW w:w="1942" w:type="dxa"/>
          </w:tcPr>
          <w:p w14:paraId="73FE0F69" w14:textId="77777777" w:rsidR="000156C3" w:rsidRDefault="000156C3" w:rsidP="00A75C61">
            <w:pPr>
              <w:pStyle w:val="TableParagraph"/>
              <w:spacing w:before="119"/>
              <w:ind w:left="39"/>
            </w:pPr>
            <w:r>
              <w:rPr>
                <w:w w:val="95"/>
              </w:rPr>
              <w:t>C9</w:t>
            </w:r>
          </w:p>
        </w:tc>
        <w:tc>
          <w:tcPr>
            <w:tcW w:w="456" w:type="dxa"/>
          </w:tcPr>
          <w:p w14:paraId="74A237A9" w14:textId="77777777" w:rsidR="000156C3" w:rsidRDefault="000156C3" w:rsidP="00A75C61">
            <w:pPr>
              <w:pStyle w:val="TableParagraph"/>
              <w:rPr>
                <w:rFonts w:ascii="DejaVu Serif"/>
                <w:sz w:val="20"/>
              </w:rPr>
            </w:pPr>
          </w:p>
        </w:tc>
        <w:tc>
          <w:tcPr>
            <w:tcW w:w="458" w:type="dxa"/>
          </w:tcPr>
          <w:p w14:paraId="0E3E4CCD" w14:textId="77777777" w:rsidR="000156C3" w:rsidRDefault="000156C3" w:rsidP="00A75C61">
            <w:pPr>
              <w:pStyle w:val="TableParagraph"/>
              <w:rPr>
                <w:rFonts w:ascii="DejaVu Serif"/>
                <w:sz w:val="20"/>
              </w:rPr>
            </w:pPr>
          </w:p>
        </w:tc>
        <w:tc>
          <w:tcPr>
            <w:tcW w:w="457" w:type="dxa"/>
          </w:tcPr>
          <w:p w14:paraId="07151870" w14:textId="77777777" w:rsidR="000156C3" w:rsidRDefault="000156C3" w:rsidP="00A75C61">
            <w:pPr>
              <w:pStyle w:val="TableParagraph"/>
              <w:rPr>
                <w:rFonts w:ascii="DejaVu Serif"/>
                <w:sz w:val="20"/>
              </w:rPr>
            </w:pPr>
          </w:p>
        </w:tc>
        <w:tc>
          <w:tcPr>
            <w:tcW w:w="458" w:type="dxa"/>
          </w:tcPr>
          <w:p w14:paraId="4F572A7F" w14:textId="77777777" w:rsidR="000156C3" w:rsidRDefault="000156C3" w:rsidP="00A75C61">
            <w:pPr>
              <w:pStyle w:val="TableParagraph"/>
              <w:rPr>
                <w:rFonts w:ascii="DejaVu Serif"/>
                <w:sz w:val="20"/>
              </w:rPr>
            </w:pPr>
          </w:p>
        </w:tc>
        <w:tc>
          <w:tcPr>
            <w:tcW w:w="458" w:type="dxa"/>
          </w:tcPr>
          <w:p w14:paraId="5E06319C" w14:textId="77777777" w:rsidR="000156C3" w:rsidRDefault="000156C3" w:rsidP="00A75C61">
            <w:pPr>
              <w:pStyle w:val="TableParagraph"/>
              <w:rPr>
                <w:rFonts w:ascii="DejaVu Serif"/>
                <w:sz w:val="20"/>
              </w:rPr>
            </w:pPr>
          </w:p>
        </w:tc>
        <w:tc>
          <w:tcPr>
            <w:tcW w:w="457" w:type="dxa"/>
          </w:tcPr>
          <w:p w14:paraId="2EAA27F5" w14:textId="77777777" w:rsidR="000156C3" w:rsidRDefault="000156C3" w:rsidP="00A75C61">
            <w:pPr>
              <w:pStyle w:val="TableParagraph"/>
              <w:rPr>
                <w:rFonts w:ascii="DejaVu Serif"/>
                <w:sz w:val="20"/>
              </w:rPr>
            </w:pPr>
          </w:p>
        </w:tc>
        <w:tc>
          <w:tcPr>
            <w:tcW w:w="453" w:type="dxa"/>
          </w:tcPr>
          <w:p w14:paraId="50CBA643" w14:textId="77777777" w:rsidR="000156C3" w:rsidRDefault="000156C3" w:rsidP="00A75C61">
            <w:pPr>
              <w:pStyle w:val="TableParagraph"/>
              <w:rPr>
                <w:rFonts w:ascii="DejaVu Serif"/>
                <w:sz w:val="20"/>
              </w:rPr>
            </w:pPr>
          </w:p>
        </w:tc>
        <w:tc>
          <w:tcPr>
            <w:tcW w:w="459" w:type="dxa"/>
          </w:tcPr>
          <w:p w14:paraId="2FB64463" w14:textId="77777777" w:rsidR="000156C3" w:rsidRDefault="000156C3" w:rsidP="00A75C61">
            <w:pPr>
              <w:pStyle w:val="TableParagraph"/>
              <w:rPr>
                <w:rFonts w:ascii="DejaVu Serif"/>
                <w:sz w:val="20"/>
              </w:rPr>
            </w:pPr>
          </w:p>
        </w:tc>
        <w:tc>
          <w:tcPr>
            <w:tcW w:w="443" w:type="dxa"/>
          </w:tcPr>
          <w:p w14:paraId="7E6A60F4" w14:textId="77777777" w:rsidR="000156C3" w:rsidRDefault="000156C3" w:rsidP="00A75C61">
            <w:pPr>
              <w:pStyle w:val="TableParagraph"/>
              <w:rPr>
                <w:rFonts w:ascii="DejaVu Serif"/>
                <w:sz w:val="20"/>
              </w:rPr>
            </w:pPr>
          </w:p>
        </w:tc>
        <w:tc>
          <w:tcPr>
            <w:tcW w:w="576" w:type="dxa"/>
          </w:tcPr>
          <w:p w14:paraId="52166C6C" w14:textId="77777777" w:rsidR="000156C3" w:rsidRDefault="000156C3" w:rsidP="00A75C61">
            <w:pPr>
              <w:pStyle w:val="TableParagraph"/>
              <w:rPr>
                <w:rFonts w:ascii="DejaVu Serif"/>
                <w:sz w:val="20"/>
              </w:rPr>
            </w:pPr>
          </w:p>
        </w:tc>
        <w:tc>
          <w:tcPr>
            <w:tcW w:w="560" w:type="dxa"/>
          </w:tcPr>
          <w:p w14:paraId="414A47C5" w14:textId="77777777" w:rsidR="000156C3" w:rsidRDefault="000156C3" w:rsidP="00A75C61">
            <w:pPr>
              <w:pStyle w:val="TableParagraph"/>
              <w:rPr>
                <w:rFonts w:ascii="DejaVu Serif"/>
                <w:sz w:val="20"/>
              </w:rPr>
            </w:pPr>
          </w:p>
        </w:tc>
        <w:tc>
          <w:tcPr>
            <w:tcW w:w="561" w:type="dxa"/>
          </w:tcPr>
          <w:p w14:paraId="59B036EB" w14:textId="77777777" w:rsidR="000156C3" w:rsidRDefault="000156C3" w:rsidP="00A75C61">
            <w:pPr>
              <w:pStyle w:val="TableParagraph"/>
              <w:rPr>
                <w:rFonts w:ascii="DejaVu Serif"/>
                <w:sz w:val="20"/>
              </w:rPr>
            </w:pPr>
          </w:p>
        </w:tc>
        <w:tc>
          <w:tcPr>
            <w:tcW w:w="560" w:type="dxa"/>
          </w:tcPr>
          <w:p w14:paraId="5837B3DB" w14:textId="77777777" w:rsidR="000156C3" w:rsidRDefault="000156C3" w:rsidP="00A75C61">
            <w:pPr>
              <w:pStyle w:val="TableParagraph"/>
              <w:rPr>
                <w:rFonts w:ascii="DejaVu Serif"/>
                <w:sz w:val="20"/>
              </w:rPr>
            </w:pPr>
          </w:p>
        </w:tc>
        <w:tc>
          <w:tcPr>
            <w:tcW w:w="560" w:type="dxa"/>
          </w:tcPr>
          <w:p w14:paraId="6BFBB445" w14:textId="77777777" w:rsidR="000156C3" w:rsidRDefault="000156C3" w:rsidP="00A75C61">
            <w:pPr>
              <w:pStyle w:val="TableParagraph"/>
              <w:rPr>
                <w:rFonts w:ascii="DejaVu Serif"/>
                <w:sz w:val="20"/>
              </w:rPr>
            </w:pPr>
          </w:p>
        </w:tc>
        <w:tc>
          <w:tcPr>
            <w:tcW w:w="561" w:type="dxa"/>
          </w:tcPr>
          <w:p w14:paraId="323FA17F" w14:textId="77777777" w:rsidR="000156C3" w:rsidRDefault="000156C3" w:rsidP="00A75C61">
            <w:pPr>
              <w:pStyle w:val="TableParagraph"/>
              <w:rPr>
                <w:rFonts w:ascii="DejaVu Serif"/>
                <w:sz w:val="20"/>
              </w:rPr>
            </w:pPr>
          </w:p>
        </w:tc>
        <w:tc>
          <w:tcPr>
            <w:tcW w:w="560" w:type="dxa"/>
          </w:tcPr>
          <w:p w14:paraId="4E23444D" w14:textId="77777777" w:rsidR="000156C3" w:rsidRDefault="000156C3" w:rsidP="00A75C61">
            <w:pPr>
              <w:pStyle w:val="TableParagraph"/>
              <w:rPr>
                <w:rFonts w:ascii="DejaVu Serif"/>
                <w:sz w:val="20"/>
              </w:rPr>
            </w:pPr>
          </w:p>
        </w:tc>
      </w:tr>
      <w:tr w:rsidR="000156C3" w14:paraId="36819F01" w14:textId="77777777" w:rsidTr="00A75C61">
        <w:trPr>
          <w:trHeight w:val="507"/>
        </w:trPr>
        <w:tc>
          <w:tcPr>
            <w:tcW w:w="1942" w:type="dxa"/>
          </w:tcPr>
          <w:p w14:paraId="31537017" w14:textId="77777777" w:rsidR="000156C3" w:rsidRDefault="000156C3" w:rsidP="00A75C61">
            <w:pPr>
              <w:pStyle w:val="TableParagraph"/>
              <w:spacing w:before="119"/>
              <w:ind w:left="39"/>
            </w:pPr>
            <w:r>
              <w:rPr>
                <w:w w:val="95"/>
              </w:rPr>
              <w:t>C10</w:t>
            </w:r>
          </w:p>
        </w:tc>
        <w:tc>
          <w:tcPr>
            <w:tcW w:w="456" w:type="dxa"/>
          </w:tcPr>
          <w:p w14:paraId="68FFDE4C" w14:textId="77777777" w:rsidR="000156C3" w:rsidRDefault="000156C3" w:rsidP="00A75C61">
            <w:pPr>
              <w:pStyle w:val="TableParagraph"/>
              <w:rPr>
                <w:rFonts w:ascii="DejaVu Serif"/>
                <w:sz w:val="20"/>
              </w:rPr>
            </w:pPr>
          </w:p>
        </w:tc>
        <w:tc>
          <w:tcPr>
            <w:tcW w:w="458" w:type="dxa"/>
          </w:tcPr>
          <w:p w14:paraId="3AFFEF70" w14:textId="77777777" w:rsidR="000156C3" w:rsidRDefault="000156C3" w:rsidP="00A75C61">
            <w:pPr>
              <w:pStyle w:val="TableParagraph"/>
              <w:rPr>
                <w:rFonts w:ascii="DejaVu Serif"/>
                <w:sz w:val="20"/>
              </w:rPr>
            </w:pPr>
          </w:p>
        </w:tc>
        <w:tc>
          <w:tcPr>
            <w:tcW w:w="457" w:type="dxa"/>
          </w:tcPr>
          <w:p w14:paraId="07916FC3" w14:textId="77777777" w:rsidR="000156C3" w:rsidRDefault="000156C3" w:rsidP="00A75C61">
            <w:pPr>
              <w:pStyle w:val="TableParagraph"/>
              <w:rPr>
                <w:rFonts w:ascii="DejaVu Serif"/>
                <w:sz w:val="20"/>
              </w:rPr>
            </w:pPr>
          </w:p>
        </w:tc>
        <w:tc>
          <w:tcPr>
            <w:tcW w:w="458" w:type="dxa"/>
          </w:tcPr>
          <w:p w14:paraId="717937AC" w14:textId="77777777" w:rsidR="000156C3" w:rsidRDefault="000156C3" w:rsidP="00A75C61">
            <w:pPr>
              <w:pStyle w:val="TableParagraph"/>
              <w:rPr>
                <w:rFonts w:ascii="DejaVu Serif"/>
                <w:sz w:val="20"/>
              </w:rPr>
            </w:pPr>
          </w:p>
        </w:tc>
        <w:tc>
          <w:tcPr>
            <w:tcW w:w="458" w:type="dxa"/>
          </w:tcPr>
          <w:p w14:paraId="5259A54A" w14:textId="77777777" w:rsidR="000156C3" w:rsidRDefault="000156C3" w:rsidP="00A75C61">
            <w:pPr>
              <w:pStyle w:val="TableParagraph"/>
              <w:rPr>
                <w:rFonts w:ascii="DejaVu Serif"/>
                <w:sz w:val="20"/>
              </w:rPr>
            </w:pPr>
          </w:p>
        </w:tc>
        <w:tc>
          <w:tcPr>
            <w:tcW w:w="457" w:type="dxa"/>
          </w:tcPr>
          <w:p w14:paraId="5426DF9F" w14:textId="77777777" w:rsidR="000156C3" w:rsidRDefault="000156C3" w:rsidP="00A75C61">
            <w:pPr>
              <w:pStyle w:val="TableParagraph"/>
              <w:rPr>
                <w:rFonts w:ascii="DejaVu Serif"/>
                <w:sz w:val="20"/>
              </w:rPr>
            </w:pPr>
          </w:p>
        </w:tc>
        <w:tc>
          <w:tcPr>
            <w:tcW w:w="453" w:type="dxa"/>
          </w:tcPr>
          <w:p w14:paraId="725DCB7F" w14:textId="77777777" w:rsidR="000156C3" w:rsidRDefault="000156C3" w:rsidP="00A75C61">
            <w:pPr>
              <w:pStyle w:val="TableParagraph"/>
              <w:rPr>
                <w:rFonts w:ascii="DejaVu Serif"/>
                <w:sz w:val="20"/>
              </w:rPr>
            </w:pPr>
          </w:p>
        </w:tc>
        <w:tc>
          <w:tcPr>
            <w:tcW w:w="459" w:type="dxa"/>
          </w:tcPr>
          <w:p w14:paraId="1354C731" w14:textId="77777777" w:rsidR="000156C3" w:rsidRDefault="000156C3" w:rsidP="00A75C61">
            <w:pPr>
              <w:pStyle w:val="TableParagraph"/>
              <w:rPr>
                <w:rFonts w:ascii="DejaVu Serif"/>
                <w:sz w:val="20"/>
              </w:rPr>
            </w:pPr>
          </w:p>
        </w:tc>
        <w:tc>
          <w:tcPr>
            <w:tcW w:w="443" w:type="dxa"/>
          </w:tcPr>
          <w:p w14:paraId="366A669D" w14:textId="77777777" w:rsidR="000156C3" w:rsidRDefault="000156C3" w:rsidP="00A75C61">
            <w:pPr>
              <w:pStyle w:val="TableParagraph"/>
              <w:rPr>
                <w:rFonts w:ascii="DejaVu Serif"/>
                <w:sz w:val="20"/>
              </w:rPr>
            </w:pPr>
          </w:p>
        </w:tc>
        <w:tc>
          <w:tcPr>
            <w:tcW w:w="576" w:type="dxa"/>
          </w:tcPr>
          <w:p w14:paraId="2AEF5746" w14:textId="77777777" w:rsidR="000156C3" w:rsidRDefault="000156C3" w:rsidP="00A75C61">
            <w:pPr>
              <w:pStyle w:val="TableParagraph"/>
              <w:rPr>
                <w:rFonts w:ascii="DejaVu Serif"/>
                <w:sz w:val="20"/>
              </w:rPr>
            </w:pPr>
          </w:p>
        </w:tc>
        <w:tc>
          <w:tcPr>
            <w:tcW w:w="560" w:type="dxa"/>
          </w:tcPr>
          <w:p w14:paraId="3AF3E1C9" w14:textId="77777777" w:rsidR="000156C3" w:rsidRDefault="000156C3" w:rsidP="00A75C61">
            <w:pPr>
              <w:pStyle w:val="TableParagraph"/>
              <w:rPr>
                <w:rFonts w:ascii="DejaVu Serif"/>
                <w:sz w:val="20"/>
              </w:rPr>
            </w:pPr>
          </w:p>
        </w:tc>
        <w:tc>
          <w:tcPr>
            <w:tcW w:w="561" w:type="dxa"/>
          </w:tcPr>
          <w:p w14:paraId="3929AF31" w14:textId="77777777" w:rsidR="000156C3" w:rsidRDefault="000156C3" w:rsidP="00A75C61">
            <w:pPr>
              <w:pStyle w:val="TableParagraph"/>
              <w:rPr>
                <w:rFonts w:ascii="DejaVu Serif"/>
                <w:sz w:val="20"/>
              </w:rPr>
            </w:pPr>
          </w:p>
        </w:tc>
        <w:tc>
          <w:tcPr>
            <w:tcW w:w="560" w:type="dxa"/>
          </w:tcPr>
          <w:p w14:paraId="0F32B61B" w14:textId="77777777" w:rsidR="000156C3" w:rsidRDefault="000156C3" w:rsidP="00A75C61">
            <w:pPr>
              <w:pStyle w:val="TableParagraph"/>
              <w:rPr>
                <w:rFonts w:ascii="DejaVu Serif"/>
                <w:sz w:val="20"/>
              </w:rPr>
            </w:pPr>
          </w:p>
        </w:tc>
        <w:tc>
          <w:tcPr>
            <w:tcW w:w="560" w:type="dxa"/>
          </w:tcPr>
          <w:p w14:paraId="2780F257" w14:textId="77777777" w:rsidR="000156C3" w:rsidRDefault="000156C3" w:rsidP="00A75C61">
            <w:pPr>
              <w:pStyle w:val="TableParagraph"/>
              <w:rPr>
                <w:rFonts w:ascii="DejaVu Serif"/>
                <w:sz w:val="20"/>
              </w:rPr>
            </w:pPr>
          </w:p>
        </w:tc>
        <w:tc>
          <w:tcPr>
            <w:tcW w:w="561" w:type="dxa"/>
          </w:tcPr>
          <w:p w14:paraId="18DDC6DB" w14:textId="77777777" w:rsidR="000156C3" w:rsidRDefault="000156C3" w:rsidP="00A75C61">
            <w:pPr>
              <w:pStyle w:val="TableParagraph"/>
              <w:rPr>
                <w:rFonts w:ascii="DejaVu Serif"/>
                <w:sz w:val="20"/>
              </w:rPr>
            </w:pPr>
          </w:p>
        </w:tc>
        <w:tc>
          <w:tcPr>
            <w:tcW w:w="560" w:type="dxa"/>
          </w:tcPr>
          <w:p w14:paraId="0F226B78" w14:textId="77777777" w:rsidR="000156C3" w:rsidRDefault="000156C3" w:rsidP="00A75C61">
            <w:pPr>
              <w:pStyle w:val="TableParagraph"/>
              <w:rPr>
                <w:rFonts w:ascii="DejaVu Serif"/>
                <w:sz w:val="20"/>
              </w:rPr>
            </w:pPr>
          </w:p>
        </w:tc>
      </w:tr>
      <w:tr w:rsidR="000156C3" w14:paraId="748E3E56" w14:textId="77777777" w:rsidTr="00A75C61">
        <w:trPr>
          <w:trHeight w:val="508"/>
        </w:trPr>
        <w:tc>
          <w:tcPr>
            <w:tcW w:w="1942" w:type="dxa"/>
          </w:tcPr>
          <w:p w14:paraId="25BDBCFC" w14:textId="77777777" w:rsidR="000156C3" w:rsidRDefault="000156C3" w:rsidP="00A75C61">
            <w:pPr>
              <w:pStyle w:val="TableParagraph"/>
              <w:spacing w:before="120"/>
              <w:ind w:left="39"/>
            </w:pPr>
            <w:r>
              <w:rPr>
                <w:w w:val="95"/>
              </w:rPr>
              <w:t>C11</w:t>
            </w:r>
          </w:p>
        </w:tc>
        <w:tc>
          <w:tcPr>
            <w:tcW w:w="456" w:type="dxa"/>
          </w:tcPr>
          <w:p w14:paraId="7B07DE4B" w14:textId="77777777" w:rsidR="000156C3" w:rsidRDefault="000156C3" w:rsidP="00A75C61">
            <w:pPr>
              <w:pStyle w:val="TableParagraph"/>
              <w:rPr>
                <w:rFonts w:ascii="DejaVu Serif"/>
                <w:sz w:val="20"/>
              </w:rPr>
            </w:pPr>
          </w:p>
        </w:tc>
        <w:tc>
          <w:tcPr>
            <w:tcW w:w="458" w:type="dxa"/>
          </w:tcPr>
          <w:p w14:paraId="77E7DFC6" w14:textId="77777777" w:rsidR="000156C3" w:rsidRDefault="000156C3" w:rsidP="00A75C61">
            <w:pPr>
              <w:pStyle w:val="TableParagraph"/>
              <w:rPr>
                <w:rFonts w:ascii="DejaVu Serif"/>
                <w:sz w:val="20"/>
              </w:rPr>
            </w:pPr>
          </w:p>
        </w:tc>
        <w:tc>
          <w:tcPr>
            <w:tcW w:w="457" w:type="dxa"/>
          </w:tcPr>
          <w:p w14:paraId="1580AAF0" w14:textId="77777777" w:rsidR="000156C3" w:rsidRDefault="000156C3" w:rsidP="00A75C61">
            <w:pPr>
              <w:pStyle w:val="TableParagraph"/>
              <w:rPr>
                <w:rFonts w:ascii="DejaVu Serif"/>
                <w:sz w:val="20"/>
              </w:rPr>
            </w:pPr>
          </w:p>
        </w:tc>
        <w:tc>
          <w:tcPr>
            <w:tcW w:w="458" w:type="dxa"/>
          </w:tcPr>
          <w:p w14:paraId="042A8458" w14:textId="77777777" w:rsidR="000156C3" w:rsidRDefault="000156C3" w:rsidP="00A75C61">
            <w:pPr>
              <w:pStyle w:val="TableParagraph"/>
              <w:rPr>
                <w:rFonts w:ascii="DejaVu Serif"/>
                <w:sz w:val="20"/>
              </w:rPr>
            </w:pPr>
          </w:p>
        </w:tc>
        <w:tc>
          <w:tcPr>
            <w:tcW w:w="458" w:type="dxa"/>
          </w:tcPr>
          <w:p w14:paraId="6E23DE8F" w14:textId="77777777" w:rsidR="000156C3" w:rsidRDefault="000156C3" w:rsidP="00A75C61">
            <w:pPr>
              <w:pStyle w:val="TableParagraph"/>
              <w:rPr>
                <w:rFonts w:ascii="DejaVu Serif"/>
                <w:sz w:val="20"/>
              </w:rPr>
            </w:pPr>
          </w:p>
        </w:tc>
        <w:tc>
          <w:tcPr>
            <w:tcW w:w="457" w:type="dxa"/>
          </w:tcPr>
          <w:p w14:paraId="711E15CC" w14:textId="77777777" w:rsidR="000156C3" w:rsidRDefault="000156C3" w:rsidP="00A75C61">
            <w:pPr>
              <w:pStyle w:val="TableParagraph"/>
              <w:rPr>
                <w:rFonts w:ascii="DejaVu Serif"/>
                <w:sz w:val="20"/>
              </w:rPr>
            </w:pPr>
          </w:p>
        </w:tc>
        <w:tc>
          <w:tcPr>
            <w:tcW w:w="453" w:type="dxa"/>
          </w:tcPr>
          <w:p w14:paraId="2A372B12" w14:textId="77777777" w:rsidR="000156C3" w:rsidRDefault="000156C3" w:rsidP="00A75C61">
            <w:pPr>
              <w:pStyle w:val="TableParagraph"/>
              <w:rPr>
                <w:rFonts w:ascii="DejaVu Serif"/>
                <w:sz w:val="20"/>
              </w:rPr>
            </w:pPr>
          </w:p>
        </w:tc>
        <w:tc>
          <w:tcPr>
            <w:tcW w:w="459" w:type="dxa"/>
          </w:tcPr>
          <w:p w14:paraId="217C240A" w14:textId="77777777" w:rsidR="000156C3" w:rsidRDefault="000156C3" w:rsidP="00A75C61">
            <w:pPr>
              <w:pStyle w:val="TableParagraph"/>
              <w:rPr>
                <w:rFonts w:ascii="DejaVu Serif"/>
                <w:sz w:val="20"/>
              </w:rPr>
            </w:pPr>
          </w:p>
        </w:tc>
        <w:tc>
          <w:tcPr>
            <w:tcW w:w="443" w:type="dxa"/>
          </w:tcPr>
          <w:p w14:paraId="327F4696" w14:textId="77777777" w:rsidR="000156C3" w:rsidRDefault="000156C3" w:rsidP="00A75C61">
            <w:pPr>
              <w:pStyle w:val="TableParagraph"/>
              <w:rPr>
                <w:rFonts w:ascii="DejaVu Serif"/>
                <w:sz w:val="20"/>
              </w:rPr>
            </w:pPr>
          </w:p>
        </w:tc>
        <w:tc>
          <w:tcPr>
            <w:tcW w:w="576" w:type="dxa"/>
          </w:tcPr>
          <w:p w14:paraId="57C3AFBF" w14:textId="77777777" w:rsidR="000156C3" w:rsidRDefault="000156C3" w:rsidP="00A75C61">
            <w:pPr>
              <w:pStyle w:val="TableParagraph"/>
              <w:rPr>
                <w:rFonts w:ascii="DejaVu Serif"/>
                <w:sz w:val="20"/>
              </w:rPr>
            </w:pPr>
          </w:p>
        </w:tc>
        <w:tc>
          <w:tcPr>
            <w:tcW w:w="560" w:type="dxa"/>
          </w:tcPr>
          <w:p w14:paraId="093A28A1" w14:textId="77777777" w:rsidR="000156C3" w:rsidRDefault="000156C3" w:rsidP="00A75C61">
            <w:pPr>
              <w:pStyle w:val="TableParagraph"/>
              <w:rPr>
                <w:rFonts w:ascii="DejaVu Serif"/>
                <w:sz w:val="20"/>
              </w:rPr>
            </w:pPr>
          </w:p>
        </w:tc>
        <w:tc>
          <w:tcPr>
            <w:tcW w:w="561" w:type="dxa"/>
          </w:tcPr>
          <w:p w14:paraId="17354DBB" w14:textId="77777777" w:rsidR="000156C3" w:rsidRDefault="000156C3" w:rsidP="00A75C61">
            <w:pPr>
              <w:pStyle w:val="TableParagraph"/>
              <w:rPr>
                <w:rFonts w:ascii="DejaVu Serif"/>
                <w:sz w:val="20"/>
              </w:rPr>
            </w:pPr>
          </w:p>
        </w:tc>
        <w:tc>
          <w:tcPr>
            <w:tcW w:w="560" w:type="dxa"/>
          </w:tcPr>
          <w:p w14:paraId="72F3BCF9" w14:textId="77777777" w:rsidR="000156C3" w:rsidRDefault="000156C3" w:rsidP="00A75C61">
            <w:pPr>
              <w:pStyle w:val="TableParagraph"/>
              <w:rPr>
                <w:rFonts w:ascii="DejaVu Serif"/>
                <w:sz w:val="20"/>
              </w:rPr>
            </w:pPr>
          </w:p>
        </w:tc>
        <w:tc>
          <w:tcPr>
            <w:tcW w:w="560" w:type="dxa"/>
          </w:tcPr>
          <w:p w14:paraId="0BA58596" w14:textId="77777777" w:rsidR="000156C3" w:rsidRDefault="000156C3" w:rsidP="00A75C61">
            <w:pPr>
              <w:pStyle w:val="TableParagraph"/>
              <w:rPr>
                <w:rFonts w:ascii="DejaVu Serif"/>
                <w:sz w:val="20"/>
              </w:rPr>
            </w:pPr>
          </w:p>
        </w:tc>
        <w:tc>
          <w:tcPr>
            <w:tcW w:w="561" w:type="dxa"/>
          </w:tcPr>
          <w:p w14:paraId="680278F9" w14:textId="77777777" w:rsidR="000156C3" w:rsidRDefault="000156C3" w:rsidP="00A75C61">
            <w:pPr>
              <w:pStyle w:val="TableParagraph"/>
              <w:rPr>
                <w:rFonts w:ascii="DejaVu Serif"/>
                <w:sz w:val="20"/>
              </w:rPr>
            </w:pPr>
          </w:p>
        </w:tc>
        <w:tc>
          <w:tcPr>
            <w:tcW w:w="560" w:type="dxa"/>
          </w:tcPr>
          <w:p w14:paraId="41E7CC1D" w14:textId="77777777" w:rsidR="000156C3" w:rsidRDefault="000156C3" w:rsidP="00A75C61">
            <w:pPr>
              <w:pStyle w:val="TableParagraph"/>
              <w:rPr>
                <w:rFonts w:ascii="DejaVu Serif"/>
                <w:sz w:val="20"/>
              </w:rPr>
            </w:pPr>
          </w:p>
        </w:tc>
      </w:tr>
    </w:tbl>
    <w:tbl>
      <w:tblPr>
        <w:tblW w:w="5474"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915"/>
      </w:tblGrid>
      <w:tr w:rsidR="006C4E87" w:rsidRPr="006C4E87" w14:paraId="369ADC93" w14:textId="77777777" w:rsidTr="00A75C61">
        <w:trPr>
          <w:tblCellSpacing w:w="0" w:type="dxa"/>
        </w:trPr>
        <w:tc>
          <w:tcPr>
            <w:tcW w:w="5000" w:type="pct"/>
            <w:vAlign w:val="center"/>
            <w:hideMark/>
          </w:tcPr>
          <w:p w14:paraId="57ECE85B" w14:textId="3FABC879" w:rsidR="006C4E87" w:rsidRPr="006C4E87" w:rsidRDefault="002D02DD" w:rsidP="002D02DD">
            <w:pPr>
              <w:spacing w:before="120"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Note 1 : </w:t>
            </w:r>
            <w:r w:rsidR="006C4E87" w:rsidRPr="006C4E87">
              <w:rPr>
                <w:rFonts w:ascii="Times New Roman" w:eastAsia="Times New Roman" w:hAnsi="Times New Roman" w:cs="Times New Roman"/>
                <w:color w:val="000000"/>
                <w:sz w:val="24"/>
                <w:szCs w:val="24"/>
                <w:lang w:eastAsia="fr-FR"/>
              </w:rPr>
              <w:t>Les en-têtes de ligne et de colonne sont des références aux numéros de section et de point correspondants de l'annexe I de la directive 20</w:t>
            </w:r>
            <w:r>
              <w:rPr>
                <w:rFonts w:ascii="Times New Roman" w:eastAsia="Times New Roman" w:hAnsi="Times New Roman" w:cs="Times New Roman"/>
                <w:color w:val="000000"/>
                <w:sz w:val="24"/>
                <w:szCs w:val="24"/>
                <w:lang w:eastAsia="fr-FR"/>
              </w:rPr>
              <w:t>14/65</w:t>
            </w:r>
            <w:r w:rsidR="006C4E87" w:rsidRPr="006C4E87">
              <w:rPr>
                <w:rFonts w:ascii="Times New Roman" w:eastAsia="Times New Roman" w:hAnsi="Times New Roman" w:cs="Times New Roman"/>
                <w:color w:val="000000"/>
                <w:sz w:val="24"/>
                <w:szCs w:val="24"/>
                <w:lang w:eastAsia="fr-FR"/>
              </w:rPr>
              <w:t>/</w:t>
            </w:r>
            <w:r w:rsidR="007F407D">
              <w:rPr>
                <w:rFonts w:ascii="Times New Roman" w:eastAsia="Times New Roman" w:hAnsi="Times New Roman" w:cs="Times New Roman"/>
                <w:color w:val="000000"/>
                <w:sz w:val="24"/>
                <w:szCs w:val="24"/>
                <w:lang w:eastAsia="fr-FR"/>
              </w:rPr>
              <w:t>UE</w:t>
            </w:r>
            <w:r w:rsidR="006C4E87" w:rsidRPr="006C4E87">
              <w:rPr>
                <w:rFonts w:ascii="Times New Roman" w:eastAsia="Times New Roman" w:hAnsi="Times New Roman" w:cs="Times New Roman"/>
                <w:color w:val="000000"/>
                <w:sz w:val="24"/>
                <w:szCs w:val="24"/>
                <w:lang w:eastAsia="fr-FR"/>
              </w:rPr>
              <w:t xml:space="preserve"> (par exemple, A1 fait référence à la section A, point 1, de l'annexe I).</w:t>
            </w:r>
          </w:p>
        </w:tc>
      </w:tr>
    </w:tbl>
    <w:p w14:paraId="6E0CD45B" w14:textId="6C30B390" w:rsidR="00CB0EBD" w:rsidRDefault="00CB0EBD" w:rsidP="006C4E87">
      <w:pPr>
        <w:spacing w:before="240" w:after="120" w:line="240" w:lineRule="auto"/>
        <w:jc w:val="both"/>
        <w:rPr>
          <w:rFonts w:ascii="Times New Roman" w:eastAsia="Times New Roman" w:hAnsi="Times New Roman" w:cs="Times New Roman"/>
          <w:b/>
          <w:bCs/>
          <w:color w:val="000000"/>
          <w:sz w:val="24"/>
          <w:szCs w:val="24"/>
          <w:lang w:eastAsia="fr-FR"/>
        </w:rPr>
      </w:pPr>
    </w:p>
    <w:p w14:paraId="236579A6" w14:textId="2916FAB2" w:rsidR="00E96D72" w:rsidRDefault="00E96D72" w:rsidP="006C4E87">
      <w:pPr>
        <w:spacing w:before="240" w:after="120" w:line="240" w:lineRule="auto"/>
        <w:jc w:val="both"/>
        <w:rPr>
          <w:rFonts w:ascii="Times New Roman" w:eastAsia="Times New Roman" w:hAnsi="Times New Roman" w:cs="Times New Roman"/>
          <w:b/>
          <w:bCs/>
          <w:color w:val="000000"/>
          <w:sz w:val="24"/>
          <w:szCs w:val="24"/>
          <w:lang w:eastAsia="fr-FR"/>
        </w:rPr>
      </w:pPr>
    </w:p>
    <w:p w14:paraId="719C3668" w14:textId="77777777" w:rsidR="00E96D72" w:rsidRDefault="00E96D72" w:rsidP="006C4E87">
      <w:pPr>
        <w:spacing w:before="240" w:after="120" w:line="240" w:lineRule="auto"/>
        <w:jc w:val="both"/>
        <w:rPr>
          <w:rFonts w:ascii="Times New Roman" w:eastAsia="Times New Roman" w:hAnsi="Times New Roman" w:cs="Times New Roman"/>
          <w:b/>
          <w:bCs/>
          <w:color w:val="000000"/>
          <w:sz w:val="24"/>
          <w:szCs w:val="24"/>
          <w:lang w:eastAsia="fr-FR"/>
        </w:rPr>
      </w:pPr>
    </w:p>
    <w:p w14:paraId="7D3BA8E8" w14:textId="77777777" w:rsidR="006C4E87" w:rsidRPr="006C4E87" w:rsidRDefault="006C4E87" w:rsidP="006C4E87">
      <w:pPr>
        <w:spacing w:before="240" w:after="120" w:line="240" w:lineRule="auto"/>
        <w:jc w:val="both"/>
        <w:rPr>
          <w:rFonts w:ascii="Times New Roman" w:eastAsia="Times New Roman" w:hAnsi="Times New Roman" w:cs="Times New Roman"/>
          <w:b/>
          <w:bCs/>
          <w:color w:val="000000"/>
          <w:sz w:val="24"/>
          <w:szCs w:val="24"/>
          <w:lang w:eastAsia="fr-FR"/>
        </w:rPr>
      </w:pPr>
      <w:r w:rsidRPr="006C4E87">
        <w:rPr>
          <w:rFonts w:ascii="Times New Roman" w:eastAsia="Times New Roman" w:hAnsi="Times New Roman" w:cs="Times New Roman"/>
          <w:b/>
          <w:bCs/>
          <w:color w:val="000000"/>
          <w:sz w:val="24"/>
          <w:szCs w:val="24"/>
          <w:lang w:eastAsia="fr-FR"/>
        </w:rPr>
        <w:t xml:space="preserve">2.2. </w:t>
      </w:r>
      <w:r w:rsidRPr="006C4E87">
        <w:rPr>
          <w:rFonts w:ascii="Times New Roman" w:eastAsia="Times New Roman" w:hAnsi="Times New Roman" w:cs="Times New Roman"/>
          <w:b/>
          <w:bCs/>
          <w:i/>
          <w:iCs/>
          <w:color w:val="000000"/>
          <w:sz w:val="24"/>
          <w:szCs w:val="24"/>
          <w:lang w:eastAsia="fr-FR"/>
        </w:rPr>
        <w:t>Organisation structurelle de la succursale</w:t>
      </w:r>
      <w:r w:rsidRPr="006C4E87">
        <w:rPr>
          <w:rFonts w:ascii="Times New Roman" w:eastAsia="Times New Roman" w:hAnsi="Times New Roman" w:cs="Times New Roman"/>
          <w:b/>
          <w:bCs/>
          <w:color w:val="000000"/>
          <w:sz w:val="24"/>
          <w:szCs w:val="24"/>
          <w:lang w:eastAsia="fr-FR"/>
        </w:rPr>
        <w:t xml:space="preserve"> </w:t>
      </w:r>
    </w:p>
    <w:p w14:paraId="74CBC43D"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lastRenderedPageBreak/>
        <w:t>2.2.1. Description de la structure de l'organisation de la succursale, y compris des systèmes fonctionnels et juridiques de déclaration, ainsi que de la position et du rôle de la succursale au sein de la structure interne de l'établissement et, le cas échéant, de son groupe.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6C4E87" w:rsidRPr="006C4E87" w14:paraId="339BED7B" w14:textId="77777777" w:rsidTr="006C4E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345105"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i/>
                <w:iCs/>
                <w:color w:val="000000"/>
                <w:sz w:val="24"/>
                <w:szCs w:val="24"/>
                <w:lang w:eastAsia="fr-FR"/>
              </w:rPr>
              <w:t>[à remplir par l'établissement de crédit]</w:t>
            </w:r>
            <w:r w:rsidRPr="006C4E87">
              <w:rPr>
                <w:rFonts w:ascii="Times New Roman" w:eastAsia="Times New Roman" w:hAnsi="Times New Roman" w:cs="Times New Roman"/>
                <w:color w:val="000000"/>
                <w:sz w:val="24"/>
                <w:szCs w:val="24"/>
                <w:lang w:eastAsia="fr-FR"/>
              </w:rPr>
              <w:t xml:space="preserve"> </w:t>
            </w:r>
          </w:p>
          <w:p w14:paraId="1A150635"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i/>
                <w:iCs/>
                <w:color w:val="000000"/>
                <w:sz w:val="24"/>
                <w:szCs w:val="24"/>
                <w:lang w:eastAsia="fr-FR"/>
              </w:rPr>
              <w:t>La description peut être accompagnée de documents pertinents, par exemple un organigramme.</w:t>
            </w:r>
            <w:r w:rsidRPr="006C4E87">
              <w:rPr>
                <w:rFonts w:ascii="Times New Roman" w:eastAsia="Times New Roman" w:hAnsi="Times New Roman" w:cs="Times New Roman"/>
                <w:color w:val="000000"/>
                <w:sz w:val="24"/>
                <w:szCs w:val="24"/>
                <w:lang w:eastAsia="fr-FR"/>
              </w:rPr>
              <w:t xml:space="preserve"> </w:t>
            </w:r>
          </w:p>
        </w:tc>
      </w:tr>
    </w:tbl>
    <w:p w14:paraId="7FF2536F"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2.2.2. Description des dispositifs de gouvernance et des mécanismes de contrôle interne de la succursale, notamment:</w:t>
      </w:r>
    </w:p>
    <w:tbl>
      <w:tblPr>
        <w:tblW w:w="5000" w:type="pct"/>
        <w:tblCellSpacing w:w="0" w:type="dxa"/>
        <w:tblCellMar>
          <w:left w:w="0" w:type="dxa"/>
          <w:right w:w="0" w:type="dxa"/>
        </w:tblCellMar>
        <w:tblLook w:val="04A0" w:firstRow="1" w:lastRow="0" w:firstColumn="1" w:lastColumn="0" w:noHBand="0" w:noVBand="1"/>
      </w:tblPr>
      <w:tblGrid>
        <w:gridCol w:w="720"/>
        <w:gridCol w:w="8352"/>
      </w:tblGrid>
      <w:tr w:rsidR="006C4E87" w:rsidRPr="006C4E87" w14:paraId="1CA18182" w14:textId="77777777" w:rsidTr="006C4E87">
        <w:trPr>
          <w:tblCellSpacing w:w="0" w:type="dxa"/>
        </w:trPr>
        <w:tc>
          <w:tcPr>
            <w:tcW w:w="0" w:type="auto"/>
            <w:hideMark/>
          </w:tcPr>
          <w:p w14:paraId="0E77BBAB"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2.2.2.1.</w:t>
            </w:r>
          </w:p>
        </w:tc>
        <w:tc>
          <w:tcPr>
            <w:tcW w:w="0" w:type="auto"/>
            <w:hideMark/>
          </w:tcPr>
          <w:p w14:paraId="226749CB"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procédures de gestion des risques de la succursale et détail de la gestion du risque de liquidité de l'établissement et, le cas échéant, de son groupe</w:t>
            </w:r>
          </w:p>
          <w:p w14:paraId="6F86ACD6" w14:textId="77777777" w:rsidR="006C4E87" w:rsidRPr="006C4E87" w:rsidRDefault="006C4E87" w:rsidP="006C4E87">
            <w:pPr>
              <w:spacing w:after="0" w:line="240" w:lineRule="auto"/>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i/>
                <w:iCs/>
                <w:color w:val="000000"/>
                <w:sz w:val="24"/>
                <w:szCs w:val="24"/>
                <w:lang w:eastAsia="fr-FR"/>
              </w:rPr>
              <w:t>[à remplir par l'établissement de crédit]</w:t>
            </w:r>
            <w:r w:rsidRPr="006C4E87">
              <w:rPr>
                <w:rFonts w:ascii="Times New Roman" w:eastAsia="Times New Roman" w:hAnsi="Times New Roman" w:cs="Times New Roman"/>
                <w:color w:val="000000"/>
                <w:sz w:val="24"/>
                <w:szCs w:val="24"/>
                <w:lang w:eastAsia="fr-FR"/>
              </w:rPr>
              <w:t xml:space="preserve"> </w:t>
            </w:r>
          </w:p>
        </w:tc>
      </w:tr>
    </w:tbl>
    <w:p w14:paraId="7AF22420" w14:textId="77777777" w:rsidR="006C4E87" w:rsidRPr="006C4E87" w:rsidRDefault="006C4E87" w:rsidP="006C4E87">
      <w:pPr>
        <w:spacing w:after="0" w:line="240" w:lineRule="auto"/>
        <w:rPr>
          <w:rFonts w:ascii="Times New Roman" w:eastAsia="Times New Roman" w:hAnsi="Times New Roman" w:cs="Times New Roman"/>
          <w:vanish/>
          <w:color w:val="000000"/>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720"/>
        <w:gridCol w:w="8352"/>
      </w:tblGrid>
      <w:tr w:rsidR="006C4E87" w:rsidRPr="006C4E87" w14:paraId="03F78AF3" w14:textId="77777777" w:rsidTr="006C4E87">
        <w:trPr>
          <w:tblCellSpacing w:w="0" w:type="dxa"/>
        </w:trPr>
        <w:tc>
          <w:tcPr>
            <w:tcW w:w="0" w:type="auto"/>
            <w:hideMark/>
          </w:tcPr>
          <w:p w14:paraId="3660DFE7"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2.2.2.2.</w:t>
            </w:r>
          </w:p>
        </w:tc>
        <w:tc>
          <w:tcPr>
            <w:tcW w:w="0" w:type="auto"/>
            <w:hideMark/>
          </w:tcPr>
          <w:p w14:paraId="3D7A798F"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éventuelles limites applicables aux activités de la succursale, notamment à ses activités de prêt</w:t>
            </w:r>
          </w:p>
          <w:p w14:paraId="1E963838" w14:textId="77777777" w:rsidR="006C4E87" w:rsidRPr="006C4E87" w:rsidRDefault="006C4E87" w:rsidP="006C4E87">
            <w:pPr>
              <w:spacing w:after="0" w:line="240" w:lineRule="auto"/>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i/>
                <w:iCs/>
                <w:color w:val="000000"/>
                <w:sz w:val="24"/>
                <w:szCs w:val="24"/>
                <w:lang w:eastAsia="fr-FR"/>
              </w:rPr>
              <w:t>[à remplir par l'établissement de crédit]</w:t>
            </w:r>
            <w:r w:rsidRPr="006C4E87">
              <w:rPr>
                <w:rFonts w:ascii="Times New Roman" w:eastAsia="Times New Roman" w:hAnsi="Times New Roman" w:cs="Times New Roman"/>
                <w:color w:val="000000"/>
                <w:sz w:val="24"/>
                <w:szCs w:val="24"/>
                <w:lang w:eastAsia="fr-FR"/>
              </w:rPr>
              <w:t xml:space="preserve"> </w:t>
            </w:r>
          </w:p>
        </w:tc>
      </w:tr>
    </w:tbl>
    <w:p w14:paraId="4A9A2E25" w14:textId="77777777" w:rsidR="006C4E87" w:rsidRPr="006C4E87" w:rsidRDefault="006C4E87" w:rsidP="006C4E87">
      <w:pPr>
        <w:spacing w:after="0" w:line="240" w:lineRule="auto"/>
        <w:rPr>
          <w:rFonts w:ascii="Times New Roman" w:eastAsia="Times New Roman" w:hAnsi="Times New Roman" w:cs="Times New Roman"/>
          <w:vanish/>
          <w:color w:val="000000"/>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720"/>
        <w:gridCol w:w="8352"/>
      </w:tblGrid>
      <w:tr w:rsidR="006C4E87" w:rsidRPr="006C4E87" w14:paraId="72E34E8C" w14:textId="77777777" w:rsidTr="006C4E87">
        <w:trPr>
          <w:tblCellSpacing w:w="0" w:type="dxa"/>
        </w:trPr>
        <w:tc>
          <w:tcPr>
            <w:tcW w:w="0" w:type="auto"/>
            <w:hideMark/>
          </w:tcPr>
          <w:p w14:paraId="17E91F2E"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2.2.2.3.</w:t>
            </w:r>
          </w:p>
        </w:tc>
        <w:tc>
          <w:tcPr>
            <w:tcW w:w="0" w:type="auto"/>
            <w:hideMark/>
          </w:tcPr>
          <w:p w14:paraId="655DE41A"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détails des dispositifs d'audit interne de la succursale, y compris les coordonnées de la personne responsable de ces dispositifs et, le cas échéant, coordonnées de l'auditeur externe</w:t>
            </w:r>
          </w:p>
          <w:p w14:paraId="5E04A2B8" w14:textId="77777777" w:rsidR="006C4E87" w:rsidRPr="006C4E87" w:rsidRDefault="006C4E87" w:rsidP="006C4E87">
            <w:pPr>
              <w:spacing w:after="0" w:line="240" w:lineRule="auto"/>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i/>
                <w:iCs/>
                <w:color w:val="000000"/>
                <w:sz w:val="24"/>
                <w:szCs w:val="24"/>
                <w:lang w:eastAsia="fr-FR"/>
              </w:rPr>
              <w:t>[à remplir par l'établissement de crédit]</w:t>
            </w:r>
            <w:r w:rsidRPr="006C4E87">
              <w:rPr>
                <w:rFonts w:ascii="Times New Roman" w:eastAsia="Times New Roman" w:hAnsi="Times New Roman" w:cs="Times New Roman"/>
                <w:color w:val="000000"/>
                <w:sz w:val="24"/>
                <w:szCs w:val="24"/>
                <w:lang w:eastAsia="fr-FR"/>
              </w:rPr>
              <w:t xml:space="preserve"> </w:t>
            </w:r>
          </w:p>
        </w:tc>
      </w:tr>
    </w:tbl>
    <w:p w14:paraId="15494BAB" w14:textId="77777777" w:rsidR="006C4E87" w:rsidRPr="006C4E87" w:rsidRDefault="006C4E87" w:rsidP="006C4E87">
      <w:pPr>
        <w:spacing w:after="0" w:line="240" w:lineRule="auto"/>
        <w:rPr>
          <w:rFonts w:ascii="Times New Roman" w:eastAsia="Times New Roman" w:hAnsi="Times New Roman" w:cs="Times New Roman"/>
          <w:vanish/>
          <w:color w:val="000000"/>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720"/>
        <w:gridCol w:w="8352"/>
      </w:tblGrid>
      <w:tr w:rsidR="006C4E87" w:rsidRPr="006C4E87" w14:paraId="50DCAA78" w14:textId="77777777" w:rsidTr="006C4E87">
        <w:trPr>
          <w:tblCellSpacing w:w="0" w:type="dxa"/>
        </w:trPr>
        <w:tc>
          <w:tcPr>
            <w:tcW w:w="0" w:type="auto"/>
            <w:hideMark/>
          </w:tcPr>
          <w:p w14:paraId="37E8ADDF"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2.2.2.4.</w:t>
            </w:r>
          </w:p>
        </w:tc>
        <w:tc>
          <w:tcPr>
            <w:tcW w:w="0" w:type="auto"/>
            <w:hideMark/>
          </w:tcPr>
          <w:p w14:paraId="74631A2D"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mesures contre le blanchiment d'argent adoptées par la succursale, avec les coordonnées de la personne nommée pour veiller au respect de ces mesures</w:t>
            </w:r>
          </w:p>
          <w:p w14:paraId="18F02C35" w14:textId="77777777" w:rsidR="006C4E87" w:rsidRPr="006C4E87" w:rsidRDefault="006C4E87" w:rsidP="006C4E87">
            <w:pPr>
              <w:spacing w:after="0" w:line="240" w:lineRule="auto"/>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i/>
                <w:iCs/>
                <w:color w:val="000000"/>
                <w:sz w:val="24"/>
                <w:szCs w:val="24"/>
                <w:lang w:eastAsia="fr-FR"/>
              </w:rPr>
              <w:t>[à remplir par l'établissement de crédit]</w:t>
            </w:r>
            <w:r w:rsidRPr="006C4E87">
              <w:rPr>
                <w:rFonts w:ascii="Times New Roman" w:eastAsia="Times New Roman" w:hAnsi="Times New Roman" w:cs="Times New Roman"/>
                <w:color w:val="000000"/>
                <w:sz w:val="24"/>
                <w:szCs w:val="24"/>
                <w:lang w:eastAsia="fr-FR"/>
              </w:rPr>
              <w:t xml:space="preserve"> </w:t>
            </w:r>
          </w:p>
        </w:tc>
      </w:tr>
    </w:tbl>
    <w:p w14:paraId="3C84A6CB" w14:textId="77777777" w:rsidR="006C4E87" w:rsidRPr="006C4E87" w:rsidRDefault="006C4E87" w:rsidP="006C4E87">
      <w:pPr>
        <w:spacing w:after="0" w:line="240" w:lineRule="auto"/>
        <w:rPr>
          <w:rFonts w:ascii="Times New Roman" w:eastAsia="Times New Roman" w:hAnsi="Times New Roman" w:cs="Times New Roman"/>
          <w:vanish/>
          <w:color w:val="000000"/>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720"/>
        <w:gridCol w:w="8352"/>
      </w:tblGrid>
      <w:tr w:rsidR="006C4E87" w:rsidRPr="006C4E87" w14:paraId="3DAE0FF7" w14:textId="77777777" w:rsidTr="006C4E87">
        <w:trPr>
          <w:tblCellSpacing w:w="0" w:type="dxa"/>
        </w:trPr>
        <w:tc>
          <w:tcPr>
            <w:tcW w:w="0" w:type="auto"/>
            <w:hideMark/>
          </w:tcPr>
          <w:p w14:paraId="47FF947C"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2.2.2.5.</w:t>
            </w:r>
          </w:p>
        </w:tc>
        <w:tc>
          <w:tcPr>
            <w:tcW w:w="0" w:type="auto"/>
            <w:hideMark/>
          </w:tcPr>
          <w:p w14:paraId="32F0319D"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contrôle des accords d'externalisation et autres accords passés avec des tiers en rapport avec les activités menées dans la succursale qui sont couvertes par l'agrément de l'établissement.</w:t>
            </w:r>
          </w:p>
          <w:p w14:paraId="43AC2256" w14:textId="77777777" w:rsidR="006C4E87" w:rsidRPr="006C4E87" w:rsidRDefault="006C4E87" w:rsidP="006C4E87">
            <w:pPr>
              <w:spacing w:after="0" w:line="240" w:lineRule="auto"/>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i/>
                <w:iCs/>
                <w:color w:val="000000"/>
                <w:sz w:val="24"/>
                <w:szCs w:val="24"/>
                <w:lang w:eastAsia="fr-FR"/>
              </w:rPr>
              <w:t>[à remplir par l'établissement de crédit]</w:t>
            </w:r>
            <w:r w:rsidRPr="006C4E87">
              <w:rPr>
                <w:rFonts w:ascii="Times New Roman" w:eastAsia="Times New Roman" w:hAnsi="Times New Roman" w:cs="Times New Roman"/>
                <w:color w:val="000000"/>
                <w:sz w:val="24"/>
                <w:szCs w:val="24"/>
                <w:lang w:eastAsia="fr-FR"/>
              </w:rPr>
              <w:t xml:space="preserve"> </w:t>
            </w:r>
          </w:p>
        </w:tc>
      </w:tr>
    </w:tbl>
    <w:p w14:paraId="59A73E96" w14:textId="74AB545D"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2.2.3. Lorsqu'il est prévu que la succursale assure un ou plusieurs services et activités d'investissement définis à l'article 4, paragraphe 1, point 2, de la directive 20</w:t>
      </w:r>
      <w:r w:rsidR="000156C3">
        <w:rPr>
          <w:rFonts w:ascii="Times New Roman" w:eastAsia="Times New Roman" w:hAnsi="Times New Roman" w:cs="Times New Roman"/>
          <w:color w:val="000000"/>
          <w:sz w:val="24"/>
          <w:szCs w:val="24"/>
          <w:lang w:eastAsia="fr-FR"/>
        </w:rPr>
        <w:t>14</w:t>
      </w:r>
      <w:r w:rsidRPr="006C4E87">
        <w:rPr>
          <w:rFonts w:ascii="Times New Roman" w:eastAsia="Times New Roman" w:hAnsi="Times New Roman" w:cs="Times New Roman"/>
          <w:color w:val="000000"/>
          <w:sz w:val="24"/>
          <w:szCs w:val="24"/>
          <w:lang w:eastAsia="fr-FR"/>
        </w:rPr>
        <w:t>/</w:t>
      </w:r>
      <w:r w:rsidR="000156C3">
        <w:rPr>
          <w:rFonts w:ascii="Times New Roman" w:eastAsia="Times New Roman" w:hAnsi="Times New Roman" w:cs="Times New Roman"/>
          <w:color w:val="000000"/>
          <w:sz w:val="24"/>
          <w:szCs w:val="24"/>
          <w:lang w:eastAsia="fr-FR"/>
        </w:rPr>
        <w:t>65</w:t>
      </w:r>
      <w:r w:rsidRPr="006C4E87">
        <w:rPr>
          <w:rFonts w:ascii="Times New Roman" w:eastAsia="Times New Roman" w:hAnsi="Times New Roman" w:cs="Times New Roman"/>
          <w:color w:val="000000"/>
          <w:sz w:val="24"/>
          <w:szCs w:val="24"/>
          <w:lang w:eastAsia="fr-FR"/>
        </w:rPr>
        <w:t>/</w:t>
      </w:r>
      <w:r w:rsidR="000156C3">
        <w:rPr>
          <w:rFonts w:ascii="Times New Roman" w:eastAsia="Times New Roman" w:hAnsi="Times New Roman" w:cs="Times New Roman"/>
          <w:color w:val="000000"/>
          <w:sz w:val="24"/>
          <w:szCs w:val="24"/>
          <w:lang w:eastAsia="fr-FR"/>
        </w:rPr>
        <w:t>UE</w:t>
      </w:r>
      <w:r w:rsidRPr="006C4E87">
        <w:rPr>
          <w:rFonts w:ascii="Times New Roman" w:eastAsia="Times New Roman" w:hAnsi="Times New Roman" w:cs="Times New Roman"/>
          <w:color w:val="000000"/>
          <w:sz w:val="24"/>
          <w:szCs w:val="24"/>
          <w:lang w:eastAsia="fr-FR"/>
        </w:rPr>
        <w:t>, une description des mesures suivantes:</w:t>
      </w:r>
    </w:p>
    <w:tbl>
      <w:tblPr>
        <w:tblW w:w="5000" w:type="pct"/>
        <w:tblCellSpacing w:w="0" w:type="dxa"/>
        <w:tblCellMar>
          <w:left w:w="0" w:type="dxa"/>
          <w:right w:w="0" w:type="dxa"/>
        </w:tblCellMar>
        <w:tblLook w:val="04A0" w:firstRow="1" w:lastRow="0" w:firstColumn="1" w:lastColumn="0" w:noHBand="0" w:noVBand="1"/>
      </w:tblPr>
      <w:tblGrid>
        <w:gridCol w:w="1150"/>
        <w:gridCol w:w="7922"/>
      </w:tblGrid>
      <w:tr w:rsidR="006C4E87" w:rsidRPr="006C4E87" w14:paraId="77CDF8F8" w14:textId="77777777" w:rsidTr="006C4E87">
        <w:trPr>
          <w:tblCellSpacing w:w="0" w:type="dxa"/>
        </w:trPr>
        <w:tc>
          <w:tcPr>
            <w:tcW w:w="0" w:type="auto"/>
            <w:hideMark/>
          </w:tcPr>
          <w:p w14:paraId="0018E1C1"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2.2.3.1.</w:t>
            </w:r>
          </w:p>
        </w:tc>
        <w:tc>
          <w:tcPr>
            <w:tcW w:w="0" w:type="auto"/>
            <w:hideMark/>
          </w:tcPr>
          <w:p w14:paraId="559953BF"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mesures de protection des fonds et actifs des clients</w:t>
            </w:r>
          </w:p>
          <w:p w14:paraId="762EADC9" w14:textId="77777777" w:rsidR="006C4E87" w:rsidRPr="006C4E87" w:rsidRDefault="006C4E87" w:rsidP="006C4E87">
            <w:pPr>
              <w:spacing w:after="0" w:line="240" w:lineRule="auto"/>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i/>
                <w:iCs/>
                <w:color w:val="000000"/>
                <w:sz w:val="24"/>
                <w:szCs w:val="24"/>
                <w:lang w:eastAsia="fr-FR"/>
              </w:rPr>
              <w:t>[à remplir par l'établissement de crédit]</w:t>
            </w:r>
            <w:r w:rsidRPr="006C4E87">
              <w:rPr>
                <w:rFonts w:ascii="Times New Roman" w:eastAsia="Times New Roman" w:hAnsi="Times New Roman" w:cs="Times New Roman"/>
                <w:color w:val="000000"/>
                <w:sz w:val="24"/>
                <w:szCs w:val="24"/>
                <w:lang w:eastAsia="fr-FR"/>
              </w:rPr>
              <w:t xml:space="preserve"> </w:t>
            </w:r>
          </w:p>
        </w:tc>
      </w:tr>
    </w:tbl>
    <w:p w14:paraId="33D53329" w14:textId="77777777" w:rsidR="006C4E87" w:rsidRPr="006C4E87" w:rsidRDefault="006C4E87" w:rsidP="006C4E87">
      <w:pPr>
        <w:spacing w:after="0" w:line="240" w:lineRule="auto"/>
        <w:rPr>
          <w:rFonts w:ascii="Times New Roman" w:eastAsia="Times New Roman" w:hAnsi="Times New Roman" w:cs="Times New Roman"/>
          <w:vanish/>
          <w:color w:val="000000"/>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720"/>
        <w:gridCol w:w="8352"/>
      </w:tblGrid>
      <w:tr w:rsidR="006C4E87" w:rsidRPr="006C4E87" w14:paraId="16FE626A" w14:textId="77777777" w:rsidTr="006C4E87">
        <w:trPr>
          <w:tblCellSpacing w:w="0" w:type="dxa"/>
        </w:trPr>
        <w:tc>
          <w:tcPr>
            <w:tcW w:w="0" w:type="auto"/>
            <w:hideMark/>
          </w:tcPr>
          <w:p w14:paraId="1518897C"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2.2.3.2.</w:t>
            </w:r>
          </w:p>
        </w:tc>
        <w:tc>
          <w:tcPr>
            <w:tcW w:w="0" w:type="auto"/>
            <w:hideMark/>
          </w:tcPr>
          <w:p w14:paraId="695F0880"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mesures adoptées pour se conformer aux obligations établies par les articles 19, 21, 22, 25, 27 et 28 de la directive 2004/39/CE et les mesures adoptées en vertu de celles-ci par les autorités compétentes concernées de l'État membre d'accueil</w:t>
            </w:r>
          </w:p>
          <w:p w14:paraId="7DD60803" w14:textId="77777777" w:rsidR="006C4E87" w:rsidRPr="006C4E87" w:rsidRDefault="006C4E87" w:rsidP="006C4E87">
            <w:pPr>
              <w:spacing w:after="0" w:line="240" w:lineRule="auto"/>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i/>
                <w:iCs/>
                <w:color w:val="000000"/>
                <w:sz w:val="24"/>
                <w:szCs w:val="24"/>
                <w:lang w:eastAsia="fr-FR"/>
              </w:rPr>
              <w:t>[à remplir par l'établissement de crédit]</w:t>
            </w:r>
            <w:r w:rsidRPr="006C4E87">
              <w:rPr>
                <w:rFonts w:ascii="Times New Roman" w:eastAsia="Times New Roman" w:hAnsi="Times New Roman" w:cs="Times New Roman"/>
                <w:color w:val="000000"/>
                <w:sz w:val="24"/>
                <w:szCs w:val="24"/>
                <w:lang w:eastAsia="fr-FR"/>
              </w:rPr>
              <w:t xml:space="preserve"> </w:t>
            </w:r>
          </w:p>
        </w:tc>
      </w:tr>
    </w:tbl>
    <w:p w14:paraId="381231C8" w14:textId="77777777" w:rsidR="006C4E87" w:rsidRPr="006C4E87" w:rsidRDefault="006C4E87" w:rsidP="006C4E87">
      <w:pPr>
        <w:spacing w:after="0" w:line="240" w:lineRule="auto"/>
        <w:rPr>
          <w:rFonts w:ascii="Times New Roman" w:eastAsia="Times New Roman" w:hAnsi="Times New Roman" w:cs="Times New Roman"/>
          <w:vanish/>
          <w:color w:val="000000"/>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720"/>
        <w:gridCol w:w="8352"/>
      </w:tblGrid>
      <w:tr w:rsidR="006C4E87" w:rsidRPr="006C4E87" w14:paraId="75101049" w14:textId="77777777" w:rsidTr="006C4E87">
        <w:trPr>
          <w:tblCellSpacing w:w="0" w:type="dxa"/>
        </w:trPr>
        <w:tc>
          <w:tcPr>
            <w:tcW w:w="0" w:type="auto"/>
            <w:hideMark/>
          </w:tcPr>
          <w:p w14:paraId="2D0CA51E"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lastRenderedPageBreak/>
              <w:t>2.2.3.3.</w:t>
            </w:r>
          </w:p>
        </w:tc>
        <w:tc>
          <w:tcPr>
            <w:tcW w:w="0" w:type="auto"/>
            <w:hideMark/>
          </w:tcPr>
          <w:p w14:paraId="5927331C"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code de conduite interne, y compris les contrôles des transactions réalisées par les membres du personnel pour leur propre compte</w:t>
            </w:r>
          </w:p>
          <w:p w14:paraId="4FE09063" w14:textId="77777777" w:rsidR="006C4E87" w:rsidRPr="006C4E87" w:rsidRDefault="006C4E87" w:rsidP="006C4E87">
            <w:pPr>
              <w:spacing w:after="0" w:line="240" w:lineRule="auto"/>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i/>
                <w:iCs/>
                <w:color w:val="000000"/>
                <w:sz w:val="24"/>
                <w:szCs w:val="24"/>
                <w:lang w:eastAsia="fr-FR"/>
              </w:rPr>
              <w:t>[à remplir par l'établissement de crédit]</w:t>
            </w:r>
            <w:r w:rsidRPr="006C4E87">
              <w:rPr>
                <w:rFonts w:ascii="Times New Roman" w:eastAsia="Times New Roman" w:hAnsi="Times New Roman" w:cs="Times New Roman"/>
                <w:color w:val="000000"/>
                <w:sz w:val="24"/>
                <w:szCs w:val="24"/>
                <w:lang w:eastAsia="fr-FR"/>
              </w:rPr>
              <w:t xml:space="preserve"> </w:t>
            </w:r>
          </w:p>
        </w:tc>
      </w:tr>
    </w:tbl>
    <w:p w14:paraId="044DB70F" w14:textId="77777777" w:rsidR="006C4E87" w:rsidRPr="006C4E87" w:rsidRDefault="006C4E87" w:rsidP="006C4E87">
      <w:pPr>
        <w:spacing w:after="0" w:line="240" w:lineRule="auto"/>
        <w:rPr>
          <w:rFonts w:ascii="Times New Roman" w:eastAsia="Times New Roman" w:hAnsi="Times New Roman" w:cs="Times New Roman"/>
          <w:vanish/>
          <w:color w:val="000000"/>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720"/>
        <w:gridCol w:w="8352"/>
      </w:tblGrid>
      <w:tr w:rsidR="006C4E87" w:rsidRPr="006C4E87" w14:paraId="67852E9C" w14:textId="77777777" w:rsidTr="006C4E87">
        <w:trPr>
          <w:tblCellSpacing w:w="0" w:type="dxa"/>
        </w:trPr>
        <w:tc>
          <w:tcPr>
            <w:tcW w:w="0" w:type="auto"/>
            <w:hideMark/>
          </w:tcPr>
          <w:p w14:paraId="34747BB6"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2.2.3.4.</w:t>
            </w:r>
          </w:p>
        </w:tc>
        <w:tc>
          <w:tcPr>
            <w:tcW w:w="0" w:type="auto"/>
            <w:hideMark/>
          </w:tcPr>
          <w:p w14:paraId="73BAD6F9"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coordonnées de la personne chargée de traiter les réclamations en rapport avec les services et activités d'investissement de la succursale</w:t>
            </w:r>
          </w:p>
          <w:p w14:paraId="61D5F0D6" w14:textId="77777777" w:rsidR="006C4E87" w:rsidRPr="006C4E87" w:rsidRDefault="006C4E87" w:rsidP="006C4E87">
            <w:pPr>
              <w:spacing w:after="0" w:line="240" w:lineRule="auto"/>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i/>
                <w:iCs/>
                <w:color w:val="000000"/>
                <w:sz w:val="24"/>
                <w:szCs w:val="24"/>
                <w:lang w:eastAsia="fr-FR"/>
              </w:rPr>
              <w:t>[à remplir par l'établissement de crédit]</w:t>
            </w:r>
            <w:r w:rsidRPr="006C4E87">
              <w:rPr>
                <w:rFonts w:ascii="Times New Roman" w:eastAsia="Times New Roman" w:hAnsi="Times New Roman" w:cs="Times New Roman"/>
                <w:color w:val="000000"/>
                <w:sz w:val="24"/>
                <w:szCs w:val="24"/>
                <w:lang w:eastAsia="fr-FR"/>
              </w:rPr>
              <w:t xml:space="preserve"> </w:t>
            </w:r>
          </w:p>
        </w:tc>
      </w:tr>
    </w:tbl>
    <w:p w14:paraId="7B5A13F3" w14:textId="77777777" w:rsidR="006C4E87" w:rsidRPr="006C4E87" w:rsidRDefault="006C4E87" w:rsidP="006C4E87">
      <w:pPr>
        <w:spacing w:after="0" w:line="240" w:lineRule="auto"/>
        <w:rPr>
          <w:rFonts w:ascii="Times New Roman" w:eastAsia="Times New Roman" w:hAnsi="Times New Roman" w:cs="Times New Roman"/>
          <w:vanish/>
          <w:color w:val="000000"/>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720"/>
        <w:gridCol w:w="8352"/>
      </w:tblGrid>
      <w:tr w:rsidR="006C4E87" w:rsidRPr="006C4E87" w14:paraId="4BDAB612" w14:textId="77777777" w:rsidTr="006C4E87">
        <w:trPr>
          <w:tblCellSpacing w:w="0" w:type="dxa"/>
        </w:trPr>
        <w:tc>
          <w:tcPr>
            <w:tcW w:w="0" w:type="auto"/>
            <w:hideMark/>
          </w:tcPr>
          <w:p w14:paraId="49BC4617"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2.2.3.5.</w:t>
            </w:r>
          </w:p>
        </w:tc>
        <w:tc>
          <w:tcPr>
            <w:tcW w:w="0" w:type="auto"/>
            <w:hideMark/>
          </w:tcPr>
          <w:p w14:paraId="56D9C116"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coordonnées de la personne nommée pour veiller au respect des accords de la succursale en rapport avec les services et activités d'investissement</w:t>
            </w:r>
          </w:p>
          <w:p w14:paraId="7AD155EF" w14:textId="77777777" w:rsidR="006C4E87" w:rsidRPr="006C4E87" w:rsidRDefault="006C4E87" w:rsidP="006C4E87">
            <w:pPr>
              <w:spacing w:after="0" w:line="240" w:lineRule="auto"/>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i/>
                <w:iCs/>
                <w:color w:val="000000"/>
                <w:sz w:val="24"/>
                <w:szCs w:val="24"/>
                <w:lang w:eastAsia="fr-FR"/>
              </w:rPr>
              <w:t>[à remplir par l'établissement de crédit]</w:t>
            </w:r>
            <w:r w:rsidRPr="006C4E87">
              <w:rPr>
                <w:rFonts w:ascii="Times New Roman" w:eastAsia="Times New Roman" w:hAnsi="Times New Roman" w:cs="Times New Roman"/>
                <w:color w:val="000000"/>
                <w:sz w:val="24"/>
                <w:szCs w:val="24"/>
                <w:lang w:eastAsia="fr-FR"/>
              </w:rPr>
              <w:t xml:space="preserve"> </w:t>
            </w:r>
          </w:p>
        </w:tc>
      </w:tr>
    </w:tbl>
    <w:p w14:paraId="2087C14F"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2.2.4. renseignements sur l'expérience personnelle des personnes responsables de la direction de la succursale</w:t>
      </w:r>
    </w:p>
    <w:p w14:paraId="130FB557" w14:textId="77777777" w:rsidR="006C4E87" w:rsidRPr="006C4E87" w:rsidRDefault="006C4E87" w:rsidP="006C4E87">
      <w:pPr>
        <w:spacing w:after="0" w:line="240" w:lineRule="auto"/>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i/>
          <w:iCs/>
          <w:color w:val="000000"/>
          <w:sz w:val="24"/>
          <w:szCs w:val="24"/>
          <w:lang w:eastAsia="fr-FR"/>
        </w:rPr>
        <w:t>[à remplir par l'établissement de crédit]</w:t>
      </w:r>
      <w:r w:rsidRPr="006C4E87">
        <w:rPr>
          <w:rFonts w:ascii="Times New Roman" w:eastAsia="Times New Roman" w:hAnsi="Times New Roman" w:cs="Times New Roman"/>
          <w:color w:val="000000"/>
          <w:sz w:val="24"/>
          <w:szCs w:val="24"/>
          <w:lang w:eastAsia="fr-FR"/>
        </w:rPr>
        <w:t xml:space="preserve"> </w:t>
      </w:r>
    </w:p>
    <w:p w14:paraId="5CAC8293" w14:textId="77777777" w:rsidR="006C4E87" w:rsidRPr="006C4E87" w:rsidRDefault="006C4E87" w:rsidP="006C4E87">
      <w:pPr>
        <w:spacing w:before="240" w:after="120" w:line="240" w:lineRule="auto"/>
        <w:jc w:val="both"/>
        <w:rPr>
          <w:rFonts w:ascii="Times New Roman" w:eastAsia="Times New Roman" w:hAnsi="Times New Roman" w:cs="Times New Roman"/>
          <w:b/>
          <w:bCs/>
          <w:color w:val="000000"/>
          <w:sz w:val="24"/>
          <w:szCs w:val="24"/>
          <w:lang w:eastAsia="fr-FR"/>
        </w:rPr>
      </w:pPr>
      <w:r w:rsidRPr="006C4E87">
        <w:rPr>
          <w:rFonts w:ascii="Times New Roman" w:eastAsia="Times New Roman" w:hAnsi="Times New Roman" w:cs="Times New Roman"/>
          <w:b/>
          <w:bCs/>
          <w:color w:val="000000"/>
          <w:sz w:val="24"/>
          <w:szCs w:val="24"/>
          <w:lang w:eastAsia="fr-FR"/>
        </w:rPr>
        <w:t xml:space="preserve">2.3. </w:t>
      </w:r>
      <w:r w:rsidRPr="006C4E87">
        <w:rPr>
          <w:rFonts w:ascii="Times New Roman" w:eastAsia="Times New Roman" w:hAnsi="Times New Roman" w:cs="Times New Roman"/>
          <w:b/>
          <w:bCs/>
          <w:i/>
          <w:iCs/>
          <w:color w:val="000000"/>
          <w:sz w:val="24"/>
          <w:szCs w:val="24"/>
          <w:lang w:eastAsia="fr-FR"/>
        </w:rPr>
        <w:t>Autres informations</w:t>
      </w:r>
      <w:r w:rsidRPr="006C4E87">
        <w:rPr>
          <w:rFonts w:ascii="Times New Roman" w:eastAsia="Times New Roman" w:hAnsi="Times New Roman" w:cs="Times New Roman"/>
          <w:b/>
          <w:bCs/>
          <w:color w:val="000000"/>
          <w:sz w:val="24"/>
          <w:szCs w:val="24"/>
          <w:lang w:eastAsia="fr-FR"/>
        </w:rPr>
        <w:t xml:space="preserve"> </w:t>
      </w:r>
    </w:p>
    <w:p w14:paraId="611A358A" w14:textId="1D204983"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2.3.1. Plan financier incluant un bilan prévisionnel et un compte de résultat prévisionnel, couvrant une période de trois ans</w:t>
      </w:r>
      <w:bookmarkStart w:id="0" w:name="_GoBack"/>
      <w:bookmarkEnd w:id="0"/>
      <w:r w:rsidR="00A75C61">
        <w:rPr>
          <w:rFonts w:ascii="Times New Roman" w:eastAsia="Times New Roman" w:hAnsi="Times New Roman" w:cs="Times New Roman"/>
          <w:color w:val="000000"/>
          <w:sz w:val="24"/>
          <w:szCs w:val="24"/>
          <w:lang w:eastAsia="fr-FR"/>
        </w:rPr>
        <w:t xml:space="preserve"> </w:t>
      </w:r>
      <w:r w:rsidR="00A75C61" w:rsidRPr="003B202E">
        <w:rPr>
          <w:rFonts w:ascii="Times New Roman" w:eastAsia="Times New Roman" w:hAnsi="Times New Roman" w:cs="Times New Roman"/>
          <w:color w:val="000000"/>
          <w:sz w:val="24"/>
          <w:szCs w:val="24"/>
          <w:lang w:eastAsia="fr-FR"/>
        </w:rPr>
        <w:t>comprenant les hypothèses sous-jacentes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56"/>
      </w:tblGrid>
      <w:tr w:rsidR="006C4E87" w:rsidRPr="006C4E87" w14:paraId="02B42AFC" w14:textId="77777777" w:rsidTr="006C4E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84DDCD"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i/>
                <w:iCs/>
                <w:color w:val="000000"/>
                <w:sz w:val="24"/>
                <w:szCs w:val="24"/>
                <w:lang w:eastAsia="fr-FR"/>
              </w:rPr>
              <w:t>[à remplir par l'établissement de crédit]</w:t>
            </w:r>
            <w:r w:rsidRPr="006C4E87">
              <w:rPr>
                <w:rFonts w:ascii="Times New Roman" w:eastAsia="Times New Roman" w:hAnsi="Times New Roman" w:cs="Times New Roman"/>
                <w:color w:val="000000"/>
                <w:sz w:val="24"/>
                <w:szCs w:val="24"/>
                <w:lang w:eastAsia="fr-FR"/>
              </w:rPr>
              <w:t xml:space="preserve"> </w:t>
            </w:r>
          </w:p>
          <w:p w14:paraId="153DE62E"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i/>
                <w:iCs/>
                <w:color w:val="000000"/>
                <w:sz w:val="24"/>
                <w:szCs w:val="24"/>
                <w:lang w:eastAsia="fr-FR"/>
              </w:rPr>
              <w:t>Ces informations peuvent être fournies en pièce jointe à la notification.</w:t>
            </w:r>
            <w:r w:rsidRPr="006C4E87">
              <w:rPr>
                <w:rFonts w:ascii="Times New Roman" w:eastAsia="Times New Roman" w:hAnsi="Times New Roman" w:cs="Times New Roman"/>
                <w:color w:val="000000"/>
                <w:sz w:val="24"/>
                <w:szCs w:val="24"/>
                <w:lang w:eastAsia="fr-FR"/>
              </w:rPr>
              <w:t xml:space="preserve"> </w:t>
            </w:r>
          </w:p>
        </w:tc>
      </w:tr>
    </w:tbl>
    <w:p w14:paraId="54E1C8D5"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2.3.2. Nom et coordonnées des systèmes européens de garantie des dépôts et de protection des investisseurs dont l'établissement est membre et qui couvrent les activités et services de la succursale, ainsi que la couverture maximale du système de protection des investisseurs.</w:t>
      </w:r>
    </w:p>
    <w:p w14:paraId="74E27190" w14:textId="77777777" w:rsidR="006C4E87" w:rsidRPr="006C4E87" w:rsidRDefault="006C4E87" w:rsidP="006C4E87">
      <w:pPr>
        <w:spacing w:after="0" w:line="240" w:lineRule="auto"/>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i/>
          <w:iCs/>
          <w:color w:val="000000"/>
          <w:sz w:val="24"/>
          <w:szCs w:val="24"/>
          <w:lang w:eastAsia="fr-FR"/>
        </w:rPr>
        <w:t>[à remplir par l'établissement de crédit]</w:t>
      </w:r>
      <w:r w:rsidRPr="006C4E87">
        <w:rPr>
          <w:rFonts w:ascii="Times New Roman" w:eastAsia="Times New Roman" w:hAnsi="Times New Roman" w:cs="Times New Roman"/>
          <w:color w:val="000000"/>
          <w:sz w:val="24"/>
          <w:szCs w:val="24"/>
          <w:lang w:eastAsia="fr-FR"/>
        </w:rPr>
        <w:t xml:space="preserve"> </w:t>
      </w:r>
    </w:p>
    <w:p w14:paraId="2E2B9E85" w14:textId="77777777" w:rsidR="006C4E87" w:rsidRPr="006C4E87" w:rsidRDefault="006C4E87" w:rsidP="006C4E87">
      <w:pPr>
        <w:spacing w:before="120" w:after="0" w:line="240" w:lineRule="auto"/>
        <w:jc w:val="both"/>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color w:val="000000"/>
          <w:sz w:val="24"/>
          <w:szCs w:val="24"/>
          <w:lang w:eastAsia="fr-FR"/>
        </w:rPr>
        <w:t>2.3.3. Renseignements sur les dispositions prises par la succursale en matière de systèmes informatiques</w:t>
      </w:r>
    </w:p>
    <w:p w14:paraId="5A6D1BDF" w14:textId="77777777" w:rsidR="006C4E87" w:rsidRPr="006C4E87" w:rsidRDefault="006C4E87" w:rsidP="006C4E87">
      <w:pPr>
        <w:spacing w:after="0" w:line="240" w:lineRule="auto"/>
        <w:rPr>
          <w:rFonts w:ascii="Times New Roman" w:eastAsia="Times New Roman" w:hAnsi="Times New Roman" w:cs="Times New Roman"/>
          <w:color w:val="000000"/>
          <w:sz w:val="24"/>
          <w:szCs w:val="24"/>
          <w:lang w:eastAsia="fr-FR"/>
        </w:rPr>
      </w:pPr>
      <w:r w:rsidRPr="006C4E87">
        <w:rPr>
          <w:rFonts w:ascii="Times New Roman" w:eastAsia="Times New Roman" w:hAnsi="Times New Roman" w:cs="Times New Roman"/>
          <w:i/>
          <w:iCs/>
          <w:color w:val="000000"/>
          <w:sz w:val="24"/>
          <w:szCs w:val="24"/>
          <w:lang w:eastAsia="fr-FR"/>
        </w:rPr>
        <w:t>[à remplir par l'établissement de crédit]</w:t>
      </w:r>
      <w:r w:rsidRPr="006C4E87">
        <w:rPr>
          <w:rFonts w:ascii="Times New Roman" w:eastAsia="Times New Roman" w:hAnsi="Times New Roman" w:cs="Times New Roman"/>
          <w:color w:val="000000"/>
          <w:sz w:val="24"/>
          <w:szCs w:val="24"/>
          <w:lang w:eastAsia="fr-FR"/>
        </w:rPr>
        <w:t xml:space="preserve"> </w:t>
      </w:r>
    </w:p>
    <w:p w14:paraId="26D325C3" w14:textId="77777777" w:rsidR="006C4E87" w:rsidRPr="006C4E87" w:rsidRDefault="00DF49AB" w:rsidP="006C4E87">
      <w:pPr>
        <w:spacing w:before="240" w:after="6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pict w14:anchorId="5D6E75CB">
          <v:rect id="_x0000_i1025" style="width:90.7pt;height:.75pt" o:hrpct="200" o:hrstd="t" o:hrnoshade="t" o:hr="t" fillcolor="black" stroked="f"/>
        </w:pict>
      </w:r>
    </w:p>
    <w:p w14:paraId="0D5C64F6" w14:textId="77777777" w:rsidR="006C4E87" w:rsidRPr="006C4E87" w:rsidRDefault="006C4E87" w:rsidP="006C4E87">
      <w:pPr>
        <w:spacing w:before="60" w:after="60" w:line="240" w:lineRule="auto"/>
        <w:jc w:val="both"/>
        <w:rPr>
          <w:rFonts w:ascii="Times New Roman" w:eastAsia="Times New Roman" w:hAnsi="Times New Roman" w:cs="Times New Roman"/>
          <w:color w:val="000000"/>
          <w:sz w:val="19"/>
          <w:szCs w:val="19"/>
          <w:lang w:eastAsia="fr-FR"/>
        </w:rPr>
      </w:pPr>
    </w:p>
    <w:tbl>
      <w:tblPr>
        <w:tblW w:w="0" w:type="auto"/>
        <w:shd w:val="clear" w:color="auto" w:fill="D9D9D9"/>
        <w:tblLook w:val="01E0" w:firstRow="1" w:lastRow="1" w:firstColumn="1" w:lastColumn="1" w:noHBand="0" w:noVBand="0"/>
      </w:tblPr>
      <w:tblGrid>
        <w:gridCol w:w="2802"/>
        <w:gridCol w:w="3260"/>
      </w:tblGrid>
      <w:tr w:rsidR="000B7B3C" w:rsidRPr="007D55CF" w14:paraId="480D4ADD" w14:textId="77777777" w:rsidTr="004E1A5D">
        <w:tc>
          <w:tcPr>
            <w:tcW w:w="2802" w:type="dxa"/>
            <w:shd w:val="clear" w:color="auto" w:fill="auto"/>
          </w:tcPr>
          <w:p w14:paraId="2C99F0E8" w14:textId="77777777" w:rsidR="000B7B3C" w:rsidRPr="007D55CF" w:rsidRDefault="000B7B3C" w:rsidP="004E1A5D">
            <w:pPr>
              <w:suppressAutoHyphens/>
              <w:spacing w:before="120" w:after="120"/>
              <w:rPr>
                <w:rFonts w:ascii="Arial" w:hAnsi="Arial" w:cs="Arial"/>
                <w:sz w:val="20"/>
              </w:rPr>
            </w:pPr>
            <w:r w:rsidRPr="007D55CF">
              <w:rPr>
                <w:rFonts w:ascii="Arial" w:hAnsi="Arial" w:cs="Arial"/>
                <w:sz w:val="20"/>
              </w:rPr>
              <w:t>Date</w:t>
            </w:r>
          </w:p>
        </w:tc>
        <w:tc>
          <w:tcPr>
            <w:tcW w:w="3260" w:type="dxa"/>
            <w:shd w:val="clear" w:color="auto" w:fill="D9D9D9"/>
          </w:tcPr>
          <w:p w14:paraId="28BBCF52" w14:textId="77777777" w:rsidR="000B7B3C" w:rsidRPr="007D55CF" w:rsidRDefault="000B7B3C" w:rsidP="004E1A5D">
            <w:pPr>
              <w:suppressAutoHyphens/>
              <w:spacing w:before="120" w:after="120"/>
              <w:ind w:left="57"/>
              <w:rPr>
                <w:rFonts w:ascii="Arial" w:hAnsi="Arial" w:cs="Arial"/>
                <w:sz w:val="20"/>
              </w:rPr>
            </w:pPr>
            <w:r w:rsidRPr="007D55CF">
              <w:rPr>
                <w:rFonts w:ascii="Arial" w:hAnsi="Arial" w:cs="Arial"/>
              </w:rPr>
              <w:fldChar w:fldCharType="begin">
                <w:ffData>
                  <w:name w:val=""/>
                  <w:enabled/>
                  <w:calcOnExit w:val="0"/>
                  <w:helpText w:type="text" w:val="Le format de la date est : jj/mm/aaaa"/>
                  <w:statusText w:type="text" w:val="jj/mm/aaaa"/>
                  <w:textInput>
                    <w:type w:val="date"/>
                    <w:maxLength w:val="10"/>
                    <w:format w:val="dd/MM/yyyy"/>
                  </w:textInput>
                </w:ffData>
              </w:fldChar>
            </w:r>
            <w:r w:rsidRPr="007D55CF">
              <w:rPr>
                <w:rFonts w:ascii="Arial" w:hAnsi="Arial" w:cs="Arial"/>
              </w:rPr>
              <w:instrText xml:space="preserve"> FORMTEXT </w:instrText>
            </w:r>
            <w:r w:rsidRPr="007D55CF">
              <w:rPr>
                <w:rFonts w:ascii="Arial" w:hAnsi="Arial" w:cs="Arial"/>
              </w:rPr>
            </w:r>
            <w:r w:rsidRPr="007D55CF">
              <w:rPr>
                <w:rFonts w:ascii="Arial" w:hAnsi="Arial" w:cs="Arial"/>
              </w:rPr>
              <w:fldChar w:fldCharType="separate"/>
            </w:r>
            <w:r w:rsidRPr="007D55CF">
              <w:rPr>
                <w:rFonts w:ascii="Arial" w:hAnsi="Arial" w:cs="Arial"/>
                <w:noProof/>
              </w:rPr>
              <w:t> </w:t>
            </w:r>
            <w:r w:rsidRPr="007D55CF">
              <w:rPr>
                <w:rFonts w:ascii="Arial" w:hAnsi="Arial" w:cs="Arial"/>
                <w:noProof/>
              </w:rPr>
              <w:t> </w:t>
            </w:r>
            <w:r w:rsidRPr="007D55CF">
              <w:rPr>
                <w:rFonts w:ascii="Arial" w:hAnsi="Arial" w:cs="Arial"/>
                <w:noProof/>
              </w:rPr>
              <w:t> </w:t>
            </w:r>
            <w:r w:rsidRPr="007D55CF">
              <w:rPr>
                <w:rFonts w:ascii="Arial" w:hAnsi="Arial" w:cs="Arial"/>
                <w:noProof/>
              </w:rPr>
              <w:t> </w:t>
            </w:r>
            <w:r w:rsidRPr="007D55CF">
              <w:rPr>
                <w:rFonts w:ascii="Arial" w:hAnsi="Arial" w:cs="Arial"/>
                <w:noProof/>
              </w:rPr>
              <w:t> </w:t>
            </w:r>
            <w:r w:rsidRPr="007D55CF">
              <w:rPr>
                <w:rFonts w:ascii="Arial" w:hAnsi="Arial" w:cs="Arial"/>
              </w:rPr>
              <w:fldChar w:fldCharType="end"/>
            </w:r>
          </w:p>
        </w:tc>
      </w:tr>
      <w:tr w:rsidR="000B7B3C" w:rsidRPr="007D55CF" w14:paraId="170384EA" w14:textId="77777777" w:rsidTr="004E1A5D">
        <w:tc>
          <w:tcPr>
            <w:tcW w:w="2802" w:type="dxa"/>
            <w:shd w:val="clear" w:color="auto" w:fill="auto"/>
          </w:tcPr>
          <w:p w14:paraId="40FDE477" w14:textId="77777777" w:rsidR="000B7B3C" w:rsidRPr="007D55CF" w:rsidRDefault="000B7B3C" w:rsidP="000B7B3C">
            <w:pPr>
              <w:suppressAutoHyphens/>
              <w:spacing w:before="120" w:after="120"/>
              <w:rPr>
                <w:rFonts w:ascii="Arial" w:hAnsi="Arial" w:cs="Arial"/>
                <w:sz w:val="20"/>
              </w:rPr>
            </w:pPr>
            <w:r>
              <w:rPr>
                <w:rFonts w:ascii="Arial" w:hAnsi="Arial" w:cs="Arial"/>
                <w:sz w:val="20"/>
              </w:rPr>
              <w:t>Nom et fonction</w:t>
            </w:r>
          </w:p>
        </w:tc>
        <w:tc>
          <w:tcPr>
            <w:tcW w:w="3260" w:type="dxa"/>
            <w:shd w:val="clear" w:color="auto" w:fill="D9D9D9"/>
          </w:tcPr>
          <w:p w14:paraId="67327D73" w14:textId="77777777" w:rsidR="000B7B3C" w:rsidRPr="007D55CF" w:rsidRDefault="000B7B3C" w:rsidP="004E1A5D">
            <w:pPr>
              <w:suppressAutoHyphens/>
              <w:spacing w:before="120" w:after="120"/>
              <w:ind w:left="57"/>
              <w:rPr>
                <w:rFonts w:ascii="Arial" w:hAnsi="Arial" w:cs="Arial"/>
                <w:sz w:val="20"/>
              </w:rPr>
            </w:pPr>
            <w:r>
              <w:rPr>
                <w:rFonts w:ascii="Arial" w:hAnsi="Arial" w:cs="Arial"/>
              </w:rPr>
              <w:fldChar w:fldCharType="begin">
                <w:ffData>
                  <w:name w:val=""/>
                  <w:enabled/>
                  <w:calcOnExit w:val="0"/>
                  <w:helpText w:type="text" w:val="Le format de la date est : jj/mm/aaaa"/>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38A428D" w14:textId="77777777" w:rsidR="005B08A5" w:rsidRDefault="005B08A5" w:rsidP="000B7B3C">
      <w:pPr>
        <w:shd w:val="clear" w:color="auto" w:fill="FFFFFF"/>
        <w:tabs>
          <w:tab w:val="left" w:pos="1134"/>
        </w:tabs>
        <w:suppressAutoHyphens/>
        <w:rPr>
          <w:rFonts w:ascii="Arial" w:hAnsi="Arial" w:cs="Arial"/>
          <w:sz w:val="20"/>
        </w:rPr>
      </w:pPr>
      <w:r>
        <w:rPr>
          <w:rFonts w:ascii="Arial" w:hAnsi="Arial" w:cs="Arial"/>
          <w:sz w:val="20"/>
        </w:rPr>
        <w:t xml:space="preserve">  </w:t>
      </w:r>
    </w:p>
    <w:p w14:paraId="7D0EBA34" w14:textId="3B7853FF" w:rsidR="000B7B3C" w:rsidRPr="004A20C5" w:rsidRDefault="005B08A5" w:rsidP="000B7B3C">
      <w:pPr>
        <w:shd w:val="clear" w:color="auto" w:fill="FFFFFF"/>
        <w:tabs>
          <w:tab w:val="left" w:pos="1134"/>
        </w:tabs>
        <w:suppressAutoHyphens/>
        <w:rPr>
          <w:rFonts w:ascii="Arial" w:hAnsi="Arial" w:cs="Arial"/>
          <w:sz w:val="20"/>
        </w:rPr>
      </w:pPr>
      <w:r>
        <w:rPr>
          <w:rFonts w:ascii="Arial" w:hAnsi="Arial" w:cs="Arial"/>
          <w:sz w:val="20"/>
        </w:rPr>
        <w:t xml:space="preserve">  </w:t>
      </w:r>
      <w:r w:rsidR="000B7B3C">
        <w:rPr>
          <w:rFonts w:ascii="Arial" w:hAnsi="Arial" w:cs="Arial"/>
          <w:sz w:val="20"/>
        </w:rPr>
        <w:t>Signature</w:t>
      </w:r>
    </w:p>
    <w:p w14:paraId="390A5BBF" w14:textId="77777777" w:rsidR="000B7B3C" w:rsidRDefault="000B7B3C"/>
    <w:sectPr w:rsidR="000B7B3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6C442" w14:textId="77777777" w:rsidR="00DF49AB" w:rsidRDefault="00DF49AB" w:rsidP="008A1938">
      <w:pPr>
        <w:spacing w:after="0" w:line="240" w:lineRule="auto"/>
      </w:pPr>
      <w:r>
        <w:separator/>
      </w:r>
    </w:p>
  </w:endnote>
  <w:endnote w:type="continuationSeparator" w:id="0">
    <w:p w14:paraId="0C349FEF" w14:textId="77777777" w:rsidR="00DF49AB" w:rsidRDefault="00DF49AB" w:rsidP="008A1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1"/>
    <w:family w:val="swiss"/>
    <w:pitch w:val="variable"/>
  </w:font>
  <w:font w:name="SymbolMT">
    <w:altName w:val="Malgun Gothic Semilight"/>
    <w:panose1 w:val="00000000000000000000"/>
    <w:charset w:val="88"/>
    <w:family w:val="auto"/>
    <w:notTrueType/>
    <w:pitch w:val="default"/>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DejaVu Serif">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86834"/>
      <w:docPartObj>
        <w:docPartGallery w:val="Page Numbers (Bottom of Page)"/>
        <w:docPartUnique/>
      </w:docPartObj>
    </w:sdtPr>
    <w:sdtEndPr/>
    <w:sdtContent>
      <w:p w14:paraId="02BFA656" w14:textId="32194794" w:rsidR="008A1938" w:rsidRDefault="008A1938">
        <w:pPr>
          <w:pStyle w:val="Pieddepage"/>
          <w:jc w:val="right"/>
        </w:pPr>
        <w:r>
          <w:fldChar w:fldCharType="begin"/>
        </w:r>
        <w:r>
          <w:instrText>PAGE   \* MERGEFORMAT</w:instrText>
        </w:r>
        <w:r>
          <w:fldChar w:fldCharType="separate"/>
        </w:r>
        <w:r w:rsidR="009D3CDF">
          <w:rPr>
            <w:noProof/>
          </w:rPr>
          <w:t>7</w:t>
        </w:r>
        <w:r>
          <w:fldChar w:fldCharType="end"/>
        </w:r>
      </w:p>
    </w:sdtContent>
  </w:sdt>
  <w:p w14:paraId="0D5CF4C2" w14:textId="77777777" w:rsidR="008A1938" w:rsidRDefault="008A19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C132A" w14:textId="77777777" w:rsidR="00DF49AB" w:rsidRDefault="00DF49AB" w:rsidP="008A1938">
      <w:pPr>
        <w:spacing w:after="0" w:line="240" w:lineRule="auto"/>
      </w:pPr>
      <w:r>
        <w:separator/>
      </w:r>
    </w:p>
  </w:footnote>
  <w:footnote w:type="continuationSeparator" w:id="0">
    <w:p w14:paraId="5580ECDE" w14:textId="77777777" w:rsidR="00DF49AB" w:rsidRDefault="00DF49AB" w:rsidP="008A1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7CBBA" w14:textId="77777777" w:rsidR="0010506A" w:rsidRDefault="0010506A" w:rsidP="0010506A">
    <w:pPr>
      <w:pStyle w:val="En-tte"/>
      <w:jc w:val="center"/>
    </w:pPr>
    <w:r>
      <w:rPr>
        <w:noProof/>
        <w:sz w:val="56"/>
        <w:szCs w:val="56"/>
        <w:lang w:eastAsia="fr-FR"/>
      </w:rPr>
      <w:drawing>
        <wp:inline distT="0" distB="0" distL="0" distR="0" wp14:anchorId="1492F6E3" wp14:editId="65161650">
          <wp:extent cx="1310532" cy="923925"/>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532"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A6E8C"/>
    <w:multiLevelType w:val="hybridMultilevel"/>
    <w:tmpl w:val="9A88F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60"/>
    <w:rsid w:val="000156C3"/>
    <w:rsid w:val="00097819"/>
    <w:rsid w:val="000B10E4"/>
    <w:rsid w:val="000B7B3C"/>
    <w:rsid w:val="0010506A"/>
    <w:rsid w:val="00117556"/>
    <w:rsid w:val="00171827"/>
    <w:rsid w:val="00185629"/>
    <w:rsid w:val="00257A50"/>
    <w:rsid w:val="00260C50"/>
    <w:rsid w:val="002D02DD"/>
    <w:rsid w:val="002E4660"/>
    <w:rsid w:val="003218BE"/>
    <w:rsid w:val="00362453"/>
    <w:rsid w:val="003B202E"/>
    <w:rsid w:val="004A626D"/>
    <w:rsid w:val="00571541"/>
    <w:rsid w:val="005B08A5"/>
    <w:rsid w:val="005B4F22"/>
    <w:rsid w:val="0060462B"/>
    <w:rsid w:val="0065778D"/>
    <w:rsid w:val="00670D80"/>
    <w:rsid w:val="006B02CD"/>
    <w:rsid w:val="006C4E87"/>
    <w:rsid w:val="006E14CE"/>
    <w:rsid w:val="00723FAA"/>
    <w:rsid w:val="0077157B"/>
    <w:rsid w:val="007F407D"/>
    <w:rsid w:val="008408C2"/>
    <w:rsid w:val="008A1938"/>
    <w:rsid w:val="008C528A"/>
    <w:rsid w:val="008D767C"/>
    <w:rsid w:val="00910278"/>
    <w:rsid w:val="0092273B"/>
    <w:rsid w:val="00925901"/>
    <w:rsid w:val="009369DF"/>
    <w:rsid w:val="009A3D41"/>
    <w:rsid w:val="009A3FB7"/>
    <w:rsid w:val="009D3CDF"/>
    <w:rsid w:val="009D3F31"/>
    <w:rsid w:val="009F1A61"/>
    <w:rsid w:val="00A059CE"/>
    <w:rsid w:val="00A3061B"/>
    <w:rsid w:val="00A75C61"/>
    <w:rsid w:val="00AA4E5B"/>
    <w:rsid w:val="00AB574C"/>
    <w:rsid w:val="00C267B9"/>
    <w:rsid w:val="00C7790B"/>
    <w:rsid w:val="00CB0EBD"/>
    <w:rsid w:val="00CD67E9"/>
    <w:rsid w:val="00D10E06"/>
    <w:rsid w:val="00D117EF"/>
    <w:rsid w:val="00D80D04"/>
    <w:rsid w:val="00DF49AB"/>
    <w:rsid w:val="00E11863"/>
    <w:rsid w:val="00E13D16"/>
    <w:rsid w:val="00E41E49"/>
    <w:rsid w:val="00E96D72"/>
    <w:rsid w:val="00E9708C"/>
    <w:rsid w:val="00EA1821"/>
    <w:rsid w:val="00ED3D11"/>
    <w:rsid w:val="00F855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C58D"/>
  <w15:docId w15:val="{06790D76-BF5E-40DF-8035-A826ADC5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1938"/>
    <w:pPr>
      <w:tabs>
        <w:tab w:val="center" w:pos="4536"/>
        <w:tab w:val="right" w:pos="9072"/>
      </w:tabs>
      <w:spacing w:after="0" w:line="240" w:lineRule="auto"/>
    </w:pPr>
  </w:style>
  <w:style w:type="character" w:customStyle="1" w:styleId="En-tteCar">
    <w:name w:val="En-tête Car"/>
    <w:basedOn w:val="Policepardfaut"/>
    <w:link w:val="En-tte"/>
    <w:uiPriority w:val="99"/>
    <w:rsid w:val="008A1938"/>
  </w:style>
  <w:style w:type="paragraph" w:styleId="Pieddepage">
    <w:name w:val="footer"/>
    <w:basedOn w:val="Normal"/>
    <w:link w:val="PieddepageCar"/>
    <w:uiPriority w:val="99"/>
    <w:unhideWhenUsed/>
    <w:rsid w:val="008A19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1938"/>
  </w:style>
  <w:style w:type="paragraph" w:styleId="Textedebulles">
    <w:name w:val="Balloon Text"/>
    <w:basedOn w:val="Normal"/>
    <w:link w:val="TextedebullesCar"/>
    <w:uiPriority w:val="99"/>
    <w:semiHidden/>
    <w:unhideWhenUsed/>
    <w:rsid w:val="001050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506A"/>
    <w:rPr>
      <w:rFonts w:ascii="Tahoma" w:hAnsi="Tahoma" w:cs="Tahoma"/>
      <w:sz w:val="16"/>
      <w:szCs w:val="16"/>
    </w:rPr>
  </w:style>
  <w:style w:type="character" w:styleId="Lienhypertexte">
    <w:name w:val="Hyperlink"/>
    <w:basedOn w:val="Policepardfaut"/>
    <w:uiPriority w:val="99"/>
    <w:unhideWhenUsed/>
    <w:rsid w:val="0060462B"/>
    <w:rPr>
      <w:color w:val="0000FF" w:themeColor="hyperlink"/>
      <w:u w:val="single"/>
    </w:rPr>
  </w:style>
  <w:style w:type="paragraph" w:styleId="Paragraphedeliste">
    <w:name w:val="List Paragraph"/>
    <w:basedOn w:val="Normal"/>
    <w:uiPriority w:val="34"/>
    <w:qFormat/>
    <w:rsid w:val="0060462B"/>
    <w:pPr>
      <w:spacing w:after="0" w:line="240" w:lineRule="auto"/>
      <w:ind w:left="720"/>
    </w:pPr>
    <w:rPr>
      <w:rFonts w:ascii="Calibri" w:hAnsi="Calibri" w:cs="Calibri"/>
    </w:rPr>
  </w:style>
  <w:style w:type="character" w:customStyle="1" w:styleId="tokencreated">
    <w:name w:val="token_created"/>
    <w:basedOn w:val="Policepardfaut"/>
    <w:rsid w:val="00E13D16"/>
  </w:style>
  <w:style w:type="character" w:customStyle="1" w:styleId="tokenscreated">
    <w:name w:val="tokens_created"/>
    <w:basedOn w:val="Policepardfaut"/>
    <w:rsid w:val="00E13D16"/>
  </w:style>
  <w:style w:type="character" w:styleId="Marquedecommentaire">
    <w:name w:val="annotation reference"/>
    <w:basedOn w:val="Policepardfaut"/>
    <w:uiPriority w:val="99"/>
    <w:semiHidden/>
    <w:unhideWhenUsed/>
    <w:rsid w:val="0065778D"/>
    <w:rPr>
      <w:sz w:val="16"/>
      <w:szCs w:val="16"/>
    </w:rPr>
  </w:style>
  <w:style w:type="paragraph" w:styleId="Commentaire">
    <w:name w:val="annotation text"/>
    <w:basedOn w:val="Normal"/>
    <w:link w:val="CommentaireCar"/>
    <w:uiPriority w:val="99"/>
    <w:unhideWhenUsed/>
    <w:rsid w:val="0065778D"/>
    <w:pPr>
      <w:spacing w:line="240" w:lineRule="auto"/>
    </w:pPr>
    <w:rPr>
      <w:sz w:val="20"/>
      <w:szCs w:val="20"/>
    </w:rPr>
  </w:style>
  <w:style w:type="character" w:customStyle="1" w:styleId="CommentaireCar">
    <w:name w:val="Commentaire Car"/>
    <w:basedOn w:val="Policepardfaut"/>
    <w:link w:val="Commentaire"/>
    <w:uiPriority w:val="99"/>
    <w:rsid w:val="0065778D"/>
    <w:rPr>
      <w:sz w:val="20"/>
      <w:szCs w:val="20"/>
    </w:rPr>
  </w:style>
  <w:style w:type="paragraph" w:styleId="Objetducommentaire">
    <w:name w:val="annotation subject"/>
    <w:basedOn w:val="Commentaire"/>
    <w:next w:val="Commentaire"/>
    <w:link w:val="ObjetducommentaireCar"/>
    <w:uiPriority w:val="99"/>
    <w:semiHidden/>
    <w:unhideWhenUsed/>
    <w:rsid w:val="0065778D"/>
    <w:rPr>
      <w:b/>
      <w:bCs/>
    </w:rPr>
  </w:style>
  <w:style w:type="character" w:customStyle="1" w:styleId="ObjetducommentaireCar">
    <w:name w:val="Objet du commentaire Car"/>
    <w:basedOn w:val="CommentaireCar"/>
    <w:link w:val="Objetducommentaire"/>
    <w:uiPriority w:val="99"/>
    <w:semiHidden/>
    <w:rsid w:val="0065778D"/>
    <w:rPr>
      <w:b/>
      <w:bCs/>
      <w:sz w:val="20"/>
      <w:szCs w:val="20"/>
    </w:rPr>
  </w:style>
  <w:style w:type="character" w:customStyle="1" w:styleId="jlqj4b">
    <w:name w:val="jlqj4b"/>
    <w:basedOn w:val="Policepardfaut"/>
    <w:rsid w:val="00185629"/>
  </w:style>
  <w:style w:type="character" w:customStyle="1" w:styleId="y2iqfc">
    <w:name w:val="y2iqfc"/>
    <w:basedOn w:val="Policepardfaut"/>
    <w:rsid w:val="00670D80"/>
  </w:style>
  <w:style w:type="table" w:customStyle="1" w:styleId="TableNormal">
    <w:name w:val="Table Normal"/>
    <w:uiPriority w:val="2"/>
    <w:semiHidden/>
    <w:unhideWhenUsed/>
    <w:qFormat/>
    <w:rsid w:val="000156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156C3"/>
    <w:pPr>
      <w:widowControl w:val="0"/>
      <w:autoSpaceDE w:val="0"/>
      <w:autoSpaceDN w:val="0"/>
      <w:spacing w:after="0" w:line="240" w:lineRule="auto"/>
    </w:pPr>
    <w:rPr>
      <w:rFonts w:ascii="DejaVu Sans" w:eastAsia="DejaVu Sans" w:hAnsi="DejaVu Sans" w:cs="DejaVu Sans"/>
      <w:lang w:val="en-US"/>
    </w:rPr>
  </w:style>
  <w:style w:type="character" w:customStyle="1" w:styleId="CorpsdetexteCar">
    <w:name w:val="Corps de texte Car"/>
    <w:basedOn w:val="Policepardfaut"/>
    <w:link w:val="Corpsdetexte"/>
    <w:uiPriority w:val="1"/>
    <w:rsid w:val="000156C3"/>
    <w:rPr>
      <w:rFonts w:ascii="DejaVu Sans" w:eastAsia="DejaVu Sans" w:hAnsi="DejaVu Sans" w:cs="DejaVu Sans"/>
      <w:lang w:val="en-US"/>
    </w:rPr>
  </w:style>
  <w:style w:type="paragraph" w:customStyle="1" w:styleId="TableParagraph">
    <w:name w:val="Table Paragraph"/>
    <w:basedOn w:val="Normal"/>
    <w:uiPriority w:val="1"/>
    <w:qFormat/>
    <w:rsid w:val="000156C3"/>
    <w:pPr>
      <w:widowControl w:val="0"/>
      <w:autoSpaceDE w:val="0"/>
      <w:autoSpaceDN w:val="0"/>
      <w:spacing w:after="0" w:line="240" w:lineRule="auto"/>
    </w:pPr>
    <w:rPr>
      <w:rFonts w:ascii="DejaVu Sans" w:eastAsia="DejaVu Sans" w:hAnsi="DejaVu Sans" w:cs="DejaVu Sa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598664">
      <w:bodyDiv w:val="1"/>
      <w:marLeft w:val="390"/>
      <w:marRight w:val="390"/>
      <w:marTop w:val="0"/>
      <w:marBottom w:val="0"/>
      <w:divBdr>
        <w:top w:val="none" w:sz="0" w:space="0" w:color="auto"/>
        <w:left w:val="none" w:sz="0" w:space="0" w:color="auto"/>
        <w:bottom w:val="none" w:sz="0" w:space="0" w:color="auto"/>
        <w:right w:val="none" w:sz="0" w:space="0" w:color="auto"/>
      </w:divBdr>
      <w:divsChild>
        <w:div w:id="955333095">
          <w:marLeft w:val="0"/>
          <w:marRight w:val="0"/>
          <w:marTop w:val="0"/>
          <w:marBottom w:val="0"/>
          <w:divBdr>
            <w:top w:val="none" w:sz="0" w:space="0" w:color="auto"/>
            <w:left w:val="none" w:sz="0" w:space="0" w:color="auto"/>
            <w:bottom w:val="none" w:sz="0" w:space="0" w:color="auto"/>
            <w:right w:val="none" w:sz="0" w:space="0" w:color="auto"/>
          </w:divBdr>
          <w:divsChild>
            <w:div w:id="2138601568">
              <w:marLeft w:val="0"/>
              <w:marRight w:val="0"/>
              <w:marTop w:val="0"/>
              <w:marBottom w:val="0"/>
              <w:divBdr>
                <w:top w:val="none" w:sz="0" w:space="0" w:color="auto"/>
                <w:left w:val="none" w:sz="0" w:space="0" w:color="auto"/>
                <w:bottom w:val="none" w:sz="0" w:space="0" w:color="auto"/>
                <w:right w:val="none" w:sz="0" w:space="0" w:color="auto"/>
              </w:divBdr>
            </w:div>
            <w:div w:id="468521713">
              <w:marLeft w:val="0"/>
              <w:marRight w:val="0"/>
              <w:marTop w:val="0"/>
              <w:marBottom w:val="0"/>
              <w:divBdr>
                <w:top w:val="none" w:sz="0" w:space="0" w:color="auto"/>
                <w:left w:val="none" w:sz="0" w:space="0" w:color="auto"/>
                <w:bottom w:val="none" w:sz="0" w:space="0" w:color="auto"/>
                <w:right w:val="none" w:sz="0" w:space="0" w:color="auto"/>
              </w:divBdr>
            </w:div>
            <w:div w:id="908922442">
              <w:marLeft w:val="0"/>
              <w:marRight w:val="0"/>
              <w:marTop w:val="0"/>
              <w:marBottom w:val="0"/>
              <w:divBdr>
                <w:top w:val="none" w:sz="0" w:space="0" w:color="auto"/>
                <w:left w:val="none" w:sz="0" w:space="0" w:color="auto"/>
                <w:bottom w:val="none" w:sz="0" w:space="0" w:color="auto"/>
                <w:right w:val="none" w:sz="0" w:space="0" w:color="auto"/>
              </w:divBdr>
            </w:div>
            <w:div w:id="1591083935">
              <w:marLeft w:val="0"/>
              <w:marRight w:val="0"/>
              <w:marTop w:val="0"/>
              <w:marBottom w:val="0"/>
              <w:divBdr>
                <w:top w:val="none" w:sz="0" w:space="0" w:color="auto"/>
                <w:left w:val="none" w:sz="0" w:space="0" w:color="auto"/>
                <w:bottom w:val="none" w:sz="0" w:space="0" w:color="auto"/>
                <w:right w:val="none" w:sz="0" w:space="0" w:color="auto"/>
              </w:divBdr>
            </w:div>
            <w:div w:id="873692914">
              <w:marLeft w:val="0"/>
              <w:marRight w:val="0"/>
              <w:marTop w:val="0"/>
              <w:marBottom w:val="0"/>
              <w:divBdr>
                <w:top w:val="none" w:sz="0" w:space="0" w:color="auto"/>
                <w:left w:val="none" w:sz="0" w:space="0" w:color="auto"/>
                <w:bottom w:val="none" w:sz="0" w:space="0" w:color="auto"/>
                <w:right w:val="none" w:sz="0" w:space="0" w:color="auto"/>
              </w:divBdr>
            </w:div>
            <w:div w:id="1722092730">
              <w:marLeft w:val="0"/>
              <w:marRight w:val="0"/>
              <w:marTop w:val="0"/>
              <w:marBottom w:val="0"/>
              <w:divBdr>
                <w:top w:val="none" w:sz="0" w:space="0" w:color="auto"/>
                <w:left w:val="none" w:sz="0" w:space="0" w:color="auto"/>
                <w:bottom w:val="none" w:sz="0" w:space="0" w:color="auto"/>
                <w:right w:val="none" w:sz="0" w:space="0" w:color="auto"/>
              </w:divBdr>
            </w:div>
            <w:div w:id="205680630">
              <w:marLeft w:val="0"/>
              <w:marRight w:val="0"/>
              <w:marTop w:val="0"/>
              <w:marBottom w:val="0"/>
              <w:divBdr>
                <w:top w:val="none" w:sz="0" w:space="0" w:color="auto"/>
                <w:left w:val="none" w:sz="0" w:space="0" w:color="auto"/>
                <w:bottom w:val="none" w:sz="0" w:space="0" w:color="auto"/>
                <w:right w:val="none" w:sz="0" w:space="0" w:color="auto"/>
              </w:divBdr>
            </w:div>
            <w:div w:id="1912882053">
              <w:marLeft w:val="0"/>
              <w:marRight w:val="0"/>
              <w:marTop w:val="0"/>
              <w:marBottom w:val="0"/>
              <w:divBdr>
                <w:top w:val="none" w:sz="0" w:space="0" w:color="auto"/>
                <w:left w:val="none" w:sz="0" w:space="0" w:color="auto"/>
                <w:bottom w:val="none" w:sz="0" w:space="0" w:color="auto"/>
                <w:right w:val="none" w:sz="0" w:space="0" w:color="auto"/>
              </w:divBdr>
            </w:div>
            <w:div w:id="8678111">
              <w:marLeft w:val="0"/>
              <w:marRight w:val="0"/>
              <w:marTop w:val="0"/>
              <w:marBottom w:val="0"/>
              <w:divBdr>
                <w:top w:val="none" w:sz="0" w:space="0" w:color="auto"/>
                <w:left w:val="none" w:sz="0" w:space="0" w:color="auto"/>
                <w:bottom w:val="none" w:sz="0" w:space="0" w:color="auto"/>
                <w:right w:val="none" w:sz="0" w:space="0" w:color="auto"/>
              </w:divBdr>
            </w:div>
            <w:div w:id="2045523343">
              <w:marLeft w:val="0"/>
              <w:marRight w:val="0"/>
              <w:marTop w:val="0"/>
              <w:marBottom w:val="0"/>
              <w:divBdr>
                <w:top w:val="none" w:sz="0" w:space="0" w:color="auto"/>
                <w:left w:val="none" w:sz="0" w:space="0" w:color="auto"/>
                <w:bottom w:val="none" w:sz="0" w:space="0" w:color="auto"/>
                <w:right w:val="none" w:sz="0" w:space="0" w:color="auto"/>
              </w:divBdr>
            </w:div>
            <w:div w:id="1535001530">
              <w:marLeft w:val="0"/>
              <w:marRight w:val="0"/>
              <w:marTop w:val="0"/>
              <w:marBottom w:val="0"/>
              <w:divBdr>
                <w:top w:val="none" w:sz="0" w:space="0" w:color="auto"/>
                <w:left w:val="none" w:sz="0" w:space="0" w:color="auto"/>
                <w:bottom w:val="none" w:sz="0" w:space="0" w:color="auto"/>
                <w:right w:val="none" w:sz="0" w:space="0" w:color="auto"/>
              </w:divBdr>
            </w:div>
            <w:div w:id="1798840741">
              <w:marLeft w:val="0"/>
              <w:marRight w:val="0"/>
              <w:marTop w:val="0"/>
              <w:marBottom w:val="0"/>
              <w:divBdr>
                <w:top w:val="none" w:sz="0" w:space="0" w:color="auto"/>
                <w:left w:val="none" w:sz="0" w:space="0" w:color="auto"/>
                <w:bottom w:val="none" w:sz="0" w:space="0" w:color="auto"/>
                <w:right w:val="none" w:sz="0" w:space="0" w:color="auto"/>
              </w:divBdr>
            </w:div>
            <w:div w:id="1765220763">
              <w:marLeft w:val="0"/>
              <w:marRight w:val="0"/>
              <w:marTop w:val="0"/>
              <w:marBottom w:val="0"/>
              <w:divBdr>
                <w:top w:val="none" w:sz="0" w:space="0" w:color="auto"/>
                <w:left w:val="none" w:sz="0" w:space="0" w:color="auto"/>
                <w:bottom w:val="none" w:sz="0" w:space="0" w:color="auto"/>
                <w:right w:val="none" w:sz="0" w:space="0" w:color="auto"/>
              </w:divBdr>
            </w:div>
            <w:div w:id="1635986754">
              <w:marLeft w:val="0"/>
              <w:marRight w:val="0"/>
              <w:marTop w:val="0"/>
              <w:marBottom w:val="0"/>
              <w:divBdr>
                <w:top w:val="none" w:sz="0" w:space="0" w:color="auto"/>
                <w:left w:val="none" w:sz="0" w:space="0" w:color="auto"/>
                <w:bottom w:val="none" w:sz="0" w:space="0" w:color="auto"/>
                <w:right w:val="none" w:sz="0" w:space="0" w:color="auto"/>
              </w:divBdr>
            </w:div>
            <w:div w:id="108360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FR/AUTO/?uri=OJ:L:2007:319:T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lex.europa.eu/legal-content/FR/TXT/HTML/?uri=CELEX:32014R0926&amp;from=F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eur-lex.europa.eu/legal-content/FR/TXT/HTML/?uri=CELEX:32014R0926&amp;from=FR" TargetMode="External"/><Relationship Id="rId4" Type="http://schemas.openxmlformats.org/officeDocument/2006/relationships/webSettings" Target="webSettings.xml"/><Relationship Id="rId9" Type="http://schemas.openxmlformats.org/officeDocument/2006/relationships/hyperlink" Target="http://eur-lex.europa.eu/legal-content/FR/TXT/HTML/?uri=CELEX:32014R0926&amp;from=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1768</Words>
  <Characters>9729</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ACPR</dc:creator>
  <cp:keywords/>
  <dc:description/>
  <cp:lastModifiedBy>CHAVOT Véronique (UA 2788)</cp:lastModifiedBy>
  <cp:revision>4</cp:revision>
  <dcterms:created xsi:type="dcterms:W3CDTF">2021-09-29T13:59:00Z</dcterms:created>
  <dcterms:modified xsi:type="dcterms:W3CDTF">2021-09-29T14:47:00Z</dcterms:modified>
</cp:coreProperties>
</file>