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E8" w:rsidRPr="009B47E8" w:rsidRDefault="009B47E8" w:rsidP="009B47E8">
      <w:pPr>
        <w:spacing w:before="240" w:after="120" w:line="240" w:lineRule="auto"/>
        <w:jc w:val="center"/>
        <w:rPr>
          <w:rFonts w:ascii="Times New Roman" w:eastAsia="Times New Roman" w:hAnsi="Times New Roman" w:cs="Times New Roman"/>
          <w:b/>
          <w:bCs/>
          <w:color w:val="000000"/>
          <w:sz w:val="24"/>
          <w:szCs w:val="24"/>
          <w:lang w:val="en-US" w:eastAsia="fr-FR"/>
        </w:rPr>
      </w:pPr>
      <w:r w:rsidRPr="009B47E8">
        <w:rPr>
          <w:rFonts w:ascii="Times New Roman" w:eastAsia="Times New Roman" w:hAnsi="Times New Roman" w:cs="Times New Roman"/>
          <w:b/>
          <w:bCs/>
          <w:color w:val="000000"/>
          <w:sz w:val="24"/>
          <w:szCs w:val="24"/>
          <w:lang w:val="en-US" w:eastAsia="fr-FR"/>
        </w:rPr>
        <w:t xml:space="preserve">ANNEX </w:t>
      </w:r>
      <w:proofErr w:type="gramStart"/>
      <w:r w:rsidRPr="009B47E8">
        <w:rPr>
          <w:rFonts w:ascii="Times New Roman" w:eastAsia="Times New Roman" w:hAnsi="Times New Roman" w:cs="Times New Roman"/>
          <w:b/>
          <w:bCs/>
          <w:color w:val="000000"/>
          <w:sz w:val="24"/>
          <w:szCs w:val="24"/>
          <w:lang w:val="en-US" w:eastAsia="fr-FR"/>
        </w:rPr>
        <w:t>I</w:t>
      </w:r>
      <w:proofErr w:type="gramEnd"/>
      <w:r>
        <w:rPr>
          <w:rFonts w:ascii="Times New Roman" w:eastAsia="Times New Roman" w:hAnsi="Times New Roman" w:cs="Times New Roman"/>
          <w:b/>
          <w:bCs/>
          <w:color w:val="000000"/>
          <w:sz w:val="24"/>
          <w:szCs w:val="24"/>
          <w:lang w:val="en-US" w:eastAsia="fr-FR"/>
        </w:rPr>
        <w:t xml:space="preserve"> of COMMISSION IMPLEMENTING REGULATION </w:t>
      </w:r>
      <w:r w:rsidR="008F1DDE">
        <w:rPr>
          <w:rFonts w:ascii="Times New Roman" w:eastAsia="Times New Roman" w:hAnsi="Times New Roman" w:cs="Times New Roman"/>
          <w:b/>
          <w:bCs/>
          <w:color w:val="000000"/>
          <w:sz w:val="24"/>
          <w:szCs w:val="24"/>
          <w:lang w:val="en-US" w:eastAsia="fr-FR"/>
        </w:rPr>
        <w:t xml:space="preserve">n° </w:t>
      </w:r>
      <w:r>
        <w:rPr>
          <w:rFonts w:ascii="Times New Roman" w:eastAsia="Times New Roman" w:hAnsi="Times New Roman" w:cs="Times New Roman"/>
          <w:b/>
          <w:bCs/>
          <w:color w:val="000000"/>
          <w:sz w:val="24"/>
          <w:szCs w:val="24"/>
          <w:lang w:val="en-US" w:eastAsia="fr-FR"/>
        </w:rPr>
        <w:t>926/2014</w:t>
      </w:r>
      <w:r w:rsidR="008F1DDE">
        <w:rPr>
          <w:rFonts w:ascii="Times New Roman" w:eastAsia="Times New Roman" w:hAnsi="Times New Roman" w:cs="Times New Roman"/>
          <w:b/>
          <w:bCs/>
          <w:color w:val="000000"/>
          <w:sz w:val="24"/>
          <w:szCs w:val="24"/>
          <w:lang w:val="en-US" w:eastAsia="fr-FR"/>
        </w:rPr>
        <w:t xml:space="preserve"> of the European Commission</w:t>
      </w:r>
    </w:p>
    <w:p w:rsidR="009B47E8" w:rsidRPr="009B47E8" w:rsidRDefault="009B47E8" w:rsidP="009B47E8">
      <w:pPr>
        <w:spacing w:before="240" w:after="120" w:line="240" w:lineRule="auto"/>
        <w:jc w:val="center"/>
        <w:rPr>
          <w:rFonts w:ascii="Times New Roman" w:eastAsia="Times New Roman" w:hAnsi="Times New Roman" w:cs="Times New Roman"/>
          <w:b/>
          <w:bCs/>
          <w:color w:val="000000"/>
          <w:sz w:val="24"/>
          <w:szCs w:val="24"/>
          <w:lang w:val="en-US" w:eastAsia="fr-FR"/>
        </w:rPr>
      </w:pPr>
      <w:r w:rsidRPr="009B47E8">
        <w:rPr>
          <w:rFonts w:ascii="Times New Roman" w:eastAsia="Times New Roman" w:hAnsi="Times New Roman" w:cs="Times New Roman"/>
          <w:b/>
          <w:bCs/>
          <w:color w:val="000000"/>
          <w:sz w:val="24"/>
          <w:szCs w:val="24"/>
          <w:lang w:val="en-US" w:eastAsia="fr-FR"/>
        </w:rPr>
        <w:t>Form for the submission of a branch passport notification or a change in a branch particulars notification</w:t>
      </w:r>
    </w:p>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Where credit institutions notify changes in branch particular notifications to competent authorities of home and host Member States, credit institutions shall only complete the parts of the form which contain information that has changed.</w:t>
      </w:r>
    </w:p>
    <w:p w:rsidR="009B47E8" w:rsidRPr="009B47E8" w:rsidRDefault="009B47E8" w:rsidP="009B47E8">
      <w:pPr>
        <w:spacing w:before="240" w:after="120" w:line="240" w:lineRule="auto"/>
        <w:jc w:val="both"/>
        <w:rPr>
          <w:rFonts w:ascii="Times New Roman" w:eastAsia="Times New Roman" w:hAnsi="Times New Roman" w:cs="Times New Roman"/>
          <w:b/>
          <w:bCs/>
          <w:color w:val="000000"/>
          <w:sz w:val="24"/>
          <w:szCs w:val="24"/>
          <w:lang w:eastAsia="fr-FR"/>
        </w:rPr>
      </w:pPr>
      <w:r w:rsidRPr="009B47E8">
        <w:rPr>
          <w:rFonts w:ascii="Times New Roman" w:eastAsia="Times New Roman" w:hAnsi="Times New Roman" w:cs="Times New Roman"/>
          <w:b/>
          <w:bCs/>
          <w:color w:val="000000"/>
          <w:sz w:val="24"/>
          <w:szCs w:val="24"/>
          <w:lang w:eastAsia="fr-FR"/>
        </w:rPr>
        <w:t xml:space="preserve">1. Contact information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165"/>
        <w:gridCol w:w="3937"/>
      </w:tblGrid>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Type of notification</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i/>
                <w:iCs/>
                <w:color w:val="000000"/>
                <w:lang w:eastAsia="fr-FR"/>
              </w:rPr>
              <w:t xml:space="preserve">[Branch </w:t>
            </w:r>
            <w:proofErr w:type="spellStart"/>
            <w:r w:rsidRPr="009B47E8">
              <w:rPr>
                <w:rFonts w:ascii="Times New Roman" w:eastAsia="Times New Roman" w:hAnsi="Times New Roman" w:cs="Times New Roman"/>
                <w:i/>
                <w:iCs/>
                <w:color w:val="000000"/>
                <w:lang w:eastAsia="fr-FR"/>
              </w:rPr>
              <w:t>passport</w:t>
            </w:r>
            <w:proofErr w:type="spellEnd"/>
            <w:r w:rsidRPr="009B47E8">
              <w:rPr>
                <w:rFonts w:ascii="Times New Roman" w:eastAsia="Times New Roman" w:hAnsi="Times New Roman" w:cs="Times New Roman"/>
                <w:i/>
                <w:iCs/>
                <w:color w:val="000000"/>
                <w:lang w:eastAsia="fr-FR"/>
              </w:rPr>
              <w:t xml:space="preserve"> notification/change in </w:t>
            </w:r>
            <w:proofErr w:type="spellStart"/>
            <w:r w:rsidRPr="009B47E8">
              <w:rPr>
                <w:rFonts w:ascii="Times New Roman" w:eastAsia="Times New Roman" w:hAnsi="Times New Roman" w:cs="Times New Roman"/>
                <w:i/>
                <w:iCs/>
                <w:color w:val="000000"/>
                <w:lang w:eastAsia="fr-FR"/>
              </w:rPr>
              <w:t>branch</w:t>
            </w:r>
            <w:proofErr w:type="spellEnd"/>
            <w:r w:rsidRPr="009B47E8">
              <w:rPr>
                <w:rFonts w:ascii="Times New Roman" w:eastAsia="Times New Roman" w:hAnsi="Times New Roman" w:cs="Times New Roman"/>
                <w:i/>
                <w:iCs/>
                <w:color w:val="000000"/>
                <w:lang w:eastAsia="fr-FR"/>
              </w:rPr>
              <w:t xml:space="preserve"> </w:t>
            </w:r>
            <w:proofErr w:type="spellStart"/>
            <w:r w:rsidRPr="009B47E8">
              <w:rPr>
                <w:rFonts w:ascii="Times New Roman" w:eastAsia="Times New Roman" w:hAnsi="Times New Roman" w:cs="Times New Roman"/>
                <w:i/>
                <w:iCs/>
                <w:color w:val="000000"/>
                <w:lang w:eastAsia="fr-FR"/>
              </w:rPr>
              <w:t>particulars</w:t>
            </w:r>
            <w:proofErr w:type="spellEnd"/>
            <w:r w:rsidRPr="009B47E8">
              <w:rPr>
                <w:rFonts w:ascii="Times New Roman" w:eastAsia="Times New Roman" w:hAnsi="Times New Roman" w:cs="Times New Roman"/>
                <w:i/>
                <w:iCs/>
                <w:color w:val="000000"/>
                <w:lang w:eastAsia="fr-FR"/>
              </w:rPr>
              <w:t xml:space="preserve"> notification]</w:t>
            </w:r>
            <w:r w:rsidRPr="009B47E8">
              <w:rPr>
                <w:rFonts w:ascii="Times New Roman" w:eastAsia="Times New Roman" w:hAnsi="Times New Roman" w:cs="Times New Roman"/>
                <w:color w:val="000000"/>
                <w:lang w:eastAsia="fr-FR"/>
              </w:rPr>
              <w:t xml:space="preserve"> </w:t>
            </w: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ind w:right="195"/>
              <w:jc w:val="center"/>
              <w:rPr>
                <w:rFonts w:ascii="Times New Roman" w:eastAsia="Times New Roman" w:hAnsi="Times New Roman" w:cs="Times New Roman"/>
                <w:b/>
                <w:bCs/>
                <w:color w:val="000000"/>
                <w:lang w:val="en-US" w:eastAsia="fr-FR"/>
              </w:rPr>
            </w:pPr>
            <w:r w:rsidRPr="009B47E8">
              <w:rPr>
                <w:rFonts w:ascii="Times New Roman" w:eastAsia="Times New Roman" w:hAnsi="Times New Roman" w:cs="Times New Roman"/>
                <w:b/>
                <w:bCs/>
                <w:color w:val="000000"/>
                <w:lang w:val="en-US" w:eastAsia="fr-FR"/>
              </w:rPr>
              <w:t>Host Member State in which the branch is to be established:</w:t>
            </w:r>
          </w:p>
        </w:tc>
        <w:tc>
          <w:tcPr>
            <w:tcW w:w="0" w:type="auto"/>
            <w:tcBorders>
              <w:top w:val="single" w:sz="6" w:space="0" w:color="000000"/>
              <w:left w:val="single" w:sz="6" w:space="0" w:color="000000"/>
              <w:bottom w:val="single" w:sz="6" w:space="0" w:color="000000"/>
              <w:right w:val="single" w:sz="6" w:space="0" w:color="000000"/>
            </w:tcBorders>
          </w:tcPr>
          <w:p w:rsidR="009B47E8" w:rsidRDefault="009B47E8" w:rsidP="009B47E8">
            <w:pPr>
              <w:spacing w:before="60" w:after="60" w:line="240" w:lineRule="auto"/>
              <w:rPr>
                <w:rFonts w:ascii="Times New Roman" w:eastAsia="Times New Roman" w:hAnsi="Times New Roman" w:cs="Times New Roman"/>
                <w:color w:val="000000"/>
                <w:lang w:val="en-US" w:eastAsia="fr-FR"/>
              </w:rPr>
            </w:pPr>
          </w:p>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ind w:right="195"/>
              <w:jc w:val="center"/>
              <w:rPr>
                <w:rFonts w:ascii="Times New Roman" w:eastAsia="Times New Roman" w:hAnsi="Times New Roman" w:cs="Times New Roman"/>
                <w:b/>
                <w:bCs/>
                <w:color w:val="000000"/>
                <w:lang w:val="en-US" w:eastAsia="fr-FR"/>
              </w:rPr>
            </w:pPr>
            <w:r w:rsidRPr="009B47E8">
              <w:rPr>
                <w:rFonts w:ascii="Times New Roman" w:eastAsia="Times New Roman" w:hAnsi="Times New Roman" w:cs="Times New Roman"/>
                <w:b/>
                <w:bCs/>
                <w:color w:val="000000"/>
                <w:lang w:val="en-US" w:eastAsia="fr-FR"/>
              </w:rPr>
              <w:t>Name and reference number of the credit institution:</w:t>
            </w:r>
          </w:p>
        </w:tc>
        <w:tc>
          <w:tcPr>
            <w:tcW w:w="0" w:type="auto"/>
            <w:tcBorders>
              <w:top w:val="single" w:sz="6" w:space="0" w:color="000000"/>
              <w:left w:val="single" w:sz="6" w:space="0" w:color="000000"/>
              <w:bottom w:val="single" w:sz="6" w:space="0" w:color="000000"/>
              <w:right w:val="single" w:sz="6" w:space="0" w:color="000000"/>
            </w:tcBorders>
          </w:tcPr>
          <w:p w:rsidR="009B47E8" w:rsidRDefault="009B47E8" w:rsidP="009B47E8">
            <w:pPr>
              <w:spacing w:before="60" w:after="60" w:line="240" w:lineRule="auto"/>
              <w:rPr>
                <w:rFonts w:ascii="Times New Roman" w:eastAsia="Times New Roman" w:hAnsi="Times New Roman" w:cs="Times New Roman"/>
                <w:color w:val="000000"/>
                <w:lang w:val="en-US" w:eastAsia="fr-FR"/>
              </w:rPr>
            </w:pPr>
          </w:p>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ind w:right="195"/>
              <w:jc w:val="center"/>
              <w:rPr>
                <w:rFonts w:ascii="Times New Roman" w:eastAsia="Times New Roman" w:hAnsi="Times New Roman" w:cs="Times New Roman"/>
                <w:b/>
                <w:bCs/>
                <w:color w:val="000000"/>
                <w:lang w:val="en-US" w:eastAsia="fr-FR"/>
              </w:rPr>
            </w:pPr>
            <w:r w:rsidRPr="009B47E8">
              <w:rPr>
                <w:rFonts w:ascii="Times New Roman" w:eastAsia="Times New Roman" w:hAnsi="Times New Roman" w:cs="Times New Roman"/>
                <w:b/>
                <w:bCs/>
                <w:color w:val="000000"/>
                <w:lang w:val="en-US" w:eastAsia="fr-FR"/>
              </w:rPr>
              <w:t>Address of the credit institution in the host Member State from which documents may be obtained:</w:t>
            </w:r>
          </w:p>
        </w:tc>
        <w:tc>
          <w:tcPr>
            <w:tcW w:w="0" w:type="auto"/>
            <w:tcBorders>
              <w:top w:val="single" w:sz="6" w:space="0" w:color="000000"/>
              <w:left w:val="single" w:sz="6" w:space="0" w:color="000000"/>
              <w:bottom w:val="single" w:sz="6" w:space="0" w:color="000000"/>
              <w:right w:val="single" w:sz="6" w:space="0" w:color="000000"/>
            </w:tcBorders>
          </w:tcPr>
          <w:p w:rsidR="009B47E8" w:rsidRDefault="009B47E8" w:rsidP="009B47E8">
            <w:pPr>
              <w:spacing w:before="60" w:after="60" w:line="240" w:lineRule="auto"/>
              <w:rPr>
                <w:rFonts w:ascii="Times New Roman" w:eastAsia="Times New Roman" w:hAnsi="Times New Roman" w:cs="Times New Roman"/>
                <w:color w:val="000000"/>
                <w:lang w:val="en-US" w:eastAsia="fr-FR"/>
              </w:rPr>
            </w:pPr>
          </w:p>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ind w:right="195"/>
              <w:jc w:val="center"/>
              <w:rPr>
                <w:rFonts w:ascii="Times New Roman" w:eastAsia="Times New Roman" w:hAnsi="Times New Roman" w:cs="Times New Roman"/>
                <w:b/>
                <w:bCs/>
                <w:color w:val="000000"/>
                <w:lang w:val="en-US" w:eastAsia="fr-FR"/>
              </w:rPr>
            </w:pPr>
            <w:r w:rsidRPr="009B47E8">
              <w:rPr>
                <w:rFonts w:ascii="Times New Roman" w:eastAsia="Times New Roman" w:hAnsi="Times New Roman" w:cs="Times New Roman"/>
                <w:b/>
                <w:bCs/>
                <w:color w:val="000000"/>
                <w:lang w:val="en-US" w:eastAsia="fr-FR"/>
              </w:rPr>
              <w:t>Intended principal place of business of the branch in the host Member State:</w:t>
            </w:r>
          </w:p>
        </w:tc>
        <w:tc>
          <w:tcPr>
            <w:tcW w:w="0" w:type="auto"/>
            <w:tcBorders>
              <w:top w:val="single" w:sz="6" w:space="0" w:color="000000"/>
              <w:left w:val="single" w:sz="6" w:space="0" w:color="000000"/>
              <w:bottom w:val="single" w:sz="6" w:space="0" w:color="000000"/>
              <w:right w:val="single" w:sz="6" w:space="0" w:color="000000"/>
            </w:tcBorders>
          </w:tcPr>
          <w:p w:rsidR="009B47E8" w:rsidRDefault="009B47E8" w:rsidP="009B47E8">
            <w:pPr>
              <w:spacing w:before="60" w:after="60" w:line="240" w:lineRule="auto"/>
              <w:rPr>
                <w:rFonts w:ascii="Times New Roman" w:eastAsia="Times New Roman" w:hAnsi="Times New Roman" w:cs="Times New Roman"/>
                <w:color w:val="000000"/>
                <w:lang w:val="en-US" w:eastAsia="fr-FR"/>
              </w:rPr>
            </w:pPr>
          </w:p>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ind w:right="195"/>
              <w:jc w:val="center"/>
              <w:rPr>
                <w:rFonts w:ascii="Times New Roman" w:eastAsia="Times New Roman" w:hAnsi="Times New Roman" w:cs="Times New Roman"/>
                <w:b/>
                <w:bCs/>
                <w:color w:val="000000"/>
                <w:lang w:val="en-US" w:eastAsia="fr-FR"/>
              </w:rPr>
            </w:pPr>
            <w:r w:rsidRPr="009B47E8">
              <w:rPr>
                <w:rFonts w:ascii="Times New Roman" w:eastAsia="Times New Roman" w:hAnsi="Times New Roman" w:cs="Times New Roman"/>
                <w:b/>
                <w:bCs/>
                <w:color w:val="000000"/>
                <w:lang w:val="en-US" w:eastAsia="fr-FR"/>
              </w:rPr>
              <w:t>Date on which the branch intends to commence its activities:</w:t>
            </w:r>
          </w:p>
        </w:tc>
        <w:tc>
          <w:tcPr>
            <w:tcW w:w="0" w:type="auto"/>
            <w:tcBorders>
              <w:top w:val="single" w:sz="6" w:space="0" w:color="000000"/>
              <w:left w:val="single" w:sz="6" w:space="0" w:color="000000"/>
              <w:bottom w:val="single" w:sz="6" w:space="0" w:color="000000"/>
              <w:right w:val="single" w:sz="6" w:space="0" w:color="000000"/>
            </w:tcBorders>
          </w:tcPr>
          <w:p w:rsidR="009B47E8" w:rsidRDefault="009B47E8" w:rsidP="009B47E8">
            <w:pPr>
              <w:spacing w:before="60" w:after="60" w:line="240" w:lineRule="auto"/>
              <w:rPr>
                <w:rFonts w:ascii="Times New Roman" w:eastAsia="Times New Roman" w:hAnsi="Times New Roman" w:cs="Times New Roman"/>
                <w:color w:val="000000"/>
                <w:lang w:val="en-US" w:eastAsia="fr-FR"/>
              </w:rPr>
            </w:pPr>
          </w:p>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ind w:right="195"/>
              <w:jc w:val="center"/>
              <w:rPr>
                <w:rFonts w:ascii="Times New Roman" w:eastAsia="Times New Roman" w:hAnsi="Times New Roman" w:cs="Times New Roman"/>
                <w:b/>
                <w:bCs/>
                <w:color w:val="000000"/>
                <w:lang w:val="en-US" w:eastAsia="fr-FR"/>
              </w:rPr>
            </w:pPr>
            <w:r w:rsidRPr="009B47E8">
              <w:rPr>
                <w:rFonts w:ascii="Times New Roman" w:eastAsia="Times New Roman" w:hAnsi="Times New Roman" w:cs="Times New Roman"/>
                <w:b/>
                <w:bCs/>
                <w:color w:val="000000"/>
                <w:lang w:val="en-US" w:eastAsia="fr-FR"/>
              </w:rPr>
              <w:t>Name of contact person at the branch:</w:t>
            </w:r>
          </w:p>
        </w:tc>
        <w:tc>
          <w:tcPr>
            <w:tcW w:w="0" w:type="auto"/>
            <w:tcBorders>
              <w:top w:val="single" w:sz="6" w:space="0" w:color="000000"/>
              <w:left w:val="single" w:sz="6" w:space="0" w:color="000000"/>
              <w:bottom w:val="single" w:sz="6" w:space="0" w:color="000000"/>
              <w:right w:val="single" w:sz="6" w:space="0" w:color="000000"/>
            </w:tcBorders>
          </w:tcPr>
          <w:p w:rsidR="009B47E8" w:rsidRDefault="009B47E8" w:rsidP="009B47E8">
            <w:pPr>
              <w:spacing w:before="60" w:after="60" w:line="240" w:lineRule="auto"/>
              <w:rPr>
                <w:rFonts w:ascii="Times New Roman" w:eastAsia="Times New Roman" w:hAnsi="Times New Roman" w:cs="Times New Roman"/>
                <w:color w:val="000000"/>
                <w:lang w:val="en-US" w:eastAsia="fr-FR"/>
              </w:rPr>
            </w:pPr>
          </w:p>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ind w:right="195"/>
              <w:jc w:val="center"/>
              <w:rPr>
                <w:rFonts w:ascii="Times New Roman" w:eastAsia="Times New Roman" w:hAnsi="Times New Roman" w:cs="Times New Roman"/>
                <w:b/>
                <w:bCs/>
                <w:color w:val="000000"/>
                <w:lang w:eastAsia="fr-FR"/>
              </w:rPr>
            </w:pPr>
            <w:proofErr w:type="spellStart"/>
            <w:r w:rsidRPr="009B47E8">
              <w:rPr>
                <w:rFonts w:ascii="Times New Roman" w:eastAsia="Times New Roman" w:hAnsi="Times New Roman" w:cs="Times New Roman"/>
                <w:b/>
                <w:bCs/>
                <w:color w:val="000000"/>
                <w:lang w:eastAsia="fr-FR"/>
              </w:rPr>
              <w:t>Telephone</w:t>
            </w:r>
            <w:proofErr w:type="spellEnd"/>
            <w:r w:rsidRPr="009B47E8">
              <w:rPr>
                <w:rFonts w:ascii="Times New Roman" w:eastAsia="Times New Roman" w:hAnsi="Times New Roman" w:cs="Times New Roman"/>
                <w:b/>
                <w:bCs/>
                <w:color w:val="000000"/>
                <w:lang w:eastAsia="fr-FR"/>
              </w:rPr>
              <w:t xml:space="preserve"> </w:t>
            </w:r>
            <w:proofErr w:type="spellStart"/>
            <w:r w:rsidRPr="009B47E8">
              <w:rPr>
                <w:rFonts w:ascii="Times New Roman" w:eastAsia="Times New Roman" w:hAnsi="Times New Roman" w:cs="Times New Roman"/>
                <w:b/>
                <w:bCs/>
                <w:color w:val="000000"/>
                <w:lang w:eastAsia="fr-FR"/>
              </w:rPr>
              <w:t>number</w:t>
            </w:r>
            <w:proofErr w:type="spellEnd"/>
            <w:r w:rsidRPr="009B47E8">
              <w:rPr>
                <w:rFonts w:ascii="Times New Roman" w:eastAsia="Times New Roman" w:hAnsi="Times New Roman" w:cs="Times New Roman"/>
                <w:b/>
                <w:bCs/>
                <w:color w:val="000000"/>
                <w:lang w:eastAsia="fr-FR"/>
              </w:rPr>
              <w:t>:</w:t>
            </w:r>
          </w:p>
        </w:tc>
        <w:tc>
          <w:tcPr>
            <w:tcW w:w="0" w:type="auto"/>
            <w:tcBorders>
              <w:top w:val="single" w:sz="6" w:space="0" w:color="000000"/>
              <w:left w:val="single" w:sz="6" w:space="0" w:color="000000"/>
              <w:bottom w:val="single" w:sz="6" w:space="0" w:color="000000"/>
              <w:right w:val="single" w:sz="6" w:space="0" w:color="000000"/>
            </w:tcBorders>
          </w:tcPr>
          <w:p w:rsidR="009B47E8" w:rsidRDefault="009B47E8" w:rsidP="009B47E8">
            <w:pPr>
              <w:spacing w:before="60" w:after="60" w:line="240" w:lineRule="auto"/>
              <w:rPr>
                <w:rFonts w:ascii="Times New Roman" w:eastAsia="Times New Roman" w:hAnsi="Times New Roman" w:cs="Times New Roman"/>
                <w:color w:val="000000"/>
                <w:lang w:val="en-US" w:eastAsia="fr-FR"/>
              </w:rPr>
            </w:pPr>
          </w:p>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E-mail:</w:t>
            </w:r>
          </w:p>
        </w:tc>
        <w:tc>
          <w:tcPr>
            <w:tcW w:w="0" w:type="auto"/>
            <w:tcBorders>
              <w:top w:val="single" w:sz="6" w:space="0" w:color="000000"/>
              <w:left w:val="single" w:sz="6" w:space="0" w:color="000000"/>
              <w:bottom w:val="single" w:sz="6" w:space="0" w:color="000000"/>
              <w:right w:val="single" w:sz="6" w:space="0" w:color="000000"/>
            </w:tcBorders>
          </w:tcPr>
          <w:p w:rsidR="009B47E8" w:rsidRDefault="009B47E8" w:rsidP="009B47E8">
            <w:pPr>
              <w:spacing w:before="60" w:after="60" w:line="240" w:lineRule="auto"/>
              <w:rPr>
                <w:rFonts w:ascii="Times New Roman" w:eastAsia="Times New Roman" w:hAnsi="Times New Roman" w:cs="Times New Roman"/>
                <w:color w:val="000000"/>
                <w:lang w:val="en-US" w:eastAsia="fr-FR"/>
              </w:rPr>
            </w:pPr>
          </w:p>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p>
        </w:tc>
      </w:tr>
    </w:tbl>
    <w:p w:rsidR="009B47E8" w:rsidRDefault="009B47E8" w:rsidP="009B47E8">
      <w:pPr>
        <w:spacing w:before="240" w:after="120" w:line="240" w:lineRule="auto"/>
        <w:jc w:val="both"/>
        <w:rPr>
          <w:rFonts w:ascii="Times New Roman" w:eastAsia="Times New Roman" w:hAnsi="Times New Roman" w:cs="Times New Roman"/>
          <w:b/>
          <w:bCs/>
          <w:color w:val="000000"/>
          <w:sz w:val="24"/>
          <w:szCs w:val="24"/>
          <w:lang w:val="en-US" w:eastAsia="fr-FR"/>
        </w:rPr>
      </w:pPr>
    </w:p>
    <w:p w:rsidR="009B47E8" w:rsidRDefault="009B47E8" w:rsidP="009B47E8">
      <w:pPr>
        <w:spacing w:before="240" w:after="120" w:line="240" w:lineRule="auto"/>
        <w:jc w:val="both"/>
        <w:rPr>
          <w:rFonts w:ascii="Times New Roman" w:eastAsia="Times New Roman" w:hAnsi="Times New Roman" w:cs="Times New Roman"/>
          <w:b/>
          <w:bCs/>
          <w:color w:val="000000"/>
          <w:sz w:val="24"/>
          <w:szCs w:val="24"/>
          <w:lang w:val="en-US" w:eastAsia="fr-FR"/>
        </w:rPr>
      </w:pPr>
    </w:p>
    <w:p w:rsidR="009B47E8" w:rsidRDefault="009B47E8" w:rsidP="009B47E8">
      <w:pPr>
        <w:spacing w:before="240" w:after="120" w:line="240" w:lineRule="auto"/>
        <w:jc w:val="both"/>
        <w:rPr>
          <w:rFonts w:ascii="Times New Roman" w:eastAsia="Times New Roman" w:hAnsi="Times New Roman" w:cs="Times New Roman"/>
          <w:b/>
          <w:bCs/>
          <w:color w:val="000000"/>
          <w:sz w:val="24"/>
          <w:szCs w:val="24"/>
          <w:lang w:val="en-US" w:eastAsia="fr-FR"/>
        </w:rPr>
      </w:pPr>
    </w:p>
    <w:p w:rsidR="009B47E8" w:rsidRDefault="009B47E8" w:rsidP="009B47E8">
      <w:pPr>
        <w:spacing w:before="240" w:after="120" w:line="240" w:lineRule="auto"/>
        <w:jc w:val="both"/>
        <w:rPr>
          <w:rFonts w:ascii="Times New Roman" w:eastAsia="Times New Roman" w:hAnsi="Times New Roman" w:cs="Times New Roman"/>
          <w:b/>
          <w:bCs/>
          <w:color w:val="000000"/>
          <w:sz w:val="24"/>
          <w:szCs w:val="24"/>
          <w:lang w:val="en-US" w:eastAsia="fr-FR"/>
        </w:rPr>
      </w:pPr>
    </w:p>
    <w:p w:rsidR="009B47E8" w:rsidRDefault="009B47E8" w:rsidP="009B47E8">
      <w:pPr>
        <w:spacing w:before="240" w:after="120" w:line="240" w:lineRule="auto"/>
        <w:jc w:val="both"/>
        <w:rPr>
          <w:rFonts w:ascii="Times New Roman" w:eastAsia="Times New Roman" w:hAnsi="Times New Roman" w:cs="Times New Roman"/>
          <w:b/>
          <w:bCs/>
          <w:color w:val="000000"/>
          <w:sz w:val="24"/>
          <w:szCs w:val="24"/>
          <w:lang w:val="en-US" w:eastAsia="fr-FR"/>
        </w:rPr>
      </w:pPr>
    </w:p>
    <w:p w:rsidR="009B47E8" w:rsidRDefault="009B47E8" w:rsidP="009B47E8">
      <w:pPr>
        <w:spacing w:before="240" w:after="120" w:line="240" w:lineRule="auto"/>
        <w:jc w:val="both"/>
        <w:rPr>
          <w:rFonts w:ascii="Times New Roman" w:eastAsia="Times New Roman" w:hAnsi="Times New Roman" w:cs="Times New Roman"/>
          <w:b/>
          <w:bCs/>
          <w:color w:val="000000"/>
          <w:sz w:val="24"/>
          <w:szCs w:val="24"/>
          <w:lang w:val="en-US" w:eastAsia="fr-FR"/>
        </w:rPr>
      </w:pPr>
    </w:p>
    <w:p w:rsidR="009B47E8" w:rsidRDefault="009B47E8" w:rsidP="009B47E8">
      <w:pPr>
        <w:spacing w:before="240" w:after="120" w:line="240" w:lineRule="auto"/>
        <w:jc w:val="both"/>
        <w:rPr>
          <w:rFonts w:ascii="Times New Roman" w:eastAsia="Times New Roman" w:hAnsi="Times New Roman" w:cs="Times New Roman"/>
          <w:b/>
          <w:bCs/>
          <w:color w:val="000000"/>
          <w:sz w:val="24"/>
          <w:szCs w:val="24"/>
          <w:lang w:val="en-US" w:eastAsia="fr-FR"/>
        </w:rPr>
      </w:pPr>
    </w:p>
    <w:p w:rsidR="009B47E8" w:rsidRPr="009B47E8" w:rsidRDefault="009B47E8" w:rsidP="009B47E8">
      <w:pPr>
        <w:spacing w:before="240" w:after="120" w:line="240" w:lineRule="auto"/>
        <w:jc w:val="both"/>
        <w:rPr>
          <w:rFonts w:ascii="Times New Roman" w:eastAsia="Times New Roman" w:hAnsi="Times New Roman" w:cs="Times New Roman"/>
          <w:b/>
          <w:bCs/>
          <w:color w:val="000000"/>
          <w:sz w:val="24"/>
          <w:szCs w:val="24"/>
          <w:lang w:val="en-US" w:eastAsia="fr-FR"/>
        </w:rPr>
      </w:pPr>
      <w:r w:rsidRPr="009B47E8">
        <w:rPr>
          <w:rFonts w:ascii="Times New Roman" w:eastAsia="Times New Roman" w:hAnsi="Times New Roman" w:cs="Times New Roman"/>
          <w:b/>
          <w:bCs/>
          <w:color w:val="000000"/>
          <w:sz w:val="24"/>
          <w:szCs w:val="24"/>
          <w:lang w:val="en-US" w:eastAsia="fr-FR"/>
        </w:rPr>
        <w:lastRenderedPageBreak/>
        <w:t xml:space="preserve">2. </w:t>
      </w:r>
      <w:proofErr w:type="spellStart"/>
      <w:r w:rsidRPr="009B47E8">
        <w:rPr>
          <w:rFonts w:ascii="Times New Roman" w:eastAsia="Times New Roman" w:hAnsi="Times New Roman" w:cs="Times New Roman"/>
          <w:b/>
          <w:bCs/>
          <w:color w:val="000000"/>
          <w:sz w:val="24"/>
          <w:szCs w:val="24"/>
          <w:lang w:val="en-US" w:eastAsia="fr-FR"/>
        </w:rPr>
        <w:t>Programme</w:t>
      </w:r>
      <w:proofErr w:type="spellEnd"/>
      <w:r w:rsidRPr="009B47E8">
        <w:rPr>
          <w:rFonts w:ascii="Times New Roman" w:eastAsia="Times New Roman" w:hAnsi="Times New Roman" w:cs="Times New Roman"/>
          <w:b/>
          <w:bCs/>
          <w:color w:val="000000"/>
          <w:sz w:val="24"/>
          <w:szCs w:val="24"/>
          <w:lang w:val="en-US" w:eastAsia="fr-FR"/>
        </w:rPr>
        <w:t xml:space="preserve"> of operations </w:t>
      </w:r>
    </w:p>
    <w:p w:rsidR="009B47E8" w:rsidRPr="009B47E8" w:rsidRDefault="009B47E8" w:rsidP="009B47E8">
      <w:pPr>
        <w:spacing w:before="240" w:after="120" w:line="240" w:lineRule="auto"/>
        <w:jc w:val="both"/>
        <w:rPr>
          <w:rFonts w:ascii="Times New Roman" w:eastAsia="Times New Roman" w:hAnsi="Times New Roman" w:cs="Times New Roman"/>
          <w:b/>
          <w:bCs/>
          <w:color w:val="000000"/>
          <w:sz w:val="24"/>
          <w:szCs w:val="24"/>
          <w:lang w:val="en-US" w:eastAsia="fr-FR"/>
        </w:rPr>
      </w:pPr>
      <w:r w:rsidRPr="009B47E8">
        <w:rPr>
          <w:rFonts w:ascii="Times New Roman" w:eastAsia="Times New Roman" w:hAnsi="Times New Roman" w:cs="Times New Roman"/>
          <w:b/>
          <w:bCs/>
          <w:color w:val="000000"/>
          <w:sz w:val="24"/>
          <w:szCs w:val="24"/>
          <w:lang w:val="en-US" w:eastAsia="fr-FR"/>
        </w:rPr>
        <w:t xml:space="preserve">2.1. </w:t>
      </w:r>
      <w:r w:rsidRPr="009B47E8">
        <w:rPr>
          <w:rFonts w:ascii="Times New Roman" w:eastAsia="Times New Roman" w:hAnsi="Times New Roman" w:cs="Times New Roman"/>
          <w:b/>
          <w:bCs/>
          <w:i/>
          <w:iCs/>
          <w:color w:val="000000"/>
          <w:sz w:val="24"/>
          <w:szCs w:val="24"/>
          <w:lang w:val="en-US" w:eastAsia="fr-FR"/>
        </w:rPr>
        <w:t>Types of business envisaged</w:t>
      </w:r>
      <w:r w:rsidRPr="009B47E8">
        <w:rPr>
          <w:rFonts w:ascii="Times New Roman" w:eastAsia="Times New Roman" w:hAnsi="Times New Roman" w:cs="Times New Roman"/>
          <w:b/>
          <w:bCs/>
          <w:color w:val="000000"/>
          <w:sz w:val="24"/>
          <w:szCs w:val="24"/>
          <w:lang w:val="en-US" w:eastAsia="fr-FR"/>
        </w:rPr>
        <w:t xml:space="preserve"> </w:t>
      </w:r>
    </w:p>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2.1.1. Description of the main objectives and business strategy of the branch and an explanation of how the branch will contribute to the strategy of the institution and, where applicable, of its group</w:t>
      </w:r>
    </w:p>
    <w:p w:rsidR="009B47E8" w:rsidRP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w:t>
      </w:r>
      <w:proofErr w:type="gramStart"/>
      <w:r w:rsidRPr="009B47E8">
        <w:rPr>
          <w:rFonts w:ascii="Times New Roman" w:eastAsia="Times New Roman" w:hAnsi="Times New Roman" w:cs="Times New Roman"/>
          <w:i/>
          <w:iCs/>
          <w:color w:val="000000"/>
          <w:sz w:val="24"/>
          <w:szCs w:val="24"/>
          <w:lang w:val="en-US" w:eastAsia="fr-FR"/>
        </w:rPr>
        <w:t>to</w:t>
      </w:r>
      <w:proofErr w:type="gramEnd"/>
      <w:r w:rsidRPr="009B47E8">
        <w:rPr>
          <w:rFonts w:ascii="Times New Roman" w:eastAsia="Times New Roman" w:hAnsi="Times New Roman" w:cs="Times New Roman"/>
          <w:i/>
          <w:iCs/>
          <w:color w:val="000000"/>
          <w:sz w:val="24"/>
          <w:szCs w:val="24"/>
          <w:lang w:val="en-US" w:eastAsia="fr-FR"/>
        </w:rPr>
        <w:t xml:space="preserve"> be completed by the credit institution]</w:t>
      </w:r>
      <w:r w:rsidRPr="009B47E8">
        <w:rPr>
          <w:rFonts w:ascii="Times New Roman" w:eastAsia="Times New Roman" w:hAnsi="Times New Roman" w:cs="Times New Roman"/>
          <w:color w:val="000000"/>
          <w:sz w:val="24"/>
          <w:szCs w:val="24"/>
          <w:lang w:val="en-US" w:eastAsia="fr-FR"/>
        </w:rPr>
        <w:t xml:space="preserve"> </w:t>
      </w:r>
    </w:p>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2.1.2. Description of the target customers and counterparties</w:t>
      </w:r>
    </w:p>
    <w:p w:rsidR="009B47E8" w:rsidRP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w:t>
      </w:r>
      <w:proofErr w:type="gramStart"/>
      <w:r w:rsidRPr="009B47E8">
        <w:rPr>
          <w:rFonts w:ascii="Times New Roman" w:eastAsia="Times New Roman" w:hAnsi="Times New Roman" w:cs="Times New Roman"/>
          <w:i/>
          <w:iCs/>
          <w:color w:val="000000"/>
          <w:sz w:val="24"/>
          <w:szCs w:val="24"/>
          <w:lang w:val="en-US" w:eastAsia="fr-FR"/>
        </w:rPr>
        <w:t>to</w:t>
      </w:r>
      <w:proofErr w:type="gramEnd"/>
      <w:r w:rsidRPr="009B47E8">
        <w:rPr>
          <w:rFonts w:ascii="Times New Roman" w:eastAsia="Times New Roman" w:hAnsi="Times New Roman" w:cs="Times New Roman"/>
          <w:i/>
          <w:iCs/>
          <w:color w:val="000000"/>
          <w:sz w:val="24"/>
          <w:szCs w:val="24"/>
          <w:lang w:val="en-US" w:eastAsia="fr-FR"/>
        </w:rPr>
        <w:t xml:space="preserve"> be completed by the credit institution]</w:t>
      </w:r>
      <w:r w:rsidRPr="009B47E8">
        <w:rPr>
          <w:rFonts w:ascii="Times New Roman" w:eastAsia="Times New Roman" w:hAnsi="Times New Roman" w:cs="Times New Roman"/>
          <w:color w:val="000000"/>
          <w:sz w:val="24"/>
          <w:szCs w:val="24"/>
          <w:lang w:val="en-US" w:eastAsia="fr-FR"/>
        </w:rPr>
        <w:t xml:space="preserve"> </w:t>
      </w:r>
    </w:p>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2.1.3. List of the activities referred to in Annex I to Directive 2013/36/EU that the credit institution intends to carry out in the host Member State with the indication of the activities that will constitute the core business in the host Member State, including the intended start date for each core activity</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4"/>
        <w:gridCol w:w="4306"/>
        <w:gridCol w:w="1549"/>
        <w:gridCol w:w="1431"/>
        <w:gridCol w:w="1322"/>
      </w:tblGrid>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No</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Activity</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ind w:right="195"/>
              <w:jc w:val="center"/>
              <w:rPr>
                <w:rFonts w:ascii="Times New Roman" w:eastAsia="Times New Roman" w:hAnsi="Times New Roman" w:cs="Times New Roman"/>
                <w:b/>
                <w:bCs/>
                <w:color w:val="000000"/>
                <w:lang w:val="en-US" w:eastAsia="fr-FR"/>
              </w:rPr>
            </w:pPr>
            <w:r w:rsidRPr="009B47E8">
              <w:rPr>
                <w:rFonts w:ascii="Times New Roman" w:eastAsia="Times New Roman" w:hAnsi="Times New Roman" w:cs="Times New Roman"/>
                <w:b/>
                <w:bCs/>
                <w:color w:val="000000"/>
                <w:lang w:val="en-US" w:eastAsia="fr-FR"/>
              </w:rPr>
              <w:t>Activities that the credit institution intends to carry out</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ind w:right="195"/>
              <w:jc w:val="center"/>
              <w:rPr>
                <w:rFonts w:ascii="Times New Roman" w:eastAsia="Times New Roman" w:hAnsi="Times New Roman" w:cs="Times New Roman"/>
                <w:b/>
                <w:bCs/>
                <w:color w:val="000000"/>
                <w:lang w:val="en-US" w:eastAsia="fr-FR"/>
              </w:rPr>
            </w:pPr>
            <w:r w:rsidRPr="009B47E8">
              <w:rPr>
                <w:rFonts w:ascii="Times New Roman" w:eastAsia="Times New Roman" w:hAnsi="Times New Roman" w:cs="Times New Roman"/>
                <w:b/>
                <w:bCs/>
                <w:color w:val="000000"/>
                <w:lang w:val="en-US" w:eastAsia="fr-FR"/>
              </w:rPr>
              <w:t>Activities that will constitute the core business</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ind w:right="195"/>
              <w:jc w:val="center"/>
              <w:rPr>
                <w:rFonts w:ascii="Times New Roman" w:eastAsia="Times New Roman" w:hAnsi="Times New Roman" w:cs="Times New Roman"/>
                <w:b/>
                <w:bCs/>
                <w:color w:val="000000"/>
                <w:lang w:val="en-US" w:eastAsia="fr-FR"/>
              </w:rPr>
            </w:pPr>
            <w:r w:rsidRPr="009B47E8">
              <w:rPr>
                <w:rFonts w:ascii="Times New Roman" w:eastAsia="Times New Roman" w:hAnsi="Times New Roman" w:cs="Times New Roman"/>
                <w:b/>
                <w:bCs/>
                <w:color w:val="000000"/>
                <w:lang w:val="en-US" w:eastAsia="fr-FR"/>
              </w:rPr>
              <w:t>Intended start date for each core activity</w:t>
            </w: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1.</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Taking deposits and other repayable funds</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2.</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Lending including, inter alia: consumer credit, credit agreements relating to immovable property, factoring, with or without recourse, financing of commercial transactions (including forfeiting)</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3.</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Financial leasing</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4.</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Payment services as defined in Article 4(3) of Directive 2007/64/EC of the European Parliament and of the Council</w:t>
            </w:r>
            <w:hyperlink r:id="rId7" w:anchor="ntr1-L_2014254EN.01000701-E0001" w:history="1">
              <w:r w:rsidRPr="009B47E8">
                <w:rPr>
                  <w:rFonts w:ascii="Times New Roman" w:eastAsia="Times New Roman" w:hAnsi="Times New Roman" w:cs="Times New Roman"/>
                  <w:color w:val="0000FF"/>
                  <w:u w:val="single"/>
                  <w:lang w:val="en-US" w:eastAsia="fr-FR"/>
                </w:rPr>
                <w:t xml:space="preserve"> (</w:t>
              </w:r>
              <w:r w:rsidRPr="009B47E8">
                <w:rPr>
                  <w:rFonts w:ascii="Times New Roman" w:eastAsia="Times New Roman" w:hAnsi="Times New Roman" w:cs="Times New Roman"/>
                  <w:color w:val="0000FF"/>
                  <w:sz w:val="15"/>
                  <w:szCs w:val="15"/>
                  <w:u w:val="single"/>
                  <w:vertAlign w:val="superscript"/>
                  <w:lang w:val="en-US" w:eastAsia="fr-FR"/>
                </w:rPr>
                <w:t>1</w:t>
              </w:r>
              <w:r w:rsidRPr="009B47E8">
                <w:rPr>
                  <w:rFonts w:ascii="Times New Roman" w:eastAsia="Times New Roman" w:hAnsi="Times New Roman" w:cs="Times New Roman"/>
                  <w:color w:val="0000FF"/>
                  <w:u w:val="single"/>
                  <w:lang w:val="en-US" w:eastAsia="fr-FR"/>
                </w:rPr>
                <w:t>)</w:t>
              </w:r>
            </w:hyperlink>
            <w:r w:rsidRPr="009B47E8">
              <w:rPr>
                <w:rFonts w:ascii="Times New Roman" w:eastAsia="Times New Roman" w:hAnsi="Times New Roman" w:cs="Times New Roman"/>
                <w:color w:val="000000"/>
                <w:lang w:val="en-US" w:eastAsia="fr-FR"/>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4a.</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Services enabling cash to be placed on a payment account as well as all the operations required for operating a payment account</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4b.</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Services enabling cash withdrawals from a payment account as well as all the operations required for operating a payment account</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4c.</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Execution of payment transactions, including transfers of funds on a payment account with the user's payment service provider or with another payment service provider:</w:t>
            </w: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B47E8" w:rsidRPr="004A20C5">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execution of direct debits, including one-off direct debits</w:t>
                  </w:r>
                </w:p>
              </w:tc>
            </w:tr>
          </w:tbl>
          <w:p w:rsidR="009B47E8" w:rsidRPr="009B47E8" w:rsidRDefault="009B47E8" w:rsidP="009B47E8">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B47E8" w:rsidRPr="004A20C5">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execution of payment transactions through a payment card or a similar device</w:t>
                  </w:r>
                </w:p>
              </w:tc>
            </w:tr>
          </w:tbl>
          <w:p w:rsidR="009B47E8" w:rsidRPr="009B47E8" w:rsidRDefault="009B47E8" w:rsidP="009B47E8">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B47E8" w:rsidRPr="004A20C5">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lastRenderedPageBreak/>
                    <w:t>—</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execution of credit transfers, including standing orders</w:t>
                  </w:r>
                </w:p>
              </w:tc>
            </w:tr>
          </w:tbl>
          <w:p w:rsidR="009B47E8" w:rsidRPr="009B47E8" w:rsidRDefault="009B47E8" w:rsidP="009B47E8">
            <w:pPr>
              <w:spacing w:after="0"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lastRenderedPageBreak/>
              <w:t>4d.</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Execution of payment transactions where the funds are covered by a credit line for a payment service user:</w:t>
            </w: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B47E8" w:rsidRPr="004A20C5">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execution of direct debits, including one-off direct debits</w:t>
                  </w:r>
                </w:p>
              </w:tc>
            </w:tr>
          </w:tbl>
          <w:p w:rsidR="009B47E8" w:rsidRPr="009B47E8" w:rsidRDefault="009B47E8" w:rsidP="009B47E8">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B47E8" w:rsidRPr="004A20C5">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execution of payment transactions through a payment card or a similar device</w:t>
                  </w:r>
                </w:p>
              </w:tc>
            </w:tr>
          </w:tbl>
          <w:p w:rsidR="009B47E8" w:rsidRPr="009B47E8" w:rsidRDefault="009B47E8" w:rsidP="009B47E8">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B47E8" w:rsidRPr="004A20C5">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execution of credit transfers, including standing orders</w:t>
                  </w:r>
                </w:p>
              </w:tc>
            </w:tr>
          </w:tbl>
          <w:p w:rsidR="009B47E8" w:rsidRPr="009B47E8" w:rsidRDefault="009B47E8" w:rsidP="009B47E8">
            <w:pPr>
              <w:spacing w:after="0"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4e.</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Issuing and/or acquiring of payment instruments</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4f.</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 xml:space="preserve">Money </w:t>
            </w:r>
            <w:proofErr w:type="spellStart"/>
            <w:r w:rsidRPr="009B47E8">
              <w:rPr>
                <w:rFonts w:ascii="Times New Roman" w:eastAsia="Times New Roman" w:hAnsi="Times New Roman" w:cs="Times New Roman"/>
                <w:color w:val="000000"/>
                <w:lang w:eastAsia="fr-FR"/>
              </w:rPr>
              <w:t>remittance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4g.</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Execution of payment transactions where the consent of the payer to execute a payment transaction is given by means of any telecommunication, digital or IT device and the payment is made to the telecommunication, IT system or network operator, acting only as an intermediary between the payment service user and the supplier of the goods and services</w:t>
            </w:r>
            <w:hyperlink r:id="rId8" w:anchor="ntr2-L_2014254EN.01000701-E0002" w:history="1">
              <w:r w:rsidRPr="009B47E8">
                <w:rPr>
                  <w:rFonts w:ascii="Times New Roman" w:eastAsia="Times New Roman" w:hAnsi="Times New Roman" w:cs="Times New Roman"/>
                  <w:color w:val="0000FF"/>
                  <w:u w:val="single"/>
                  <w:lang w:val="en-US" w:eastAsia="fr-FR"/>
                </w:rPr>
                <w:t xml:space="preserve"> (</w:t>
              </w:r>
              <w:r w:rsidRPr="009B47E8">
                <w:rPr>
                  <w:rFonts w:ascii="Times New Roman" w:eastAsia="Times New Roman" w:hAnsi="Times New Roman" w:cs="Times New Roman"/>
                  <w:color w:val="0000FF"/>
                  <w:sz w:val="15"/>
                  <w:szCs w:val="15"/>
                  <w:u w:val="single"/>
                  <w:vertAlign w:val="superscript"/>
                  <w:lang w:val="en-US" w:eastAsia="fr-FR"/>
                </w:rPr>
                <w:t>2</w:t>
              </w:r>
              <w:r w:rsidRPr="009B47E8">
                <w:rPr>
                  <w:rFonts w:ascii="Times New Roman" w:eastAsia="Times New Roman" w:hAnsi="Times New Roman" w:cs="Times New Roman"/>
                  <w:color w:val="0000FF"/>
                  <w:u w:val="single"/>
                  <w:lang w:val="en-US" w:eastAsia="fr-FR"/>
                </w:rPr>
                <w:t>)</w:t>
              </w:r>
            </w:hyperlink>
            <w:r w:rsidRPr="009B47E8">
              <w:rPr>
                <w:rFonts w:ascii="Times New Roman" w:eastAsia="Times New Roman" w:hAnsi="Times New Roman" w:cs="Times New Roman"/>
                <w:color w:val="000000"/>
                <w:lang w:val="en-US" w:eastAsia="fr-FR"/>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5.</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 xml:space="preserve">Issuing and administering other means of payment (e.g. </w:t>
            </w:r>
            <w:proofErr w:type="spellStart"/>
            <w:r w:rsidRPr="009B47E8">
              <w:rPr>
                <w:rFonts w:ascii="Times New Roman" w:eastAsia="Times New Roman" w:hAnsi="Times New Roman" w:cs="Times New Roman"/>
                <w:color w:val="000000"/>
                <w:lang w:val="en-US" w:eastAsia="fr-FR"/>
              </w:rPr>
              <w:t>travellers'</w:t>
            </w:r>
            <w:proofErr w:type="spellEnd"/>
            <w:r w:rsidRPr="009B47E8">
              <w:rPr>
                <w:rFonts w:ascii="Times New Roman" w:eastAsia="Times New Roman" w:hAnsi="Times New Roman" w:cs="Times New Roman"/>
                <w:color w:val="000000"/>
                <w:lang w:val="en-US" w:eastAsia="fr-FR"/>
              </w:rPr>
              <w:t xml:space="preserve"> </w:t>
            </w:r>
            <w:proofErr w:type="spellStart"/>
            <w:r w:rsidRPr="009B47E8">
              <w:rPr>
                <w:rFonts w:ascii="Times New Roman" w:eastAsia="Times New Roman" w:hAnsi="Times New Roman" w:cs="Times New Roman"/>
                <w:color w:val="000000"/>
                <w:lang w:val="en-US" w:eastAsia="fr-FR"/>
              </w:rPr>
              <w:t>cheques</w:t>
            </w:r>
            <w:proofErr w:type="spellEnd"/>
            <w:r w:rsidRPr="009B47E8">
              <w:rPr>
                <w:rFonts w:ascii="Times New Roman" w:eastAsia="Times New Roman" w:hAnsi="Times New Roman" w:cs="Times New Roman"/>
                <w:color w:val="000000"/>
                <w:lang w:val="en-US" w:eastAsia="fr-FR"/>
              </w:rPr>
              <w:t xml:space="preserve"> and bankers' drafts) insofar as such activity is not covered by point 4</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6.</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proofErr w:type="spellStart"/>
            <w:r w:rsidRPr="009B47E8">
              <w:rPr>
                <w:rFonts w:ascii="Times New Roman" w:eastAsia="Times New Roman" w:hAnsi="Times New Roman" w:cs="Times New Roman"/>
                <w:color w:val="000000"/>
                <w:lang w:eastAsia="fr-FR"/>
              </w:rPr>
              <w:t>Guarantees</w:t>
            </w:r>
            <w:proofErr w:type="spellEnd"/>
            <w:r w:rsidRPr="009B47E8">
              <w:rPr>
                <w:rFonts w:ascii="Times New Roman" w:eastAsia="Times New Roman" w:hAnsi="Times New Roman" w:cs="Times New Roman"/>
                <w:color w:val="000000"/>
                <w:lang w:eastAsia="fr-FR"/>
              </w:rPr>
              <w:t xml:space="preserve"> and </w:t>
            </w:r>
            <w:proofErr w:type="spellStart"/>
            <w:r w:rsidRPr="009B47E8">
              <w:rPr>
                <w:rFonts w:ascii="Times New Roman" w:eastAsia="Times New Roman" w:hAnsi="Times New Roman" w:cs="Times New Roman"/>
                <w:color w:val="000000"/>
                <w:lang w:eastAsia="fr-FR"/>
              </w:rPr>
              <w:t>commitments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7.</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Trading for own account or for account of customers in any of the following:</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7a.</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9B47E8" w:rsidRPr="004A20C5">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 xml:space="preserve">Money market instruments (e.g. </w:t>
                  </w:r>
                  <w:proofErr w:type="spellStart"/>
                  <w:r w:rsidRPr="009B47E8">
                    <w:rPr>
                      <w:rFonts w:ascii="Times New Roman" w:eastAsia="Times New Roman" w:hAnsi="Times New Roman" w:cs="Times New Roman"/>
                      <w:color w:val="000000"/>
                      <w:sz w:val="24"/>
                      <w:szCs w:val="24"/>
                      <w:lang w:val="en-US" w:eastAsia="fr-FR"/>
                    </w:rPr>
                    <w:t>cheques</w:t>
                  </w:r>
                  <w:proofErr w:type="spellEnd"/>
                  <w:r w:rsidRPr="009B47E8">
                    <w:rPr>
                      <w:rFonts w:ascii="Times New Roman" w:eastAsia="Times New Roman" w:hAnsi="Times New Roman" w:cs="Times New Roman"/>
                      <w:color w:val="000000"/>
                      <w:sz w:val="24"/>
                      <w:szCs w:val="24"/>
                      <w:lang w:val="en-US" w:eastAsia="fr-FR"/>
                    </w:rPr>
                    <w:t>, bills, certificates of deposits)</w:t>
                  </w:r>
                </w:p>
              </w:tc>
            </w:tr>
          </w:tbl>
          <w:p w:rsidR="009B47E8" w:rsidRPr="009B47E8" w:rsidRDefault="009B47E8" w:rsidP="009B47E8">
            <w:pPr>
              <w:spacing w:after="0"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7b.</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25"/>
              <w:gridCol w:w="3751"/>
            </w:tblGrid>
            <w:tr w:rsidR="009B47E8" w:rsidRPr="009B47E8">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proofErr w:type="spellStart"/>
                  <w:r w:rsidRPr="009B47E8">
                    <w:rPr>
                      <w:rFonts w:ascii="Times New Roman" w:eastAsia="Times New Roman" w:hAnsi="Times New Roman" w:cs="Times New Roman"/>
                      <w:color w:val="000000"/>
                      <w:sz w:val="24"/>
                      <w:szCs w:val="24"/>
                      <w:lang w:eastAsia="fr-FR"/>
                    </w:rPr>
                    <w:t>Foreign</w:t>
                  </w:r>
                  <w:proofErr w:type="spellEnd"/>
                  <w:r w:rsidRPr="009B47E8">
                    <w:rPr>
                      <w:rFonts w:ascii="Times New Roman" w:eastAsia="Times New Roman" w:hAnsi="Times New Roman" w:cs="Times New Roman"/>
                      <w:color w:val="000000"/>
                      <w:sz w:val="24"/>
                      <w:szCs w:val="24"/>
                      <w:lang w:eastAsia="fr-FR"/>
                    </w:rPr>
                    <w:t xml:space="preserve"> exchange</w:t>
                  </w:r>
                </w:p>
              </w:tc>
            </w:tr>
          </w:tbl>
          <w:p w:rsidR="009B47E8" w:rsidRPr="009B47E8" w:rsidRDefault="009B47E8" w:rsidP="009B47E8">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7c.</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38"/>
              <w:gridCol w:w="3938"/>
            </w:tblGrid>
            <w:tr w:rsidR="009B47E8" w:rsidRPr="009B47E8">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Financial futures and options</w:t>
                  </w:r>
                </w:p>
              </w:tc>
            </w:tr>
          </w:tbl>
          <w:p w:rsidR="009B47E8" w:rsidRPr="009B47E8" w:rsidRDefault="009B47E8" w:rsidP="009B47E8">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7d.</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58"/>
              <w:gridCol w:w="4018"/>
            </w:tblGrid>
            <w:tr w:rsidR="009B47E8" w:rsidRPr="004A20C5">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Exchange and interest-rate instruments</w:t>
                  </w:r>
                </w:p>
              </w:tc>
            </w:tr>
          </w:tbl>
          <w:p w:rsidR="009B47E8" w:rsidRPr="009B47E8" w:rsidRDefault="009B47E8" w:rsidP="009B47E8">
            <w:pPr>
              <w:spacing w:after="0"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7e.</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24"/>
              <w:gridCol w:w="3852"/>
            </w:tblGrid>
            <w:tr w:rsidR="009B47E8" w:rsidRPr="009B47E8">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proofErr w:type="spellStart"/>
                  <w:r w:rsidRPr="009B47E8">
                    <w:rPr>
                      <w:rFonts w:ascii="Times New Roman" w:eastAsia="Times New Roman" w:hAnsi="Times New Roman" w:cs="Times New Roman"/>
                      <w:color w:val="000000"/>
                      <w:sz w:val="24"/>
                      <w:szCs w:val="24"/>
                      <w:lang w:eastAsia="fr-FR"/>
                    </w:rPr>
                    <w:t>Transferable</w:t>
                  </w:r>
                  <w:proofErr w:type="spellEnd"/>
                  <w:r w:rsidRPr="009B47E8">
                    <w:rPr>
                      <w:rFonts w:ascii="Times New Roman" w:eastAsia="Times New Roman" w:hAnsi="Times New Roman" w:cs="Times New Roman"/>
                      <w:color w:val="000000"/>
                      <w:sz w:val="24"/>
                      <w:szCs w:val="24"/>
                      <w:lang w:eastAsia="fr-FR"/>
                    </w:rPr>
                    <w:t xml:space="preserve"> </w:t>
                  </w:r>
                  <w:proofErr w:type="spellStart"/>
                  <w:r w:rsidRPr="009B47E8">
                    <w:rPr>
                      <w:rFonts w:ascii="Times New Roman" w:eastAsia="Times New Roman" w:hAnsi="Times New Roman" w:cs="Times New Roman"/>
                      <w:color w:val="000000"/>
                      <w:sz w:val="24"/>
                      <w:szCs w:val="24"/>
                      <w:lang w:eastAsia="fr-FR"/>
                    </w:rPr>
                    <w:t>securities</w:t>
                  </w:r>
                  <w:proofErr w:type="spellEnd"/>
                </w:p>
              </w:tc>
            </w:tr>
          </w:tbl>
          <w:p w:rsidR="009B47E8" w:rsidRPr="009B47E8" w:rsidRDefault="009B47E8" w:rsidP="009B47E8">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8.</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Participation in securities issues and the provision of services relating to such issues</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9.</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 xml:space="preserve">Advice to undertakings on capital structure, industrial strategy and related questions and advice as well as services relating to mergers </w:t>
            </w:r>
            <w:r w:rsidRPr="009B47E8">
              <w:rPr>
                <w:rFonts w:ascii="Times New Roman" w:eastAsia="Times New Roman" w:hAnsi="Times New Roman" w:cs="Times New Roman"/>
                <w:color w:val="000000"/>
                <w:lang w:val="en-US" w:eastAsia="fr-FR"/>
              </w:rPr>
              <w:lastRenderedPageBreak/>
              <w:t>and the purchase of undertakings</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lastRenderedPageBreak/>
              <w:t>10.</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 xml:space="preserve">Money </w:t>
            </w:r>
            <w:proofErr w:type="spellStart"/>
            <w:r w:rsidRPr="009B47E8">
              <w:rPr>
                <w:rFonts w:ascii="Times New Roman" w:eastAsia="Times New Roman" w:hAnsi="Times New Roman" w:cs="Times New Roman"/>
                <w:color w:val="000000"/>
                <w:lang w:eastAsia="fr-FR"/>
              </w:rPr>
              <w:t>broking</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11.</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 xml:space="preserve">Portfolio management and </w:t>
            </w:r>
            <w:proofErr w:type="spellStart"/>
            <w:r w:rsidRPr="009B47E8">
              <w:rPr>
                <w:rFonts w:ascii="Times New Roman" w:eastAsia="Times New Roman" w:hAnsi="Times New Roman" w:cs="Times New Roman"/>
                <w:color w:val="000000"/>
                <w:lang w:eastAsia="fr-FR"/>
              </w:rPr>
              <w:t>advice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4A20C5"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12.</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val="en-US" w:eastAsia="fr-FR"/>
              </w:rPr>
            </w:pPr>
            <w:r w:rsidRPr="009B47E8">
              <w:rPr>
                <w:rFonts w:ascii="Times New Roman" w:eastAsia="Times New Roman" w:hAnsi="Times New Roman" w:cs="Times New Roman"/>
                <w:color w:val="000000"/>
                <w:lang w:val="en-US" w:eastAsia="fr-FR"/>
              </w:rPr>
              <w:t>Safekeeping and administration of securities</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13.</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proofErr w:type="spellStart"/>
            <w:r w:rsidRPr="009B47E8">
              <w:rPr>
                <w:rFonts w:ascii="Times New Roman" w:eastAsia="Times New Roman" w:hAnsi="Times New Roman" w:cs="Times New Roman"/>
                <w:color w:val="000000"/>
                <w:lang w:eastAsia="fr-FR"/>
              </w:rPr>
              <w:t>Credit</w:t>
            </w:r>
            <w:proofErr w:type="spellEnd"/>
            <w:r w:rsidRPr="009B47E8">
              <w:rPr>
                <w:rFonts w:ascii="Times New Roman" w:eastAsia="Times New Roman" w:hAnsi="Times New Roman" w:cs="Times New Roman"/>
                <w:color w:val="000000"/>
                <w:lang w:eastAsia="fr-FR"/>
              </w:rPr>
              <w:t xml:space="preserve"> </w:t>
            </w:r>
            <w:proofErr w:type="spellStart"/>
            <w:r w:rsidRPr="009B47E8">
              <w:rPr>
                <w:rFonts w:ascii="Times New Roman" w:eastAsia="Times New Roman" w:hAnsi="Times New Roman" w:cs="Times New Roman"/>
                <w:color w:val="000000"/>
                <w:lang w:eastAsia="fr-FR"/>
              </w:rPr>
              <w:t>reference</w:t>
            </w:r>
            <w:proofErr w:type="spellEnd"/>
            <w:r w:rsidRPr="009B47E8">
              <w:rPr>
                <w:rFonts w:ascii="Times New Roman" w:eastAsia="Times New Roman" w:hAnsi="Times New Roman" w:cs="Times New Roman"/>
                <w:color w:val="000000"/>
                <w:lang w:eastAsia="fr-FR"/>
              </w:rPr>
              <w:t xml:space="preserve"> services</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14.</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proofErr w:type="spellStart"/>
            <w:r w:rsidRPr="009B47E8">
              <w:rPr>
                <w:rFonts w:ascii="Times New Roman" w:eastAsia="Times New Roman" w:hAnsi="Times New Roman" w:cs="Times New Roman"/>
                <w:color w:val="000000"/>
                <w:lang w:eastAsia="fr-FR"/>
              </w:rPr>
              <w:t>Safe</w:t>
            </w:r>
            <w:proofErr w:type="spellEnd"/>
            <w:r w:rsidRPr="009B47E8">
              <w:rPr>
                <w:rFonts w:ascii="Times New Roman" w:eastAsia="Times New Roman" w:hAnsi="Times New Roman" w:cs="Times New Roman"/>
                <w:color w:val="000000"/>
                <w:lang w:eastAsia="fr-FR"/>
              </w:rPr>
              <w:t xml:space="preserve"> </w:t>
            </w:r>
            <w:proofErr w:type="spellStart"/>
            <w:r w:rsidRPr="009B47E8">
              <w:rPr>
                <w:rFonts w:ascii="Times New Roman" w:eastAsia="Times New Roman" w:hAnsi="Times New Roman" w:cs="Times New Roman"/>
                <w:color w:val="000000"/>
                <w:lang w:eastAsia="fr-FR"/>
              </w:rPr>
              <w:t>custody</w:t>
            </w:r>
            <w:proofErr w:type="spellEnd"/>
            <w:r w:rsidRPr="009B47E8">
              <w:rPr>
                <w:rFonts w:ascii="Times New Roman" w:eastAsia="Times New Roman" w:hAnsi="Times New Roman" w:cs="Times New Roman"/>
                <w:color w:val="000000"/>
                <w:lang w:eastAsia="fr-FR"/>
              </w:rPr>
              <w:t xml:space="preserve"> services</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15.</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proofErr w:type="spellStart"/>
            <w:r w:rsidRPr="009B47E8">
              <w:rPr>
                <w:rFonts w:ascii="Times New Roman" w:eastAsia="Times New Roman" w:hAnsi="Times New Roman" w:cs="Times New Roman"/>
                <w:color w:val="000000"/>
                <w:lang w:eastAsia="fr-FR"/>
              </w:rPr>
              <w:t>Issuing</w:t>
            </w:r>
            <w:proofErr w:type="spellEnd"/>
            <w:r w:rsidRPr="009B47E8">
              <w:rPr>
                <w:rFonts w:ascii="Times New Roman" w:eastAsia="Times New Roman" w:hAnsi="Times New Roman" w:cs="Times New Roman"/>
                <w:color w:val="000000"/>
                <w:lang w:eastAsia="fr-FR"/>
              </w:rPr>
              <w:t xml:space="preserve"> </w:t>
            </w:r>
            <w:proofErr w:type="spellStart"/>
            <w:r w:rsidRPr="009B47E8">
              <w:rPr>
                <w:rFonts w:ascii="Times New Roman" w:eastAsia="Times New Roman" w:hAnsi="Times New Roman" w:cs="Times New Roman"/>
                <w:color w:val="000000"/>
                <w:lang w:eastAsia="fr-FR"/>
              </w:rPr>
              <w:t>electronic</w:t>
            </w:r>
            <w:proofErr w:type="spellEnd"/>
            <w:r w:rsidRPr="009B47E8">
              <w:rPr>
                <w:rFonts w:ascii="Times New Roman" w:eastAsia="Times New Roman" w:hAnsi="Times New Roman" w:cs="Times New Roman"/>
                <w:color w:val="000000"/>
                <w:lang w:eastAsia="fr-FR"/>
              </w:rPr>
              <w:t xml:space="preserve"> money</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bl>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2.1.4. List of the services and activities that the credit institution intends to carry out in the host Member State, and which are provided for in Sections A and B of Annex I to Directive 2004/39/EC of the European Parliament and of the Council</w:t>
      </w:r>
      <w:hyperlink r:id="rId9" w:anchor="ntr3-L_2014254EN.01000701-E0003" w:history="1">
        <w:r w:rsidRPr="009B47E8">
          <w:rPr>
            <w:rFonts w:ascii="Times New Roman" w:eastAsia="Times New Roman" w:hAnsi="Times New Roman" w:cs="Times New Roman"/>
            <w:color w:val="0000FF"/>
            <w:sz w:val="24"/>
            <w:szCs w:val="24"/>
            <w:u w:val="single"/>
            <w:lang w:val="en-US" w:eastAsia="fr-FR"/>
          </w:rPr>
          <w:t xml:space="preserve"> (</w:t>
        </w:r>
        <w:r w:rsidRPr="009B47E8">
          <w:rPr>
            <w:rFonts w:ascii="Times New Roman" w:eastAsia="Times New Roman" w:hAnsi="Times New Roman" w:cs="Times New Roman"/>
            <w:color w:val="0000FF"/>
            <w:sz w:val="17"/>
            <w:szCs w:val="17"/>
            <w:u w:val="single"/>
            <w:vertAlign w:val="superscript"/>
            <w:lang w:val="en-US" w:eastAsia="fr-FR"/>
          </w:rPr>
          <w:t>3</w:t>
        </w:r>
        <w:r w:rsidRPr="009B47E8">
          <w:rPr>
            <w:rFonts w:ascii="Times New Roman" w:eastAsia="Times New Roman" w:hAnsi="Times New Roman" w:cs="Times New Roman"/>
            <w:color w:val="0000FF"/>
            <w:sz w:val="24"/>
            <w:szCs w:val="24"/>
            <w:u w:val="single"/>
            <w:lang w:val="en-US" w:eastAsia="fr-FR"/>
          </w:rPr>
          <w:t>)</w:t>
        </w:r>
      </w:hyperlink>
      <w:r w:rsidRPr="009B47E8">
        <w:rPr>
          <w:rFonts w:ascii="Times New Roman" w:eastAsia="Times New Roman" w:hAnsi="Times New Roman" w:cs="Times New Roman"/>
          <w:color w:val="000000"/>
          <w:sz w:val="24"/>
          <w:szCs w:val="24"/>
          <w:lang w:val="en-US" w:eastAsia="fr-FR"/>
        </w:rPr>
        <w:t>, when referring to the financial instruments provided for in Section C of Annex I of that Directive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07"/>
        <w:gridCol w:w="511"/>
        <w:gridCol w:w="512"/>
        <w:gridCol w:w="512"/>
        <w:gridCol w:w="512"/>
        <w:gridCol w:w="512"/>
        <w:gridCol w:w="512"/>
        <w:gridCol w:w="512"/>
        <w:gridCol w:w="512"/>
        <w:gridCol w:w="500"/>
        <w:gridCol w:w="500"/>
        <w:gridCol w:w="500"/>
        <w:gridCol w:w="500"/>
        <w:gridCol w:w="500"/>
        <w:gridCol w:w="500"/>
        <w:gridCol w:w="500"/>
      </w:tblGrid>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Financial Instruments</w:t>
            </w:r>
          </w:p>
        </w:tc>
        <w:tc>
          <w:tcPr>
            <w:tcW w:w="0" w:type="auto"/>
            <w:gridSpan w:val="8"/>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 xml:space="preserve">Investment services and </w:t>
            </w:r>
            <w:proofErr w:type="spellStart"/>
            <w:r w:rsidRPr="009B47E8">
              <w:rPr>
                <w:rFonts w:ascii="Times New Roman" w:eastAsia="Times New Roman" w:hAnsi="Times New Roman" w:cs="Times New Roman"/>
                <w:b/>
                <w:bCs/>
                <w:color w:val="000000"/>
                <w:lang w:eastAsia="fr-FR"/>
              </w:rPr>
              <w:t>activities</w:t>
            </w:r>
            <w:proofErr w:type="spellEnd"/>
          </w:p>
        </w:tc>
        <w:tc>
          <w:tcPr>
            <w:tcW w:w="0" w:type="auto"/>
            <w:gridSpan w:val="7"/>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ind w:right="195"/>
              <w:jc w:val="center"/>
              <w:rPr>
                <w:rFonts w:ascii="Times New Roman" w:eastAsia="Times New Roman" w:hAnsi="Times New Roman" w:cs="Times New Roman"/>
                <w:b/>
                <w:bCs/>
                <w:color w:val="000000"/>
                <w:lang w:eastAsia="fr-FR"/>
              </w:rPr>
            </w:pPr>
            <w:proofErr w:type="spellStart"/>
            <w:r w:rsidRPr="009B47E8">
              <w:rPr>
                <w:rFonts w:ascii="Times New Roman" w:eastAsia="Times New Roman" w:hAnsi="Times New Roman" w:cs="Times New Roman"/>
                <w:b/>
                <w:bCs/>
                <w:color w:val="000000"/>
                <w:lang w:eastAsia="fr-FR"/>
              </w:rPr>
              <w:t>Ancillary</w:t>
            </w:r>
            <w:proofErr w:type="spellEnd"/>
            <w:r w:rsidRPr="009B47E8">
              <w:rPr>
                <w:rFonts w:ascii="Times New Roman" w:eastAsia="Times New Roman" w:hAnsi="Times New Roman" w:cs="Times New Roman"/>
                <w:b/>
                <w:bCs/>
                <w:color w:val="000000"/>
                <w:lang w:eastAsia="fr-FR"/>
              </w:rPr>
              <w:t xml:space="preserve"> services</w:t>
            </w: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60E0A">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A1</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60E0A">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A2</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60E0A">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A3</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60E0A">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A4</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60E0A">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A5</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60E0A">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A6</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60E0A">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A7</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60E0A">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A8</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60E0A">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B1</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60E0A">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B2</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60E0A">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B3</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60E0A">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B4</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60E0A">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B5</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60E0A">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B6</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60E0A">
            <w:pPr>
              <w:spacing w:before="60" w:after="60" w:line="240" w:lineRule="auto"/>
              <w:ind w:right="195"/>
              <w:jc w:val="center"/>
              <w:rPr>
                <w:rFonts w:ascii="Times New Roman" w:eastAsia="Times New Roman" w:hAnsi="Times New Roman" w:cs="Times New Roman"/>
                <w:b/>
                <w:bCs/>
                <w:color w:val="000000"/>
                <w:lang w:eastAsia="fr-FR"/>
              </w:rPr>
            </w:pPr>
            <w:r w:rsidRPr="009B47E8">
              <w:rPr>
                <w:rFonts w:ascii="Times New Roman" w:eastAsia="Times New Roman" w:hAnsi="Times New Roman" w:cs="Times New Roman"/>
                <w:b/>
                <w:bCs/>
                <w:color w:val="000000"/>
                <w:lang w:eastAsia="fr-FR"/>
              </w:rPr>
              <w:t>B7</w:t>
            </w: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C1</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C2</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C3</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C4</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C5</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C6</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C7</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C8</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C9</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9B47E8" w:rsidTr="009B47E8">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60" w:after="60" w:line="240" w:lineRule="auto"/>
              <w:rPr>
                <w:rFonts w:ascii="Times New Roman" w:eastAsia="Times New Roman" w:hAnsi="Times New Roman" w:cs="Times New Roman"/>
                <w:color w:val="000000"/>
                <w:lang w:eastAsia="fr-FR"/>
              </w:rPr>
            </w:pPr>
            <w:r w:rsidRPr="009B47E8">
              <w:rPr>
                <w:rFonts w:ascii="Times New Roman" w:eastAsia="Times New Roman" w:hAnsi="Times New Roman" w:cs="Times New Roman"/>
                <w:color w:val="000000"/>
                <w:lang w:eastAsia="fr-FR"/>
              </w:rPr>
              <w:t>C10</w:t>
            </w: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9B47E8" w:rsidRPr="009B47E8" w:rsidRDefault="009B47E8" w:rsidP="009B47E8">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9B47E8" w:rsidRPr="004A20C5" w:rsidTr="009B47E8">
        <w:trPr>
          <w:tblCellSpacing w:w="0" w:type="dxa"/>
        </w:trPr>
        <w:tc>
          <w:tcPr>
            <w:tcW w:w="0" w:type="auto"/>
            <w:gridSpan w:val="16"/>
            <w:vAlign w:val="center"/>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Row and column headings are references to the relevant section and item number in Annex I to Directive 2004/39/EC (e.g. A1 refers to point 1 of Section A of Annex I)</w:t>
            </w:r>
          </w:p>
        </w:tc>
      </w:tr>
    </w:tbl>
    <w:p w:rsidR="009B47E8" w:rsidRPr="009B47E8" w:rsidRDefault="009B47E8" w:rsidP="009B47E8">
      <w:pPr>
        <w:spacing w:before="240" w:after="120" w:line="240" w:lineRule="auto"/>
        <w:jc w:val="both"/>
        <w:rPr>
          <w:rFonts w:ascii="Times New Roman" w:eastAsia="Times New Roman" w:hAnsi="Times New Roman" w:cs="Times New Roman"/>
          <w:b/>
          <w:bCs/>
          <w:color w:val="000000"/>
          <w:sz w:val="24"/>
          <w:szCs w:val="24"/>
          <w:lang w:val="en-US" w:eastAsia="fr-FR"/>
        </w:rPr>
      </w:pPr>
      <w:r w:rsidRPr="009B47E8">
        <w:rPr>
          <w:rFonts w:ascii="Times New Roman" w:eastAsia="Times New Roman" w:hAnsi="Times New Roman" w:cs="Times New Roman"/>
          <w:b/>
          <w:bCs/>
          <w:color w:val="000000"/>
          <w:sz w:val="24"/>
          <w:szCs w:val="24"/>
          <w:lang w:val="en-US" w:eastAsia="fr-FR"/>
        </w:rPr>
        <w:t xml:space="preserve">2.2. </w:t>
      </w:r>
      <w:r w:rsidRPr="009B47E8">
        <w:rPr>
          <w:rFonts w:ascii="Times New Roman" w:eastAsia="Times New Roman" w:hAnsi="Times New Roman" w:cs="Times New Roman"/>
          <w:b/>
          <w:bCs/>
          <w:i/>
          <w:iCs/>
          <w:color w:val="000000"/>
          <w:sz w:val="24"/>
          <w:szCs w:val="24"/>
          <w:lang w:val="en-US" w:eastAsia="fr-FR"/>
        </w:rPr>
        <w:t xml:space="preserve">Structural </w:t>
      </w:r>
      <w:proofErr w:type="spellStart"/>
      <w:r w:rsidRPr="009B47E8">
        <w:rPr>
          <w:rFonts w:ascii="Times New Roman" w:eastAsia="Times New Roman" w:hAnsi="Times New Roman" w:cs="Times New Roman"/>
          <w:b/>
          <w:bCs/>
          <w:i/>
          <w:iCs/>
          <w:color w:val="000000"/>
          <w:sz w:val="24"/>
          <w:szCs w:val="24"/>
          <w:lang w:val="en-US" w:eastAsia="fr-FR"/>
        </w:rPr>
        <w:t>organisation</w:t>
      </w:r>
      <w:proofErr w:type="spellEnd"/>
      <w:r w:rsidRPr="009B47E8">
        <w:rPr>
          <w:rFonts w:ascii="Times New Roman" w:eastAsia="Times New Roman" w:hAnsi="Times New Roman" w:cs="Times New Roman"/>
          <w:b/>
          <w:bCs/>
          <w:i/>
          <w:iCs/>
          <w:color w:val="000000"/>
          <w:sz w:val="24"/>
          <w:szCs w:val="24"/>
          <w:lang w:val="en-US" w:eastAsia="fr-FR"/>
        </w:rPr>
        <w:t xml:space="preserve"> of the branch</w:t>
      </w:r>
      <w:r w:rsidRPr="009B47E8">
        <w:rPr>
          <w:rFonts w:ascii="Times New Roman" w:eastAsia="Times New Roman" w:hAnsi="Times New Roman" w:cs="Times New Roman"/>
          <w:b/>
          <w:bCs/>
          <w:color w:val="000000"/>
          <w:sz w:val="24"/>
          <w:szCs w:val="24"/>
          <w:lang w:val="en-US" w:eastAsia="fr-FR"/>
        </w:rPr>
        <w:t xml:space="preserve"> </w:t>
      </w:r>
    </w:p>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 xml:space="preserve">2.2.1. Description of the </w:t>
      </w:r>
      <w:proofErr w:type="spellStart"/>
      <w:r w:rsidRPr="009B47E8">
        <w:rPr>
          <w:rFonts w:ascii="Times New Roman" w:eastAsia="Times New Roman" w:hAnsi="Times New Roman" w:cs="Times New Roman"/>
          <w:color w:val="000000"/>
          <w:sz w:val="24"/>
          <w:szCs w:val="24"/>
          <w:lang w:val="en-US" w:eastAsia="fr-FR"/>
        </w:rPr>
        <w:t>organisational</w:t>
      </w:r>
      <w:proofErr w:type="spellEnd"/>
      <w:r w:rsidRPr="009B47E8">
        <w:rPr>
          <w:rFonts w:ascii="Times New Roman" w:eastAsia="Times New Roman" w:hAnsi="Times New Roman" w:cs="Times New Roman"/>
          <w:color w:val="000000"/>
          <w:sz w:val="24"/>
          <w:szCs w:val="24"/>
          <w:lang w:val="en-US" w:eastAsia="fr-FR"/>
        </w:rPr>
        <w:t xml:space="preserve"> structure of the branch, including functional and legal reporting lines and the position and role of the branch within the corporate structure of the institution and, where applicable, of its group</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402"/>
      </w:tblGrid>
      <w:tr w:rsidR="009B47E8" w:rsidRPr="004A20C5" w:rsidTr="009B47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 xml:space="preserve">The description can be supported by relevant documents, such as an </w:t>
            </w:r>
            <w:proofErr w:type="spellStart"/>
            <w:r w:rsidRPr="009B47E8">
              <w:rPr>
                <w:rFonts w:ascii="Times New Roman" w:eastAsia="Times New Roman" w:hAnsi="Times New Roman" w:cs="Times New Roman"/>
                <w:i/>
                <w:iCs/>
                <w:color w:val="000000"/>
                <w:sz w:val="24"/>
                <w:szCs w:val="24"/>
                <w:lang w:val="en-US" w:eastAsia="fr-FR"/>
              </w:rPr>
              <w:t>organisational</w:t>
            </w:r>
            <w:proofErr w:type="spellEnd"/>
            <w:r w:rsidRPr="009B47E8">
              <w:rPr>
                <w:rFonts w:ascii="Times New Roman" w:eastAsia="Times New Roman" w:hAnsi="Times New Roman" w:cs="Times New Roman"/>
                <w:i/>
                <w:iCs/>
                <w:color w:val="000000"/>
                <w:sz w:val="24"/>
                <w:szCs w:val="24"/>
                <w:lang w:val="en-US" w:eastAsia="fr-FR"/>
              </w:rPr>
              <w:t xml:space="preserve"> chart</w:t>
            </w:r>
            <w:r w:rsidRPr="009B47E8">
              <w:rPr>
                <w:rFonts w:ascii="Times New Roman" w:eastAsia="Times New Roman" w:hAnsi="Times New Roman" w:cs="Times New Roman"/>
                <w:color w:val="000000"/>
                <w:sz w:val="24"/>
                <w:szCs w:val="24"/>
                <w:lang w:val="en-US" w:eastAsia="fr-FR"/>
              </w:rPr>
              <w:t xml:space="preserve"> </w:t>
            </w:r>
          </w:p>
        </w:tc>
      </w:tr>
    </w:tbl>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2.2.2. Description of the governance arrangements and internal control mechanisms of the branch, including the following information:</w:t>
      </w: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B47E8" w:rsidRPr="004A20C5" w:rsidTr="009B47E8">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lastRenderedPageBreak/>
              <w:t>2.2.2.1.</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risk management procedures of the branch and details of liquidity risk management of the institution, and where applicable, of its group</w:t>
            </w:r>
          </w:p>
          <w:p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tc>
      </w:tr>
    </w:tbl>
    <w:p w:rsidR="009B47E8" w:rsidRPr="009B47E8" w:rsidRDefault="009B47E8" w:rsidP="009B47E8">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1"/>
        <w:gridCol w:w="8351"/>
      </w:tblGrid>
      <w:tr w:rsidR="009B47E8" w:rsidRPr="004A20C5" w:rsidTr="009B47E8">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2.2.2.2.</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any limits that apply to the activities of the branch, in particular to its lending activities</w:t>
            </w:r>
          </w:p>
          <w:p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rsidR="00653DAC" w:rsidRDefault="00653DAC" w:rsidP="009B47E8">
            <w:pPr>
              <w:spacing w:after="0" w:line="240" w:lineRule="auto"/>
              <w:rPr>
                <w:rFonts w:ascii="Times New Roman" w:eastAsia="Times New Roman" w:hAnsi="Times New Roman" w:cs="Times New Roman"/>
                <w:color w:val="000000"/>
                <w:sz w:val="24"/>
                <w:szCs w:val="24"/>
                <w:lang w:val="en-US" w:eastAsia="fr-FR"/>
              </w:rPr>
            </w:pPr>
          </w:p>
          <w:p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tc>
      </w:tr>
    </w:tbl>
    <w:p w:rsidR="009B47E8" w:rsidRPr="009B47E8" w:rsidRDefault="009B47E8" w:rsidP="009B47E8">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B47E8" w:rsidRPr="004A20C5" w:rsidTr="009B47E8">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2.2.2.3.</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details of the internal audit arrangements of the branch, including details of the person responsible for these arrangements and, where applicable, details of the external auditor</w:t>
            </w:r>
          </w:p>
          <w:p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rsidR="00653DAC" w:rsidRDefault="00653DAC" w:rsidP="009B47E8">
            <w:pPr>
              <w:spacing w:after="0" w:line="240" w:lineRule="auto"/>
              <w:rPr>
                <w:rFonts w:ascii="Times New Roman" w:eastAsia="Times New Roman" w:hAnsi="Times New Roman" w:cs="Times New Roman"/>
                <w:color w:val="000000"/>
                <w:sz w:val="24"/>
                <w:szCs w:val="24"/>
                <w:lang w:val="en-US" w:eastAsia="fr-FR"/>
              </w:rPr>
            </w:pPr>
          </w:p>
          <w:p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tc>
      </w:tr>
    </w:tbl>
    <w:p w:rsidR="009B47E8" w:rsidRPr="009B47E8" w:rsidRDefault="009B47E8" w:rsidP="009B47E8">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B47E8" w:rsidRPr="004A20C5" w:rsidTr="009B47E8">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2.2.2.4.</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anti-money laundering arrangements of the branch including details of the person appointed to ensure compliance with these arrangements</w:t>
            </w:r>
          </w:p>
          <w:p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rsidR="00653DAC" w:rsidRDefault="00653DAC" w:rsidP="009B47E8">
            <w:pPr>
              <w:spacing w:after="0" w:line="240" w:lineRule="auto"/>
              <w:rPr>
                <w:rFonts w:ascii="Times New Roman" w:eastAsia="Times New Roman" w:hAnsi="Times New Roman" w:cs="Times New Roman"/>
                <w:color w:val="000000"/>
                <w:sz w:val="24"/>
                <w:szCs w:val="24"/>
                <w:lang w:val="en-US" w:eastAsia="fr-FR"/>
              </w:rPr>
            </w:pPr>
          </w:p>
          <w:p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tc>
      </w:tr>
    </w:tbl>
    <w:p w:rsidR="009B47E8" w:rsidRPr="009B47E8" w:rsidRDefault="009B47E8" w:rsidP="009B47E8">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B47E8" w:rsidRPr="004A20C5" w:rsidTr="009B47E8">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2.2.2.5.</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 xml:space="preserve">controls over outsourcing and other arrangements with third parties in connection with the activities carried out in the branch that are covered by the institution's </w:t>
            </w:r>
            <w:proofErr w:type="spellStart"/>
            <w:r w:rsidRPr="009B47E8">
              <w:rPr>
                <w:rFonts w:ascii="Times New Roman" w:eastAsia="Times New Roman" w:hAnsi="Times New Roman" w:cs="Times New Roman"/>
                <w:color w:val="000000"/>
                <w:sz w:val="24"/>
                <w:szCs w:val="24"/>
                <w:lang w:val="en-US" w:eastAsia="fr-FR"/>
              </w:rPr>
              <w:t>authorisation</w:t>
            </w:r>
            <w:proofErr w:type="spellEnd"/>
          </w:p>
          <w:p w:rsidR="00653DAC" w:rsidRDefault="009B47E8" w:rsidP="009B47E8">
            <w:pPr>
              <w:spacing w:after="0" w:line="240" w:lineRule="auto"/>
              <w:rPr>
                <w:rFonts w:ascii="Times New Roman" w:eastAsia="Times New Roman" w:hAnsi="Times New Roman" w:cs="Times New Roman"/>
                <w:i/>
                <w:iCs/>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p>
          <w:p w:rsidR="009B47E8" w:rsidRP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 xml:space="preserve"> </w:t>
            </w:r>
          </w:p>
        </w:tc>
      </w:tr>
    </w:tbl>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2.2.3. Where the branch is expected to carry out one or more of the investment services and activities defined in point 2 of Article 4(1) of Directive 2004/39/EC, a description of the following arrangements:</w:t>
      </w:r>
    </w:p>
    <w:tbl>
      <w:tblPr>
        <w:tblW w:w="5000" w:type="pct"/>
        <w:tblCellSpacing w:w="0" w:type="dxa"/>
        <w:tblCellMar>
          <w:left w:w="0" w:type="dxa"/>
          <w:right w:w="0" w:type="dxa"/>
        </w:tblCellMar>
        <w:tblLook w:val="04A0" w:firstRow="1" w:lastRow="0" w:firstColumn="1" w:lastColumn="0" w:noHBand="0" w:noVBand="1"/>
      </w:tblPr>
      <w:tblGrid>
        <w:gridCol w:w="1091"/>
        <w:gridCol w:w="7981"/>
      </w:tblGrid>
      <w:tr w:rsidR="009B47E8" w:rsidRPr="004A20C5" w:rsidTr="009B47E8">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2.2.3.1.</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arrangements for safeguarding client money and assets</w:t>
            </w:r>
          </w:p>
          <w:p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tc>
      </w:tr>
    </w:tbl>
    <w:p w:rsidR="009B47E8" w:rsidRPr="009B47E8" w:rsidRDefault="009B47E8" w:rsidP="009B47E8">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B47E8" w:rsidRPr="004A20C5" w:rsidTr="009B47E8">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2.2.3.2.</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arrangements for compliance with the obligations laid down in Articles 19, 21, 22, 25, 27 and 28 of Directive 2004/39/EC and measures adopted pursuant thereto by the relevant competent authorities of the host Member State</w:t>
            </w:r>
          </w:p>
          <w:p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tc>
      </w:tr>
    </w:tbl>
    <w:p w:rsidR="009B47E8" w:rsidRPr="009B47E8" w:rsidRDefault="009B47E8" w:rsidP="009B47E8">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840"/>
        <w:gridCol w:w="8232"/>
      </w:tblGrid>
      <w:tr w:rsidR="009B47E8" w:rsidRPr="004A20C5" w:rsidTr="009B47E8">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2.2.3.3.</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internal code of conduct including controls over personal account dealing</w:t>
            </w:r>
          </w:p>
          <w:p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tc>
      </w:tr>
    </w:tbl>
    <w:p w:rsidR="009B47E8" w:rsidRPr="009B47E8" w:rsidRDefault="009B47E8" w:rsidP="009B47E8">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B47E8" w:rsidRPr="004A20C5" w:rsidTr="009B47E8">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2.2.3.4.</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details of the person responsible for dealing with complaints in relation to the investment services and activities of the branch</w:t>
            </w:r>
          </w:p>
          <w:p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tc>
      </w:tr>
    </w:tbl>
    <w:p w:rsidR="009B47E8" w:rsidRPr="009B47E8" w:rsidRDefault="009B47E8" w:rsidP="009B47E8">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9B47E8" w:rsidRPr="004A20C5" w:rsidTr="009B47E8">
        <w:trPr>
          <w:tblCellSpacing w:w="0" w:type="dxa"/>
        </w:trPr>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eastAsia="fr-FR"/>
              </w:rPr>
            </w:pPr>
            <w:r w:rsidRPr="009B47E8">
              <w:rPr>
                <w:rFonts w:ascii="Times New Roman" w:eastAsia="Times New Roman" w:hAnsi="Times New Roman" w:cs="Times New Roman"/>
                <w:color w:val="000000"/>
                <w:sz w:val="24"/>
                <w:szCs w:val="24"/>
                <w:lang w:eastAsia="fr-FR"/>
              </w:rPr>
              <w:t>2.2.3.5.</w:t>
            </w:r>
          </w:p>
        </w:tc>
        <w:tc>
          <w:tcPr>
            <w:tcW w:w="0" w:type="auto"/>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 xml:space="preserve">details of the person appointed to ensure compliance with the arrangements of the </w:t>
            </w:r>
            <w:r w:rsidRPr="009B47E8">
              <w:rPr>
                <w:rFonts w:ascii="Times New Roman" w:eastAsia="Times New Roman" w:hAnsi="Times New Roman" w:cs="Times New Roman"/>
                <w:color w:val="000000"/>
                <w:sz w:val="24"/>
                <w:szCs w:val="24"/>
                <w:lang w:val="en-US" w:eastAsia="fr-FR"/>
              </w:rPr>
              <w:lastRenderedPageBreak/>
              <w:t>branch relating to investment services and activities</w:t>
            </w:r>
          </w:p>
          <w:p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tc>
      </w:tr>
    </w:tbl>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lastRenderedPageBreak/>
        <w:t xml:space="preserve">2.2.4. </w:t>
      </w:r>
      <w:proofErr w:type="gramStart"/>
      <w:r w:rsidRPr="009B47E8">
        <w:rPr>
          <w:rFonts w:ascii="Times New Roman" w:eastAsia="Times New Roman" w:hAnsi="Times New Roman" w:cs="Times New Roman"/>
          <w:color w:val="000000"/>
          <w:sz w:val="24"/>
          <w:szCs w:val="24"/>
          <w:lang w:val="en-US" w:eastAsia="fr-FR"/>
        </w:rPr>
        <w:t>details</w:t>
      </w:r>
      <w:proofErr w:type="gramEnd"/>
      <w:r w:rsidRPr="009B47E8">
        <w:rPr>
          <w:rFonts w:ascii="Times New Roman" w:eastAsia="Times New Roman" w:hAnsi="Times New Roman" w:cs="Times New Roman"/>
          <w:color w:val="000000"/>
          <w:sz w:val="24"/>
          <w:szCs w:val="24"/>
          <w:lang w:val="en-US" w:eastAsia="fr-FR"/>
        </w:rPr>
        <w:t xml:space="preserve"> of professional experience of the persons responsible for the management of the branch</w:t>
      </w:r>
    </w:p>
    <w:p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w:t>
      </w:r>
      <w:proofErr w:type="gramStart"/>
      <w:r w:rsidRPr="009B47E8">
        <w:rPr>
          <w:rFonts w:ascii="Times New Roman" w:eastAsia="Times New Roman" w:hAnsi="Times New Roman" w:cs="Times New Roman"/>
          <w:i/>
          <w:iCs/>
          <w:color w:val="000000"/>
          <w:sz w:val="24"/>
          <w:szCs w:val="24"/>
          <w:lang w:val="en-US" w:eastAsia="fr-FR"/>
        </w:rPr>
        <w:t>to</w:t>
      </w:r>
      <w:proofErr w:type="gramEnd"/>
      <w:r w:rsidRPr="009B47E8">
        <w:rPr>
          <w:rFonts w:ascii="Times New Roman" w:eastAsia="Times New Roman" w:hAnsi="Times New Roman" w:cs="Times New Roman"/>
          <w:i/>
          <w:iCs/>
          <w:color w:val="000000"/>
          <w:sz w:val="24"/>
          <w:szCs w:val="24"/>
          <w:lang w:val="en-US" w:eastAsia="fr-FR"/>
        </w:rPr>
        <w:t xml:space="preserve"> be completed by the credit institution]</w:t>
      </w:r>
      <w:r w:rsidRPr="009B47E8">
        <w:rPr>
          <w:rFonts w:ascii="Times New Roman" w:eastAsia="Times New Roman" w:hAnsi="Times New Roman" w:cs="Times New Roman"/>
          <w:color w:val="000000"/>
          <w:sz w:val="24"/>
          <w:szCs w:val="24"/>
          <w:lang w:val="en-US" w:eastAsia="fr-FR"/>
        </w:rPr>
        <w:t xml:space="preserve"> </w:t>
      </w:r>
    </w:p>
    <w:p w:rsidR="00653DAC" w:rsidRDefault="00653DAC" w:rsidP="009B47E8">
      <w:pPr>
        <w:spacing w:after="0" w:line="240" w:lineRule="auto"/>
        <w:rPr>
          <w:rFonts w:ascii="Times New Roman" w:eastAsia="Times New Roman" w:hAnsi="Times New Roman" w:cs="Times New Roman"/>
          <w:color w:val="000000"/>
          <w:sz w:val="24"/>
          <w:szCs w:val="24"/>
          <w:lang w:val="en-US" w:eastAsia="fr-FR"/>
        </w:rPr>
      </w:pPr>
    </w:p>
    <w:p w:rsidR="00653DAC" w:rsidRDefault="00653DAC" w:rsidP="009B47E8">
      <w:pPr>
        <w:spacing w:after="0" w:line="240" w:lineRule="auto"/>
        <w:rPr>
          <w:rFonts w:ascii="Times New Roman" w:eastAsia="Times New Roman" w:hAnsi="Times New Roman" w:cs="Times New Roman"/>
          <w:color w:val="000000"/>
          <w:sz w:val="24"/>
          <w:szCs w:val="24"/>
          <w:lang w:val="en-US" w:eastAsia="fr-FR"/>
        </w:rPr>
      </w:pPr>
    </w:p>
    <w:p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p w:rsidR="009B47E8" w:rsidRPr="009B47E8" w:rsidRDefault="009B47E8" w:rsidP="009B47E8">
      <w:pPr>
        <w:spacing w:before="240" w:after="120" w:line="240" w:lineRule="auto"/>
        <w:jc w:val="both"/>
        <w:rPr>
          <w:rFonts w:ascii="Times New Roman" w:eastAsia="Times New Roman" w:hAnsi="Times New Roman" w:cs="Times New Roman"/>
          <w:b/>
          <w:bCs/>
          <w:color w:val="000000"/>
          <w:sz w:val="24"/>
          <w:szCs w:val="24"/>
          <w:lang w:val="en-US" w:eastAsia="fr-FR"/>
        </w:rPr>
      </w:pPr>
      <w:r w:rsidRPr="009B47E8">
        <w:rPr>
          <w:rFonts w:ascii="Times New Roman" w:eastAsia="Times New Roman" w:hAnsi="Times New Roman" w:cs="Times New Roman"/>
          <w:b/>
          <w:bCs/>
          <w:color w:val="000000"/>
          <w:sz w:val="24"/>
          <w:szCs w:val="24"/>
          <w:lang w:val="en-US" w:eastAsia="fr-FR"/>
        </w:rPr>
        <w:t xml:space="preserve">2.3. </w:t>
      </w:r>
      <w:r w:rsidRPr="009B47E8">
        <w:rPr>
          <w:rFonts w:ascii="Times New Roman" w:eastAsia="Times New Roman" w:hAnsi="Times New Roman" w:cs="Times New Roman"/>
          <w:b/>
          <w:bCs/>
          <w:i/>
          <w:iCs/>
          <w:color w:val="000000"/>
          <w:sz w:val="24"/>
          <w:szCs w:val="24"/>
          <w:lang w:val="en-US" w:eastAsia="fr-FR"/>
        </w:rPr>
        <w:t>Other information</w:t>
      </w:r>
      <w:r w:rsidRPr="009B47E8">
        <w:rPr>
          <w:rFonts w:ascii="Times New Roman" w:eastAsia="Times New Roman" w:hAnsi="Times New Roman" w:cs="Times New Roman"/>
          <w:b/>
          <w:bCs/>
          <w:color w:val="000000"/>
          <w:sz w:val="24"/>
          <w:szCs w:val="24"/>
          <w:lang w:val="en-US" w:eastAsia="fr-FR"/>
        </w:rPr>
        <w:t xml:space="preserve"> </w:t>
      </w:r>
    </w:p>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2.3.1. Financial plan containing forecasts for balance sheet and profit and loss account, covering a period of three years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402"/>
      </w:tblGrid>
      <w:tr w:rsidR="009B47E8" w:rsidRPr="004A20C5" w:rsidTr="009B47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[to be completed by the credit institution]</w:t>
            </w:r>
            <w:r w:rsidRPr="009B47E8">
              <w:rPr>
                <w:rFonts w:ascii="Times New Roman" w:eastAsia="Times New Roman" w:hAnsi="Times New Roman" w:cs="Times New Roman"/>
                <w:color w:val="000000"/>
                <w:sz w:val="24"/>
                <w:szCs w:val="24"/>
                <w:lang w:val="en-US" w:eastAsia="fr-FR"/>
              </w:rPr>
              <w:t xml:space="preserve"> </w:t>
            </w:r>
          </w:p>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This information can be provided as an attachment to the notification</w:t>
            </w:r>
            <w:r w:rsidRPr="009B47E8">
              <w:rPr>
                <w:rFonts w:ascii="Times New Roman" w:eastAsia="Times New Roman" w:hAnsi="Times New Roman" w:cs="Times New Roman"/>
                <w:color w:val="000000"/>
                <w:sz w:val="24"/>
                <w:szCs w:val="24"/>
                <w:lang w:val="en-US" w:eastAsia="fr-FR"/>
              </w:rPr>
              <w:t xml:space="preserve"> </w:t>
            </w:r>
          </w:p>
        </w:tc>
      </w:tr>
    </w:tbl>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2.3.2. Name and contact details of the Union deposit guarantee and investor protection schemes of which the institution is a member and which cover the activities and services of the branch, together with the maximum coverage of the investor protection scheme</w:t>
      </w:r>
    </w:p>
    <w:p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w:t>
      </w:r>
      <w:proofErr w:type="gramStart"/>
      <w:r w:rsidRPr="009B47E8">
        <w:rPr>
          <w:rFonts w:ascii="Times New Roman" w:eastAsia="Times New Roman" w:hAnsi="Times New Roman" w:cs="Times New Roman"/>
          <w:i/>
          <w:iCs/>
          <w:color w:val="000000"/>
          <w:sz w:val="24"/>
          <w:szCs w:val="24"/>
          <w:lang w:val="en-US" w:eastAsia="fr-FR"/>
        </w:rPr>
        <w:t>to</w:t>
      </w:r>
      <w:proofErr w:type="gramEnd"/>
      <w:r w:rsidRPr="009B47E8">
        <w:rPr>
          <w:rFonts w:ascii="Times New Roman" w:eastAsia="Times New Roman" w:hAnsi="Times New Roman" w:cs="Times New Roman"/>
          <w:i/>
          <w:iCs/>
          <w:color w:val="000000"/>
          <w:sz w:val="24"/>
          <w:szCs w:val="24"/>
          <w:lang w:val="en-US" w:eastAsia="fr-FR"/>
        </w:rPr>
        <w:t xml:space="preserve"> be completed by the credit institution]</w:t>
      </w:r>
      <w:r w:rsidRPr="009B47E8">
        <w:rPr>
          <w:rFonts w:ascii="Times New Roman" w:eastAsia="Times New Roman" w:hAnsi="Times New Roman" w:cs="Times New Roman"/>
          <w:color w:val="000000"/>
          <w:sz w:val="24"/>
          <w:szCs w:val="24"/>
          <w:lang w:val="en-US" w:eastAsia="fr-FR"/>
        </w:rPr>
        <w:t xml:space="preserve"> </w:t>
      </w:r>
    </w:p>
    <w:p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p w:rsidR="009B47E8" w:rsidRPr="009B47E8" w:rsidRDefault="009B47E8" w:rsidP="009B47E8">
      <w:pPr>
        <w:spacing w:before="120" w:after="0" w:line="240" w:lineRule="auto"/>
        <w:jc w:val="both"/>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color w:val="000000"/>
          <w:sz w:val="24"/>
          <w:szCs w:val="24"/>
          <w:lang w:val="en-US" w:eastAsia="fr-FR"/>
        </w:rPr>
        <w:t>2.3.3. Details of the branch's IT arrangements</w:t>
      </w:r>
    </w:p>
    <w:p w:rsidR="009B47E8" w:rsidRDefault="009B47E8" w:rsidP="009B47E8">
      <w:pPr>
        <w:spacing w:after="0" w:line="240" w:lineRule="auto"/>
        <w:rPr>
          <w:rFonts w:ascii="Times New Roman" w:eastAsia="Times New Roman" w:hAnsi="Times New Roman" w:cs="Times New Roman"/>
          <w:color w:val="000000"/>
          <w:sz w:val="24"/>
          <w:szCs w:val="24"/>
          <w:lang w:val="en-US" w:eastAsia="fr-FR"/>
        </w:rPr>
      </w:pPr>
      <w:r w:rsidRPr="009B47E8">
        <w:rPr>
          <w:rFonts w:ascii="Times New Roman" w:eastAsia="Times New Roman" w:hAnsi="Times New Roman" w:cs="Times New Roman"/>
          <w:i/>
          <w:iCs/>
          <w:color w:val="000000"/>
          <w:sz w:val="24"/>
          <w:szCs w:val="24"/>
          <w:lang w:val="en-US" w:eastAsia="fr-FR"/>
        </w:rPr>
        <w:t>[</w:t>
      </w:r>
      <w:proofErr w:type="gramStart"/>
      <w:r w:rsidRPr="009B47E8">
        <w:rPr>
          <w:rFonts w:ascii="Times New Roman" w:eastAsia="Times New Roman" w:hAnsi="Times New Roman" w:cs="Times New Roman"/>
          <w:i/>
          <w:iCs/>
          <w:color w:val="000000"/>
          <w:sz w:val="24"/>
          <w:szCs w:val="24"/>
          <w:lang w:val="en-US" w:eastAsia="fr-FR"/>
        </w:rPr>
        <w:t>to</w:t>
      </w:r>
      <w:proofErr w:type="gramEnd"/>
      <w:r w:rsidRPr="009B47E8">
        <w:rPr>
          <w:rFonts w:ascii="Times New Roman" w:eastAsia="Times New Roman" w:hAnsi="Times New Roman" w:cs="Times New Roman"/>
          <w:i/>
          <w:iCs/>
          <w:color w:val="000000"/>
          <w:sz w:val="24"/>
          <w:szCs w:val="24"/>
          <w:lang w:val="en-US" w:eastAsia="fr-FR"/>
        </w:rPr>
        <w:t xml:space="preserve"> be completed by the credit institution]</w:t>
      </w:r>
      <w:r w:rsidRPr="009B47E8">
        <w:rPr>
          <w:rFonts w:ascii="Times New Roman" w:eastAsia="Times New Roman" w:hAnsi="Times New Roman" w:cs="Times New Roman"/>
          <w:color w:val="000000"/>
          <w:sz w:val="24"/>
          <w:szCs w:val="24"/>
          <w:lang w:val="en-US" w:eastAsia="fr-FR"/>
        </w:rPr>
        <w:t xml:space="preserve"> </w:t>
      </w:r>
    </w:p>
    <w:p w:rsidR="00653DAC" w:rsidRDefault="00653DAC" w:rsidP="009B47E8">
      <w:pPr>
        <w:spacing w:after="0" w:line="240" w:lineRule="auto"/>
        <w:rPr>
          <w:rFonts w:ascii="Times New Roman" w:eastAsia="Times New Roman" w:hAnsi="Times New Roman" w:cs="Times New Roman"/>
          <w:color w:val="000000"/>
          <w:sz w:val="24"/>
          <w:szCs w:val="24"/>
          <w:lang w:val="en-US" w:eastAsia="fr-FR"/>
        </w:rPr>
      </w:pPr>
    </w:p>
    <w:p w:rsidR="00653DAC" w:rsidRPr="009B47E8" w:rsidRDefault="00653DAC" w:rsidP="009B47E8">
      <w:pPr>
        <w:spacing w:after="0" w:line="240" w:lineRule="auto"/>
        <w:rPr>
          <w:rFonts w:ascii="Times New Roman" w:eastAsia="Times New Roman" w:hAnsi="Times New Roman" w:cs="Times New Roman"/>
          <w:color w:val="000000"/>
          <w:sz w:val="24"/>
          <w:szCs w:val="24"/>
          <w:lang w:val="en-US" w:eastAsia="fr-FR"/>
        </w:rPr>
      </w:pPr>
    </w:p>
    <w:p w:rsidR="009B47E8" w:rsidRPr="009B47E8" w:rsidRDefault="004A20C5" w:rsidP="009B47E8">
      <w:pPr>
        <w:spacing w:before="240" w:after="6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25" style="width:90.7pt;height:.75pt" o:hrpct="200" o:hrstd="t" o:hrnoshade="t" o:hr="t" fillcolor="black" stroked="f"/>
        </w:pict>
      </w:r>
    </w:p>
    <w:p w:rsidR="009B47E8" w:rsidRPr="009B47E8" w:rsidRDefault="004A20C5" w:rsidP="009B47E8">
      <w:pPr>
        <w:spacing w:before="60" w:after="60" w:line="240" w:lineRule="auto"/>
        <w:jc w:val="both"/>
        <w:rPr>
          <w:rFonts w:ascii="Times New Roman" w:eastAsia="Times New Roman" w:hAnsi="Times New Roman" w:cs="Times New Roman"/>
          <w:color w:val="000000"/>
          <w:sz w:val="19"/>
          <w:szCs w:val="19"/>
          <w:lang w:val="en-US" w:eastAsia="fr-FR"/>
        </w:rPr>
      </w:pPr>
      <w:hyperlink r:id="rId10" w:anchor="ntc1-L_2014254EN.01000701-E0001" w:history="1">
        <w:r w:rsidR="009B47E8" w:rsidRPr="009B47E8">
          <w:rPr>
            <w:rFonts w:ascii="Times New Roman" w:eastAsia="Times New Roman" w:hAnsi="Times New Roman" w:cs="Times New Roman"/>
            <w:color w:val="0000FF"/>
            <w:sz w:val="19"/>
            <w:szCs w:val="19"/>
            <w:u w:val="single"/>
            <w:lang w:val="en-US" w:eastAsia="fr-FR"/>
          </w:rPr>
          <w:t>(</w:t>
        </w:r>
        <w:r w:rsidR="009B47E8" w:rsidRPr="009B47E8">
          <w:rPr>
            <w:rFonts w:ascii="Times New Roman" w:eastAsia="Times New Roman" w:hAnsi="Times New Roman" w:cs="Times New Roman"/>
            <w:color w:val="0000FF"/>
            <w:sz w:val="13"/>
            <w:szCs w:val="13"/>
            <w:u w:val="single"/>
            <w:vertAlign w:val="superscript"/>
            <w:lang w:val="en-US" w:eastAsia="fr-FR"/>
          </w:rPr>
          <w:t>1</w:t>
        </w:r>
        <w:r w:rsidR="009B47E8" w:rsidRPr="009B47E8">
          <w:rPr>
            <w:rFonts w:ascii="Times New Roman" w:eastAsia="Times New Roman" w:hAnsi="Times New Roman" w:cs="Times New Roman"/>
            <w:color w:val="0000FF"/>
            <w:sz w:val="19"/>
            <w:szCs w:val="19"/>
            <w:u w:val="single"/>
            <w:lang w:val="en-US" w:eastAsia="fr-FR"/>
          </w:rPr>
          <w:t>)</w:t>
        </w:r>
      </w:hyperlink>
      <w:r w:rsidR="009B47E8" w:rsidRPr="009B47E8">
        <w:rPr>
          <w:rFonts w:ascii="Times New Roman" w:eastAsia="Times New Roman" w:hAnsi="Times New Roman" w:cs="Times New Roman"/>
          <w:color w:val="000000"/>
          <w:sz w:val="19"/>
          <w:szCs w:val="19"/>
          <w:lang w:val="en-US" w:eastAsia="fr-FR"/>
        </w:rPr>
        <w:t xml:space="preserve"> Directive 2007/64/EC of the European Parliament and of the Council of 13 November 2007. </w:t>
      </w:r>
      <w:proofErr w:type="gramStart"/>
      <w:r w:rsidR="009B47E8" w:rsidRPr="009B47E8">
        <w:rPr>
          <w:rFonts w:ascii="Times New Roman" w:eastAsia="Times New Roman" w:hAnsi="Times New Roman" w:cs="Times New Roman"/>
          <w:color w:val="000000"/>
          <w:sz w:val="19"/>
          <w:szCs w:val="19"/>
          <w:lang w:val="en-US" w:eastAsia="fr-FR"/>
        </w:rPr>
        <w:t>on</w:t>
      </w:r>
      <w:proofErr w:type="gramEnd"/>
      <w:r w:rsidR="009B47E8" w:rsidRPr="009B47E8">
        <w:rPr>
          <w:rFonts w:ascii="Times New Roman" w:eastAsia="Times New Roman" w:hAnsi="Times New Roman" w:cs="Times New Roman"/>
          <w:color w:val="000000"/>
          <w:sz w:val="19"/>
          <w:szCs w:val="19"/>
          <w:lang w:val="en-US" w:eastAsia="fr-FR"/>
        </w:rPr>
        <w:t xml:space="preserve"> payment services in the internal market (</w:t>
      </w:r>
      <w:hyperlink r:id="rId11" w:history="1">
        <w:r w:rsidR="009B47E8" w:rsidRPr="009B47E8">
          <w:rPr>
            <w:rFonts w:ascii="Times New Roman" w:eastAsia="Times New Roman" w:hAnsi="Times New Roman" w:cs="Times New Roman"/>
            <w:color w:val="0000FF"/>
            <w:sz w:val="19"/>
            <w:szCs w:val="19"/>
            <w:u w:val="single"/>
            <w:lang w:val="en-US" w:eastAsia="fr-FR"/>
          </w:rPr>
          <w:t>OJ L 319, 5.12.2007, p. 1</w:t>
        </w:r>
      </w:hyperlink>
      <w:r w:rsidR="009B47E8" w:rsidRPr="009B47E8">
        <w:rPr>
          <w:rFonts w:ascii="Times New Roman" w:eastAsia="Times New Roman" w:hAnsi="Times New Roman" w:cs="Times New Roman"/>
          <w:color w:val="000000"/>
          <w:sz w:val="19"/>
          <w:szCs w:val="19"/>
          <w:lang w:val="en-US" w:eastAsia="fr-FR"/>
        </w:rPr>
        <w:t>).</w:t>
      </w:r>
    </w:p>
    <w:p w:rsidR="009B47E8" w:rsidRPr="009B47E8" w:rsidRDefault="004A20C5" w:rsidP="009B47E8">
      <w:pPr>
        <w:spacing w:before="60" w:after="60" w:line="240" w:lineRule="auto"/>
        <w:jc w:val="both"/>
        <w:rPr>
          <w:rFonts w:ascii="Times New Roman" w:eastAsia="Times New Roman" w:hAnsi="Times New Roman" w:cs="Times New Roman"/>
          <w:color w:val="000000"/>
          <w:sz w:val="19"/>
          <w:szCs w:val="19"/>
          <w:lang w:val="en-US" w:eastAsia="fr-FR"/>
        </w:rPr>
      </w:pPr>
      <w:hyperlink r:id="rId12" w:anchor="ntc2-L_2014254EN.01000701-E0002" w:history="1">
        <w:r w:rsidR="009B47E8" w:rsidRPr="009B47E8">
          <w:rPr>
            <w:rFonts w:ascii="Times New Roman" w:eastAsia="Times New Roman" w:hAnsi="Times New Roman" w:cs="Times New Roman"/>
            <w:color w:val="0000FF"/>
            <w:sz w:val="19"/>
            <w:szCs w:val="19"/>
            <w:u w:val="single"/>
            <w:lang w:val="en-US" w:eastAsia="fr-FR"/>
          </w:rPr>
          <w:t>(</w:t>
        </w:r>
        <w:r w:rsidR="009B47E8" w:rsidRPr="009B47E8">
          <w:rPr>
            <w:rFonts w:ascii="Times New Roman" w:eastAsia="Times New Roman" w:hAnsi="Times New Roman" w:cs="Times New Roman"/>
            <w:color w:val="0000FF"/>
            <w:sz w:val="13"/>
            <w:szCs w:val="13"/>
            <w:u w:val="single"/>
            <w:vertAlign w:val="superscript"/>
            <w:lang w:val="en-US" w:eastAsia="fr-FR"/>
          </w:rPr>
          <w:t>2</w:t>
        </w:r>
        <w:r w:rsidR="009B47E8" w:rsidRPr="009B47E8">
          <w:rPr>
            <w:rFonts w:ascii="Times New Roman" w:eastAsia="Times New Roman" w:hAnsi="Times New Roman" w:cs="Times New Roman"/>
            <w:color w:val="0000FF"/>
            <w:sz w:val="19"/>
            <w:szCs w:val="19"/>
            <w:u w:val="single"/>
            <w:lang w:val="en-US" w:eastAsia="fr-FR"/>
          </w:rPr>
          <w:t>)</w:t>
        </w:r>
      </w:hyperlink>
      <w:r w:rsidR="009B47E8" w:rsidRPr="009B47E8">
        <w:rPr>
          <w:rFonts w:ascii="Times New Roman" w:eastAsia="Times New Roman" w:hAnsi="Times New Roman" w:cs="Times New Roman"/>
          <w:color w:val="000000"/>
          <w:sz w:val="19"/>
          <w:szCs w:val="19"/>
          <w:lang w:val="en-US" w:eastAsia="fr-FR"/>
        </w:rPr>
        <w:t xml:space="preserve"> Does the activity referred to in point 4g include the granting of credits in accordance with the conditions set out in Article 16(3) of Directive 2007/64/EC?</w:t>
      </w:r>
    </w:p>
    <w:p w:rsidR="009B47E8" w:rsidRPr="009B47E8" w:rsidRDefault="009B47E8" w:rsidP="009B47E8">
      <w:pPr>
        <w:spacing w:before="60" w:after="60" w:line="240" w:lineRule="auto"/>
        <w:jc w:val="both"/>
        <w:rPr>
          <w:rFonts w:ascii="Times New Roman" w:eastAsia="Times New Roman" w:hAnsi="Times New Roman" w:cs="Times New Roman"/>
          <w:color w:val="000000"/>
          <w:sz w:val="19"/>
          <w:szCs w:val="19"/>
          <w:lang w:val="en-US" w:eastAsia="fr-FR"/>
        </w:rPr>
      </w:pPr>
      <w:r w:rsidRPr="009B47E8">
        <w:rPr>
          <w:rFonts w:ascii="MS Mincho" w:eastAsia="MS Mincho" w:hAnsi="MS Mincho" w:cs="MS Mincho" w:hint="eastAsia"/>
          <w:color w:val="000000"/>
          <w:sz w:val="19"/>
          <w:szCs w:val="19"/>
          <w:lang w:val="en-US" w:eastAsia="fr-FR"/>
        </w:rPr>
        <w:t>☐</w:t>
      </w:r>
      <w:r w:rsidRPr="009B47E8">
        <w:rPr>
          <w:rFonts w:ascii="Times New Roman" w:eastAsia="Times New Roman" w:hAnsi="Times New Roman" w:cs="Times New Roman"/>
          <w:color w:val="000000"/>
          <w:sz w:val="19"/>
          <w:szCs w:val="19"/>
          <w:lang w:val="en-US" w:eastAsia="fr-FR"/>
        </w:rPr>
        <w:t xml:space="preserve"> </w:t>
      </w:r>
      <w:proofErr w:type="gramStart"/>
      <w:r w:rsidRPr="009B47E8">
        <w:rPr>
          <w:rFonts w:ascii="Times New Roman" w:eastAsia="Times New Roman" w:hAnsi="Times New Roman" w:cs="Times New Roman"/>
          <w:color w:val="000000"/>
          <w:sz w:val="19"/>
          <w:szCs w:val="19"/>
          <w:lang w:val="en-US" w:eastAsia="fr-FR"/>
        </w:rPr>
        <w:t>yes</w:t>
      </w:r>
      <w:proofErr w:type="gramEnd"/>
      <w:r w:rsidRPr="009B47E8">
        <w:rPr>
          <w:rFonts w:ascii="Times New Roman" w:eastAsia="Times New Roman" w:hAnsi="Times New Roman" w:cs="Times New Roman"/>
          <w:color w:val="000000"/>
          <w:sz w:val="19"/>
          <w:szCs w:val="19"/>
          <w:lang w:val="en-US" w:eastAsia="fr-FR"/>
        </w:rPr>
        <w:t xml:space="preserve"> </w:t>
      </w:r>
      <w:r w:rsidRPr="009B47E8">
        <w:rPr>
          <w:rFonts w:ascii="MS Mincho" w:eastAsia="MS Mincho" w:hAnsi="MS Mincho" w:cs="MS Mincho" w:hint="eastAsia"/>
          <w:color w:val="000000"/>
          <w:sz w:val="19"/>
          <w:szCs w:val="19"/>
          <w:lang w:val="en-US" w:eastAsia="fr-FR"/>
        </w:rPr>
        <w:t>☐</w:t>
      </w:r>
      <w:r w:rsidRPr="009B47E8">
        <w:rPr>
          <w:rFonts w:ascii="Times New Roman" w:eastAsia="Times New Roman" w:hAnsi="Times New Roman" w:cs="Times New Roman"/>
          <w:color w:val="000000"/>
          <w:sz w:val="19"/>
          <w:szCs w:val="19"/>
          <w:lang w:val="en-US" w:eastAsia="fr-FR"/>
        </w:rPr>
        <w:t xml:space="preserve"> no</w:t>
      </w:r>
    </w:p>
    <w:p w:rsidR="009B47E8" w:rsidRPr="009B47E8" w:rsidRDefault="004A20C5" w:rsidP="009B47E8">
      <w:pPr>
        <w:spacing w:before="60" w:after="60" w:line="240" w:lineRule="auto"/>
        <w:jc w:val="both"/>
        <w:rPr>
          <w:rFonts w:ascii="Times New Roman" w:eastAsia="Times New Roman" w:hAnsi="Times New Roman" w:cs="Times New Roman"/>
          <w:color w:val="000000"/>
          <w:sz w:val="19"/>
          <w:szCs w:val="19"/>
          <w:lang w:val="en-US" w:eastAsia="fr-FR"/>
        </w:rPr>
      </w:pPr>
      <w:hyperlink r:id="rId13" w:anchor="ntc3-L_2014254EN.01000701-E0003" w:history="1">
        <w:r w:rsidR="009B47E8" w:rsidRPr="009B47E8">
          <w:rPr>
            <w:rFonts w:ascii="Times New Roman" w:eastAsia="Times New Roman" w:hAnsi="Times New Roman" w:cs="Times New Roman"/>
            <w:color w:val="0000FF"/>
            <w:sz w:val="19"/>
            <w:szCs w:val="19"/>
            <w:u w:val="single"/>
            <w:lang w:val="en-US" w:eastAsia="fr-FR"/>
          </w:rPr>
          <w:t>(</w:t>
        </w:r>
        <w:r w:rsidR="009B47E8" w:rsidRPr="009B47E8">
          <w:rPr>
            <w:rFonts w:ascii="Times New Roman" w:eastAsia="Times New Roman" w:hAnsi="Times New Roman" w:cs="Times New Roman"/>
            <w:color w:val="0000FF"/>
            <w:sz w:val="13"/>
            <w:szCs w:val="13"/>
            <w:u w:val="single"/>
            <w:vertAlign w:val="superscript"/>
            <w:lang w:val="en-US" w:eastAsia="fr-FR"/>
          </w:rPr>
          <w:t>3</w:t>
        </w:r>
        <w:r w:rsidR="009B47E8" w:rsidRPr="009B47E8">
          <w:rPr>
            <w:rFonts w:ascii="Times New Roman" w:eastAsia="Times New Roman" w:hAnsi="Times New Roman" w:cs="Times New Roman"/>
            <w:color w:val="0000FF"/>
            <w:sz w:val="19"/>
            <w:szCs w:val="19"/>
            <w:u w:val="single"/>
            <w:lang w:val="en-US" w:eastAsia="fr-FR"/>
          </w:rPr>
          <w:t>)</w:t>
        </w:r>
      </w:hyperlink>
      <w:r w:rsidR="009B47E8" w:rsidRPr="009B47E8">
        <w:rPr>
          <w:rFonts w:ascii="Times New Roman" w:eastAsia="Times New Roman" w:hAnsi="Times New Roman" w:cs="Times New Roman"/>
          <w:color w:val="000000"/>
          <w:sz w:val="19"/>
          <w:szCs w:val="19"/>
          <w:lang w:val="en-US" w:eastAsia="fr-FR"/>
        </w:rPr>
        <w:t xml:space="preserve"> Directive 2004/39/EC of the European Parliament and of the Council of 21 April 2004 on markets in financial instruments amending Council Directives 85/611/EEC and 93/6/EEC and Directive 2000/12/EC of the European Parliament and of the Council and repealing Council Directive 93/22/EEC (</w:t>
      </w:r>
      <w:hyperlink r:id="rId14" w:history="1">
        <w:r w:rsidR="009B47E8" w:rsidRPr="009B47E8">
          <w:rPr>
            <w:rFonts w:ascii="Times New Roman" w:eastAsia="Times New Roman" w:hAnsi="Times New Roman" w:cs="Times New Roman"/>
            <w:color w:val="0000FF"/>
            <w:sz w:val="19"/>
            <w:szCs w:val="19"/>
            <w:u w:val="single"/>
            <w:lang w:val="en-US" w:eastAsia="fr-FR"/>
          </w:rPr>
          <w:t>OJ L 145, 30.4.2004, p. 1</w:t>
        </w:r>
      </w:hyperlink>
      <w:r w:rsidR="009B47E8" w:rsidRPr="009B47E8">
        <w:rPr>
          <w:rFonts w:ascii="Times New Roman" w:eastAsia="Times New Roman" w:hAnsi="Times New Roman" w:cs="Times New Roman"/>
          <w:color w:val="000000"/>
          <w:sz w:val="19"/>
          <w:szCs w:val="19"/>
          <w:lang w:val="en-US" w:eastAsia="fr-FR"/>
        </w:rPr>
        <w:t>).</w:t>
      </w:r>
    </w:p>
    <w:p w:rsidR="009B47E8" w:rsidRPr="009B47E8" w:rsidRDefault="004A20C5" w:rsidP="009B47E8">
      <w:pPr>
        <w:spacing w:before="120" w:after="12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26" style="width:45.35pt;height:.75pt" o:hrpct="100" o:hralign="center" o:hrstd="t" o:hrnoshade="t" o:hr="t" fillcolor="black" stroked="f"/>
        </w:pict>
      </w:r>
    </w:p>
    <w:tbl>
      <w:tblPr>
        <w:tblW w:w="0" w:type="auto"/>
        <w:shd w:val="clear" w:color="auto" w:fill="D9D9D9"/>
        <w:tblLook w:val="01E0" w:firstRow="1" w:lastRow="1" w:firstColumn="1" w:lastColumn="1" w:noHBand="0" w:noVBand="0"/>
      </w:tblPr>
      <w:tblGrid>
        <w:gridCol w:w="2802"/>
        <w:gridCol w:w="3260"/>
      </w:tblGrid>
      <w:tr w:rsidR="004A20C5" w:rsidRPr="007D55CF" w:rsidTr="004E1A5D">
        <w:tc>
          <w:tcPr>
            <w:tcW w:w="2802" w:type="dxa"/>
            <w:shd w:val="clear" w:color="auto" w:fill="auto"/>
          </w:tcPr>
          <w:p w:rsidR="004A20C5" w:rsidRPr="007D55CF" w:rsidRDefault="004A20C5" w:rsidP="004E1A5D">
            <w:pPr>
              <w:suppressAutoHyphens/>
              <w:spacing w:before="120" w:after="120"/>
              <w:rPr>
                <w:rFonts w:ascii="Arial" w:hAnsi="Arial" w:cs="Arial"/>
                <w:sz w:val="20"/>
              </w:rPr>
            </w:pPr>
            <w:bookmarkStart w:id="0" w:name="_GoBack"/>
            <w:r w:rsidRPr="007D55CF">
              <w:rPr>
                <w:rFonts w:ascii="Arial" w:hAnsi="Arial" w:cs="Arial"/>
                <w:sz w:val="20"/>
              </w:rPr>
              <w:t>Date</w:t>
            </w:r>
          </w:p>
        </w:tc>
        <w:tc>
          <w:tcPr>
            <w:tcW w:w="3260" w:type="dxa"/>
            <w:shd w:val="clear" w:color="auto" w:fill="D9D9D9"/>
          </w:tcPr>
          <w:p w:rsidR="004A20C5" w:rsidRPr="007D55CF" w:rsidRDefault="004A20C5" w:rsidP="004E1A5D">
            <w:pPr>
              <w:suppressAutoHyphens/>
              <w:spacing w:before="120" w:after="120"/>
              <w:ind w:left="57"/>
              <w:rPr>
                <w:rFonts w:ascii="Arial" w:hAnsi="Arial" w:cs="Arial"/>
                <w:sz w:val="20"/>
              </w:rPr>
            </w:pPr>
            <w:r w:rsidRPr="007D55CF">
              <w:rPr>
                <w:rFonts w:ascii="Arial" w:hAnsi="Arial" w:cs="Arial"/>
              </w:rPr>
              <w:fldChar w:fldCharType="begin">
                <w:ffData>
                  <w:name w:val=""/>
                  <w:enabled/>
                  <w:calcOnExit w:val="0"/>
                  <w:helpText w:type="text" w:val="Le format de la date est : jj/mm/aaaa"/>
                  <w:statusText w:type="text" w:val="jj/mm/aaaa"/>
                  <w:textInput>
                    <w:type w:val="date"/>
                    <w:maxLength w:val="10"/>
                    <w:format w:val="dd/MM/yyyy"/>
                  </w:textInput>
                </w:ffData>
              </w:fldChar>
            </w:r>
            <w:r w:rsidRPr="007D55CF">
              <w:rPr>
                <w:rFonts w:ascii="Arial" w:hAnsi="Arial" w:cs="Arial"/>
              </w:rPr>
              <w:instrText xml:space="preserve"> FORMTEXT </w:instrText>
            </w:r>
            <w:r w:rsidRPr="007D55CF">
              <w:rPr>
                <w:rFonts w:ascii="Arial" w:hAnsi="Arial" w:cs="Arial"/>
              </w:rPr>
            </w:r>
            <w:r w:rsidRPr="007D55CF">
              <w:rPr>
                <w:rFonts w:ascii="Arial" w:hAnsi="Arial" w:cs="Arial"/>
              </w:rPr>
              <w:fldChar w:fldCharType="separate"/>
            </w:r>
            <w:r w:rsidRPr="007D55CF">
              <w:rPr>
                <w:rFonts w:ascii="Arial" w:hAnsi="Arial" w:cs="Arial"/>
                <w:noProof/>
              </w:rPr>
              <w:t> </w:t>
            </w:r>
            <w:r w:rsidRPr="007D55CF">
              <w:rPr>
                <w:rFonts w:ascii="Arial" w:hAnsi="Arial" w:cs="Arial"/>
                <w:noProof/>
              </w:rPr>
              <w:t> </w:t>
            </w:r>
            <w:r w:rsidRPr="007D55CF">
              <w:rPr>
                <w:rFonts w:ascii="Arial" w:hAnsi="Arial" w:cs="Arial"/>
                <w:noProof/>
              </w:rPr>
              <w:t> </w:t>
            </w:r>
            <w:r w:rsidRPr="007D55CF">
              <w:rPr>
                <w:rFonts w:ascii="Arial" w:hAnsi="Arial" w:cs="Arial"/>
                <w:noProof/>
              </w:rPr>
              <w:t> </w:t>
            </w:r>
            <w:r w:rsidRPr="007D55CF">
              <w:rPr>
                <w:rFonts w:ascii="Arial" w:hAnsi="Arial" w:cs="Arial"/>
                <w:noProof/>
              </w:rPr>
              <w:t> </w:t>
            </w:r>
            <w:r w:rsidRPr="007D55CF">
              <w:rPr>
                <w:rFonts w:ascii="Arial" w:hAnsi="Arial" w:cs="Arial"/>
              </w:rPr>
              <w:fldChar w:fldCharType="end"/>
            </w:r>
          </w:p>
        </w:tc>
      </w:tr>
    </w:tbl>
    <w:p w:rsidR="004A20C5" w:rsidRDefault="004A20C5" w:rsidP="004A20C5">
      <w:pPr>
        <w:shd w:val="clear" w:color="auto" w:fill="FFFFFF"/>
        <w:tabs>
          <w:tab w:val="left" w:pos="1134"/>
        </w:tabs>
        <w:suppressAutoHyphens/>
        <w:rPr>
          <w:rFonts w:ascii="Arial" w:hAnsi="Arial" w:cs="Arial"/>
          <w:sz w:val="20"/>
        </w:rPr>
      </w:pPr>
    </w:p>
    <w:tbl>
      <w:tblPr>
        <w:tblW w:w="0" w:type="auto"/>
        <w:shd w:val="clear" w:color="auto" w:fill="D9D9D9"/>
        <w:tblLook w:val="01E0" w:firstRow="1" w:lastRow="1" w:firstColumn="1" w:lastColumn="1" w:noHBand="0" w:noVBand="0"/>
      </w:tblPr>
      <w:tblGrid>
        <w:gridCol w:w="2802"/>
        <w:gridCol w:w="3260"/>
      </w:tblGrid>
      <w:tr w:rsidR="004A20C5" w:rsidRPr="007D55CF" w:rsidTr="004E1A5D">
        <w:tc>
          <w:tcPr>
            <w:tcW w:w="2802" w:type="dxa"/>
            <w:shd w:val="clear" w:color="auto" w:fill="auto"/>
          </w:tcPr>
          <w:p w:rsidR="004A20C5" w:rsidRPr="007D55CF" w:rsidRDefault="004A20C5" w:rsidP="004E1A5D">
            <w:pPr>
              <w:suppressAutoHyphens/>
              <w:spacing w:before="120" w:after="120"/>
              <w:rPr>
                <w:rFonts w:ascii="Arial" w:hAnsi="Arial" w:cs="Arial"/>
                <w:sz w:val="20"/>
              </w:rPr>
            </w:pPr>
            <w:r>
              <w:rPr>
                <w:rFonts w:ascii="Arial" w:hAnsi="Arial" w:cs="Arial"/>
                <w:sz w:val="20"/>
              </w:rPr>
              <w:t xml:space="preserve">Name and </w:t>
            </w:r>
            <w:proofErr w:type="spellStart"/>
            <w:r>
              <w:rPr>
                <w:rFonts w:ascii="Arial" w:hAnsi="Arial" w:cs="Arial"/>
                <w:sz w:val="20"/>
              </w:rPr>
              <w:t>function</w:t>
            </w:r>
            <w:proofErr w:type="spellEnd"/>
          </w:p>
        </w:tc>
        <w:tc>
          <w:tcPr>
            <w:tcW w:w="3260" w:type="dxa"/>
            <w:shd w:val="clear" w:color="auto" w:fill="D9D9D9"/>
          </w:tcPr>
          <w:p w:rsidR="004A20C5" w:rsidRPr="007D55CF" w:rsidRDefault="004A20C5" w:rsidP="004E1A5D">
            <w:pPr>
              <w:suppressAutoHyphens/>
              <w:spacing w:before="120" w:after="120"/>
              <w:ind w:left="57"/>
              <w:rPr>
                <w:rFonts w:ascii="Arial" w:hAnsi="Arial" w:cs="Arial"/>
                <w:sz w:val="20"/>
              </w:rPr>
            </w:pPr>
            <w:r>
              <w:rPr>
                <w:rFonts w:ascii="Arial" w:hAnsi="Arial" w:cs="Arial"/>
              </w:rPr>
              <w:fldChar w:fldCharType="begin">
                <w:ffData>
                  <w:name w:val=""/>
                  <w:enabled/>
                  <w:calcOnExit w:val="0"/>
                  <w:helpText w:type="text" w:val="Le format de la date est : jj/mm/aaaa"/>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4A20C5" w:rsidRDefault="004A20C5" w:rsidP="004A20C5">
      <w:pPr>
        <w:shd w:val="clear" w:color="auto" w:fill="FFFFFF"/>
        <w:tabs>
          <w:tab w:val="left" w:pos="1134"/>
        </w:tabs>
        <w:suppressAutoHyphens/>
        <w:rPr>
          <w:rFonts w:ascii="Arial" w:hAnsi="Arial" w:cs="Arial"/>
          <w:sz w:val="20"/>
        </w:rPr>
      </w:pPr>
    </w:p>
    <w:p w:rsidR="003218BE" w:rsidRPr="004A20C5" w:rsidRDefault="004A20C5" w:rsidP="004A20C5">
      <w:pPr>
        <w:shd w:val="clear" w:color="auto" w:fill="FFFFFF"/>
        <w:tabs>
          <w:tab w:val="left" w:pos="1134"/>
        </w:tabs>
        <w:suppressAutoHyphens/>
        <w:rPr>
          <w:rFonts w:ascii="Arial" w:hAnsi="Arial" w:cs="Arial"/>
          <w:sz w:val="20"/>
        </w:rPr>
      </w:pPr>
      <w:r>
        <w:rPr>
          <w:rFonts w:ascii="Arial" w:hAnsi="Arial" w:cs="Arial"/>
          <w:sz w:val="20"/>
        </w:rPr>
        <w:t>Signature</w:t>
      </w:r>
      <w:bookmarkEnd w:id="0"/>
    </w:p>
    <w:sectPr w:rsidR="003218BE" w:rsidRPr="004A20C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0A" w:rsidRDefault="00960E0A" w:rsidP="00960E0A">
      <w:pPr>
        <w:spacing w:after="0" w:line="240" w:lineRule="auto"/>
      </w:pPr>
      <w:r>
        <w:separator/>
      </w:r>
    </w:p>
  </w:endnote>
  <w:endnote w:type="continuationSeparator" w:id="0">
    <w:p w:rsidR="00960E0A" w:rsidRDefault="00960E0A" w:rsidP="0096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813447"/>
      <w:docPartObj>
        <w:docPartGallery w:val="Page Numbers (Bottom of Page)"/>
        <w:docPartUnique/>
      </w:docPartObj>
    </w:sdtPr>
    <w:sdtEndPr/>
    <w:sdtContent>
      <w:p w:rsidR="00960E0A" w:rsidRDefault="00960E0A">
        <w:pPr>
          <w:pStyle w:val="Pieddepage"/>
          <w:jc w:val="right"/>
        </w:pPr>
        <w:r>
          <w:fldChar w:fldCharType="begin"/>
        </w:r>
        <w:r>
          <w:instrText>PAGE   \* MERGEFORMAT</w:instrText>
        </w:r>
        <w:r>
          <w:fldChar w:fldCharType="separate"/>
        </w:r>
        <w:r w:rsidR="004A20C5">
          <w:rPr>
            <w:noProof/>
          </w:rPr>
          <w:t>6</w:t>
        </w:r>
        <w:r>
          <w:fldChar w:fldCharType="end"/>
        </w:r>
      </w:p>
    </w:sdtContent>
  </w:sdt>
  <w:p w:rsidR="00960E0A" w:rsidRDefault="00960E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0A" w:rsidRDefault="00960E0A" w:rsidP="00960E0A">
      <w:pPr>
        <w:spacing w:after="0" w:line="240" w:lineRule="auto"/>
      </w:pPr>
      <w:r>
        <w:separator/>
      </w:r>
    </w:p>
  </w:footnote>
  <w:footnote w:type="continuationSeparator" w:id="0">
    <w:p w:rsidR="00960E0A" w:rsidRDefault="00960E0A" w:rsidP="00960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0A" w:rsidRDefault="00960E0A" w:rsidP="00960E0A">
    <w:pPr>
      <w:pStyle w:val="En-tte"/>
      <w:jc w:val="center"/>
    </w:pPr>
    <w:r>
      <w:rPr>
        <w:noProof/>
        <w:sz w:val="56"/>
        <w:szCs w:val="56"/>
        <w:lang w:eastAsia="fr-FR"/>
      </w:rPr>
      <w:drawing>
        <wp:inline distT="0" distB="0" distL="0" distR="0" wp14:anchorId="0D2E6C6D" wp14:editId="49023DE1">
          <wp:extent cx="1310532" cy="92392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532" cy="923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E8"/>
    <w:rsid w:val="00012951"/>
    <w:rsid w:val="00171827"/>
    <w:rsid w:val="003218BE"/>
    <w:rsid w:val="004A20C5"/>
    <w:rsid w:val="00571541"/>
    <w:rsid w:val="00653DAC"/>
    <w:rsid w:val="008F1DDE"/>
    <w:rsid w:val="00960E0A"/>
    <w:rsid w:val="009B47E8"/>
    <w:rsid w:val="00D117EF"/>
    <w:rsid w:val="00EB0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9B47E8"/>
    <w:pPr>
      <w:spacing w:before="240" w:after="120" w:line="240" w:lineRule="auto"/>
      <w:jc w:val="center"/>
    </w:pPr>
    <w:rPr>
      <w:rFonts w:ascii="Times New Roman" w:eastAsia="Times New Roman" w:hAnsi="Times New Roman" w:cs="Times New Roman"/>
      <w:b/>
      <w:bCs/>
      <w:sz w:val="24"/>
      <w:szCs w:val="24"/>
      <w:lang w:eastAsia="fr-FR"/>
    </w:rPr>
  </w:style>
  <w:style w:type="paragraph" w:customStyle="1" w:styleId="Normal1">
    <w:name w:val="Normal1"/>
    <w:basedOn w:val="Normal"/>
    <w:rsid w:val="009B47E8"/>
    <w:pPr>
      <w:spacing w:before="120" w:after="0" w:line="240" w:lineRule="auto"/>
      <w:jc w:val="both"/>
    </w:pPr>
    <w:rPr>
      <w:rFonts w:ascii="Times New Roman" w:eastAsia="Times New Roman" w:hAnsi="Times New Roman" w:cs="Times New Roman"/>
      <w:sz w:val="24"/>
      <w:szCs w:val="24"/>
      <w:lang w:eastAsia="fr-FR"/>
    </w:rPr>
  </w:style>
  <w:style w:type="paragraph" w:customStyle="1" w:styleId="note">
    <w:name w:val="note"/>
    <w:basedOn w:val="Normal"/>
    <w:rsid w:val="009B47E8"/>
    <w:pPr>
      <w:spacing w:before="60" w:after="60" w:line="240" w:lineRule="auto"/>
      <w:jc w:val="both"/>
    </w:pPr>
    <w:rPr>
      <w:rFonts w:ascii="Times New Roman" w:eastAsia="Times New Roman" w:hAnsi="Times New Roman" w:cs="Times New Roman"/>
      <w:sz w:val="19"/>
      <w:szCs w:val="19"/>
      <w:lang w:eastAsia="fr-FR"/>
    </w:rPr>
  </w:style>
  <w:style w:type="paragraph" w:customStyle="1" w:styleId="tbl-hdr">
    <w:name w:val="tbl-hdr"/>
    <w:basedOn w:val="Normal"/>
    <w:rsid w:val="009B47E8"/>
    <w:pPr>
      <w:spacing w:before="60" w:after="60" w:line="240" w:lineRule="auto"/>
      <w:ind w:right="195"/>
      <w:jc w:val="center"/>
    </w:pPr>
    <w:rPr>
      <w:rFonts w:ascii="Times New Roman" w:eastAsia="Times New Roman" w:hAnsi="Times New Roman" w:cs="Times New Roman"/>
      <w:b/>
      <w:bCs/>
      <w:lang w:eastAsia="fr-FR"/>
    </w:rPr>
  </w:style>
  <w:style w:type="paragraph" w:customStyle="1" w:styleId="tbl-txt">
    <w:name w:val="tbl-txt"/>
    <w:basedOn w:val="Normal"/>
    <w:rsid w:val="009B47E8"/>
    <w:pPr>
      <w:spacing w:before="60" w:after="60" w:line="240" w:lineRule="auto"/>
    </w:pPr>
    <w:rPr>
      <w:rFonts w:ascii="Times New Roman" w:eastAsia="Times New Roman" w:hAnsi="Times New Roman" w:cs="Times New Roman"/>
      <w:lang w:eastAsia="fr-FR"/>
    </w:rPr>
  </w:style>
  <w:style w:type="paragraph" w:customStyle="1" w:styleId="ti-grseq-1">
    <w:name w:val="ti-grseq-1"/>
    <w:basedOn w:val="Normal"/>
    <w:rsid w:val="009B47E8"/>
    <w:pPr>
      <w:spacing w:before="240" w:after="120" w:line="240" w:lineRule="auto"/>
      <w:jc w:val="both"/>
    </w:pPr>
    <w:rPr>
      <w:rFonts w:ascii="Times New Roman" w:eastAsia="Times New Roman" w:hAnsi="Times New Roman" w:cs="Times New Roman"/>
      <w:b/>
      <w:bCs/>
      <w:sz w:val="24"/>
      <w:szCs w:val="24"/>
      <w:lang w:eastAsia="fr-FR"/>
    </w:rPr>
  </w:style>
  <w:style w:type="character" w:customStyle="1" w:styleId="bold">
    <w:name w:val="bold"/>
    <w:basedOn w:val="Policepardfaut"/>
    <w:rsid w:val="009B47E8"/>
    <w:rPr>
      <w:b/>
      <w:bCs/>
    </w:rPr>
  </w:style>
  <w:style w:type="character" w:customStyle="1" w:styleId="italic">
    <w:name w:val="italic"/>
    <w:basedOn w:val="Policepardfaut"/>
    <w:rsid w:val="009B47E8"/>
    <w:rPr>
      <w:i/>
      <w:iCs/>
    </w:rPr>
  </w:style>
  <w:style w:type="character" w:customStyle="1" w:styleId="super">
    <w:name w:val="super"/>
    <w:basedOn w:val="Policepardfaut"/>
    <w:rsid w:val="009B47E8"/>
    <w:rPr>
      <w:sz w:val="17"/>
      <w:szCs w:val="17"/>
      <w:vertAlign w:val="superscript"/>
    </w:rPr>
  </w:style>
  <w:style w:type="character" w:styleId="Lienhypertexte">
    <w:name w:val="Hyperlink"/>
    <w:basedOn w:val="Policepardfaut"/>
    <w:uiPriority w:val="99"/>
    <w:semiHidden/>
    <w:unhideWhenUsed/>
    <w:rsid w:val="009B47E8"/>
    <w:rPr>
      <w:color w:val="0000FF"/>
      <w:u w:val="single"/>
    </w:rPr>
  </w:style>
  <w:style w:type="paragraph" w:styleId="En-tte">
    <w:name w:val="header"/>
    <w:basedOn w:val="Normal"/>
    <w:link w:val="En-tteCar"/>
    <w:uiPriority w:val="99"/>
    <w:unhideWhenUsed/>
    <w:rsid w:val="00960E0A"/>
    <w:pPr>
      <w:tabs>
        <w:tab w:val="center" w:pos="4536"/>
        <w:tab w:val="right" w:pos="9072"/>
      </w:tabs>
      <w:spacing w:after="0" w:line="240" w:lineRule="auto"/>
    </w:pPr>
  </w:style>
  <w:style w:type="character" w:customStyle="1" w:styleId="En-tteCar">
    <w:name w:val="En-tête Car"/>
    <w:basedOn w:val="Policepardfaut"/>
    <w:link w:val="En-tte"/>
    <w:uiPriority w:val="99"/>
    <w:rsid w:val="00960E0A"/>
  </w:style>
  <w:style w:type="paragraph" w:styleId="Pieddepage">
    <w:name w:val="footer"/>
    <w:basedOn w:val="Normal"/>
    <w:link w:val="PieddepageCar"/>
    <w:uiPriority w:val="99"/>
    <w:unhideWhenUsed/>
    <w:rsid w:val="00960E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E0A"/>
  </w:style>
  <w:style w:type="paragraph" w:styleId="Textedebulles">
    <w:name w:val="Balloon Text"/>
    <w:basedOn w:val="Normal"/>
    <w:link w:val="TextedebullesCar"/>
    <w:uiPriority w:val="99"/>
    <w:semiHidden/>
    <w:unhideWhenUsed/>
    <w:rsid w:val="00960E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9B47E8"/>
    <w:pPr>
      <w:spacing w:before="240" w:after="120" w:line="240" w:lineRule="auto"/>
      <w:jc w:val="center"/>
    </w:pPr>
    <w:rPr>
      <w:rFonts w:ascii="Times New Roman" w:eastAsia="Times New Roman" w:hAnsi="Times New Roman" w:cs="Times New Roman"/>
      <w:b/>
      <w:bCs/>
      <w:sz w:val="24"/>
      <w:szCs w:val="24"/>
      <w:lang w:eastAsia="fr-FR"/>
    </w:rPr>
  </w:style>
  <w:style w:type="paragraph" w:customStyle="1" w:styleId="Normal1">
    <w:name w:val="Normal1"/>
    <w:basedOn w:val="Normal"/>
    <w:rsid w:val="009B47E8"/>
    <w:pPr>
      <w:spacing w:before="120" w:after="0" w:line="240" w:lineRule="auto"/>
      <w:jc w:val="both"/>
    </w:pPr>
    <w:rPr>
      <w:rFonts w:ascii="Times New Roman" w:eastAsia="Times New Roman" w:hAnsi="Times New Roman" w:cs="Times New Roman"/>
      <w:sz w:val="24"/>
      <w:szCs w:val="24"/>
      <w:lang w:eastAsia="fr-FR"/>
    </w:rPr>
  </w:style>
  <w:style w:type="paragraph" w:customStyle="1" w:styleId="note">
    <w:name w:val="note"/>
    <w:basedOn w:val="Normal"/>
    <w:rsid w:val="009B47E8"/>
    <w:pPr>
      <w:spacing w:before="60" w:after="60" w:line="240" w:lineRule="auto"/>
      <w:jc w:val="both"/>
    </w:pPr>
    <w:rPr>
      <w:rFonts w:ascii="Times New Roman" w:eastAsia="Times New Roman" w:hAnsi="Times New Roman" w:cs="Times New Roman"/>
      <w:sz w:val="19"/>
      <w:szCs w:val="19"/>
      <w:lang w:eastAsia="fr-FR"/>
    </w:rPr>
  </w:style>
  <w:style w:type="paragraph" w:customStyle="1" w:styleId="tbl-hdr">
    <w:name w:val="tbl-hdr"/>
    <w:basedOn w:val="Normal"/>
    <w:rsid w:val="009B47E8"/>
    <w:pPr>
      <w:spacing w:before="60" w:after="60" w:line="240" w:lineRule="auto"/>
      <w:ind w:right="195"/>
      <w:jc w:val="center"/>
    </w:pPr>
    <w:rPr>
      <w:rFonts w:ascii="Times New Roman" w:eastAsia="Times New Roman" w:hAnsi="Times New Roman" w:cs="Times New Roman"/>
      <w:b/>
      <w:bCs/>
      <w:lang w:eastAsia="fr-FR"/>
    </w:rPr>
  </w:style>
  <w:style w:type="paragraph" w:customStyle="1" w:styleId="tbl-txt">
    <w:name w:val="tbl-txt"/>
    <w:basedOn w:val="Normal"/>
    <w:rsid w:val="009B47E8"/>
    <w:pPr>
      <w:spacing w:before="60" w:after="60" w:line="240" w:lineRule="auto"/>
    </w:pPr>
    <w:rPr>
      <w:rFonts w:ascii="Times New Roman" w:eastAsia="Times New Roman" w:hAnsi="Times New Roman" w:cs="Times New Roman"/>
      <w:lang w:eastAsia="fr-FR"/>
    </w:rPr>
  </w:style>
  <w:style w:type="paragraph" w:customStyle="1" w:styleId="ti-grseq-1">
    <w:name w:val="ti-grseq-1"/>
    <w:basedOn w:val="Normal"/>
    <w:rsid w:val="009B47E8"/>
    <w:pPr>
      <w:spacing w:before="240" w:after="120" w:line="240" w:lineRule="auto"/>
      <w:jc w:val="both"/>
    </w:pPr>
    <w:rPr>
      <w:rFonts w:ascii="Times New Roman" w:eastAsia="Times New Roman" w:hAnsi="Times New Roman" w:cs="Times New Roman"/>
      <w:b/>
      <w:bCs/>
      <w:sz w:val="24"/>
      <w:szCs w:val="24"/>
      <w:lang w:eastAsia="fr-FR"/>
    </w:rPr>
  </w:style>
  <w:style w:type="character" w:customStyle="1" w:styleId="bold">
    <w:name w:val="bold"/>
    <w:basedOn w:val="Policepardfaut"/>
    <w:rsid w:val="009B47E8"/>
    <w:rPr>
      <w:b/>
      <w:bCs/>
    </w:rPr>
  </w:style>
  <w:style w:type="character" w:customStyle="1" w:styleId="italic">
    <w:name w:val="italic"/>
    <w:basedOn w:val="Policepardfaut"/>
    <w:rsid w:val="009B47E8"/>
    <w:rPr>
      <w:i/>
      <w:iCs/>
    </w:rPr>
  </w:style>
  <w:style w:type="character" w:customStyle="1" w:styleId="super">
    <w:name w:val="super"/>
    <w:basedOn w:val="Policepardfaut"/>
    <w:rsid w:val="009B47E8"/>
    <w:rPr>
      <w:sz w:val="17"/>
      <w:szCs w:val="17"/>
      <w:vertAlign w:val="superscript"/>
    </w:rPr>
  </w:style>
  <w:style w:type="character" w:styleId="Lienhypertexte">
    <w:name w:val="Hyperlink"/>
    <w:basedOn w:val="Policepardfaut"/>
    <w:uiPriority w:val="99"/>
    <w:semiHidden/>
    <w:unhideWhenUsed/>
    <w:rsid w:val="009B47E8"/>
    <w:rPr>
      <w:color w:val="0000FF"/>
      <w:u w:val="single"/>
    </w:rPr>
  </w:style>
  <w:style w:type="paragraph" w:styleId="En-tte">
    <w:name w:val="header"/>
    <w:basedOn w:val="Normal"/>
    <w:link w:val="En-tteCar"/>
    <w:uiPriority w:val="99"/>
    <w:unhideWhenUsed/>
    <w:rsid w:val="00960E0A"/>
    <w:pPr>
      <w:tabs>
        <w:tab w:val="center" w:pos="4536"/>
        <w:tab w:val="right" w:pos="9072"/>
      </w:tabs>
      <w:spacing w:after="0" w:line="240" w:lineRule="auto"/>
    </w:pPr>
  </w:style>
  <w:style w:type="character" w:customStyle="1" w:styleId="En-tteCar">
    <w:name w:val="En-tête Car"/>
    <w:basedOn w:val="Policepardfaut"/>
    <w:link w:val="En-tte"/>
    <w:uiPriority w:val="99"/>
    <w:rsid w:val="00960E0A"/>
  </w:style>
  <w:style w:type="paragraph" w:styleId="Pieddepage">
    <w:name w:val="footer"/>
    <w:basedOn w:val="Normal"/>
    <w:link w:val="PieddepageCar"/>
    <w:uiPriority w:val="99"/>
    <w:unhideWhenUsed/>
    <w:rsid w:val="00960E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E0A"/>
  </w:style>
  <w:style w:type="paragraph" w:styleId="Textedebulles">
    <w:name w:val="Balloon Text"/>
    <w:basedOn w:val="Normal"/>
    <w:link w:val="TextedebullesCar"/>
    <w:uiPriority w:val="99"/>
    <w:semiHidden/>
    <w:unhideWhenUsed/>
    <w:rsid w:val="00960E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38992">
      <w:bodyDiv w:val="1"/>
      <w:marLeft w:val="390"/>
      <w:marRight w:val="390"/>
      <w:marTop w:val="0"/>
      <w:marBottom w:val="0"/>
      <w:divBdr>
        <w:top w:val="none" w:sz="0" w:space="0" w:color="auto"/>
        <w:left w:val="none" w:sz="0" w:space="0" w:color="auto"/>
        <w:bottom w:val="none" w:sz="0" w:space="0" w:color="auto"/>
        <w:right w:val="none" w:sz="0" w:space="0" w:color="auto"/>
      </w:divBdr>
      <w:divsChild>
        <w:div w:id="1605460305">
          <w:marLeft w:val="0"/>
          <w:marRight w:val="0"/>
          <w:marTop w:val="0"/>
          <w:marBottom w:val="0"/>
          <w:divBdr>
            <w:top w:val="none" w:sz="0" w:space="0" w:color="auto"/>
            <w:left w:val="none" w:sz="0" w:space="0" w:color="auto"/>
            <w:bottom w:val="none" w:sz="0" w:space="0" w:color="auto"/>
            <w:right w:val="none" w:sz="0" w:space="0" w:color="auto"/>
          </w:divBdr>
          <w:divsChild>
            <w:div w:id="1381322295">
              <w:marLeft w:val="0"/>
              <w:marRight w:val="0"/>
              <w:marTop w:val="0"/>
              <w:marBottom w:val="0"/>
              <w:divBdr>
                <w:top w:val="none" w:sz="0" w:space="0" w:color="auto"/>
                <w:left w:val="none" w:sz="0" w:space="0" w:color="auto"/>
                <w:bottom w:val="none" w:sz="0" w:space="0" w:color="auto"/>
                <w:right w:val="none" w:sz="0" w:space="0" w:color="auto"/>
              </w:divBdr>
            </w:div>
            <w:div w:id="972246527">
              <w:marLeft w:val="0"/>
              <w:marRight w:val="0"/>
              <w:marTop w:val="0"/>
              <w:marBottom w:val="0"/>
              <w:divBdr>
                <w:top w:val="none" w:sz="0" w:space="0" w:color="auto"/>
                <w:left w:val="none" w:sz="0" w:space="0" w:color="auto"/>
                <w:bottom w:val="none" w:sz="0" w:space="0" w:color="auto"/>
                <w:right w:val="none" w:sz="0" w:space="0" w:color="auto"/>
              </w:divBdr>
            </w:div>
            <w:div w:id="243301866">
              <w:marLeft w:val="0"/>
              <w:marRight w:val="0"/>
              <w:marTop w:val="0"/>
              <w:marBottom w:val="0"/>
              <w:divBdr>
                <w:top w:val="none" w:sz="0" w:space="0" w:color="auto"/>
                <w:left w:val="none" w:sz="0" w:space="0" w:color="auto"/>
                <w:bottom w:val="none" w:sz="0" w:space="0" w:color="auto"/>
                <w:right w:val="none" w:sz="0" w:space="0" w:color="auto"/>
              </w:divBdr>
            </w:div>
            <w:div w:id="1136873747">
              <w:marLeft w:val="0"/>
              <w:marRight w:val="0"/>
              <w:marTop w:val="0"/>
              <w:marBottom w:val="0"/>
              <w:divBdr>
                <w:top w:val="none" w:sz="0" w:space="0" w:color="auto"/>
                <w:left w:val="none" w:sz="0" w:space="0" w:color="auto"/>
                <w:bottom w:val="none" w:sz="0" w:space="0" w:color="auto"/>
                <w:right w:val="none" w:sz="0" w:space="0" w:color="auto"/>
              </w:divBdr>
            </w:div>
            <w:div w:id="1799033971">
              <w:marLeft w:val="0"/>
              <w:marRight w:val="0"/>
              <w:marTop w:val="0"/>
              <w:marBottom w:val="0"/>
              <w:divBdr>
                <w:top w:val="none" w:sz="0" w:space="0" w:color="auto"/>
                <w:left w:val="none" w:sz="0" w:space="0" w:color="auto"/>
                <w:bottom w:val="none" w:sz="0" w:space="0" w:color="auto"/>
                <w:right w:val="none" w:sz="0" w:space="0" w:color="auto"/>
              </w:divBdr>
            </w:div>
            <w:div w:id="906645918">
              <w:marLeft w:val="0"/>
              <w:marRight w:val="0"/>
              <w:marTop w:val="0"/>
              <w:marBottom w:val="0"/>
              <w:divBdr>
                <w:top w:val="none" w:sz="0" w:space="0" w:color="auto"/>
                <w:left w:val="none" w:sz="0" w:space="0" w:color="auto"/>
                <w:bottom w:val="none" w:sz="0" w:space="0" w:color="auto"/>
                <w:right w:val="none" w:sz="0" w:space="0" w:color="auto"/>
              </w:divBdr>
            </w:div>
            <w:div w:id="1157458502">
              <w:marLeft w:val="0"/>
              <w:marRight w:val="0"/>
              <w:marTop w:val="0"/>
              <w:marBottom w:val="0"/>
              <w:divBdr>
                <w:top w:val="none" w:sz="0" w:space="0" w:color="auto"/>
                <w:left w:val="none" w:sz="0" w:space="0" w:color="auto"/>
                <w:bottom w:val="none" w:sz="0" w:space="0" w:color="auto"/>
                <w:right w:val="none" w:sz="0" w:space="0" w:color="auto"/>
              </w:divBdr>
            </w:div>
            <w:div w:id="1810592272">
              <w:marLeft w:val="0"/>
              <w:marRight w:val="0"/>
              <w:marTop w:val="0"/>
              <w:marBottom w:val="0"/>
              <w:divBdr>
                <w:top w:val="none" w:sz="0" w:space="0" w:color="auto"/>
                <w:left w:val="none" w:sz="0" w:space="0" w:color="auto"/>
                <w:bottom w:val="none" w:sz="0" w:space="0" w:color="auto"/>
                <w:right w:val="none" w:sz="0" w:space="0" w:color="auto"/>
              </w:divBdr>
            </w:div>
            <w:div w:id="1318418116">
              <w:marLeft w:val="0"/>
              <w:marRight w:val="0"/>
              <w:marTop w:val="0"/>
              <w:marBottom w:val="0"/>
              <w:divBdr>
                <w:top w:val="none" w:sz="0" w:space="0" w:color="auto"/>
                <w:left w:val="none" w:sz="0" w:space="0" w:color="auto"/>
                <w:bottom w:val="none" w:sz="0" w:space="0" w:color="auto"/>
                <w:right w:val="none" w:sz="0" w:space="0" w:color="auto"/>
              </w:divBdr>
            </w:div>
            <w:div w:id="739984094">
              <w:marLeft w:val="0"/>
              <w:marRight w:val="0"/>
              <w:marTop w:val="0"/>
              <w:marBottom w:val="0"/>
              <w:divBdr>
                <w:top w:val="none" w:sz="0" w:space="0" w:color="auto"/>
                <w:left w:val="none" w:sz="0" w:space="0" w:color="auto"/>
                <w:bottom w:val="none" w:sz="0" w:space="0" w:color="auto"/>
                <w:right w:val="none" w:sz="0" w:space="0" w:color="auto"/>
              </w:divBdr>
            </w:div>
            <w:div w:id="1920821001">
              <w:marLeft w:val="0"/>
              <w:marRight w:val="0"/>
              <w:marTop w:val="0"/>
              <w:marBottom w:val="0"/>
              <w:divBdr>
                <w:top w:val="none" w:sz="0" w:space="0" w:color="auto"/>
                <w:left w:val="none" w:sz="0" w:space="0" w:color="auto"/>
                <w:bottom w:val="none" w:sz="0" w:space="0" w:color="auto"/>
                <w:right w:val="none" w:sz="0" w:space="0" w:color="auto"/>
              </w:divBdr>
            </w:div>
            <w:div w:id="1600674615">
              <w:marLeft w:val="0"/>
              <w:marRight w:val="0"/>
              <w:marTop w:val="0"/>
              <w:marBottom w:val="0"/>
              <w:divBdr>
                <w:top w:val="none" w:sz="0" w:space="0" w:color="auto"/>
                <w:left w:val="none" w:sz="0" w:space="0" w:color="auto"/>
                <w:bottom w:val="none" w:sz="0" w:space="0" w:color="auto"/>
                <w:right w:val="none" w:sz="0" w:space="0" w:color="auto"/>
              </w:divBdr>
            </w:div>
            <w:div w:id="2002851152">
              <w:marLeft w:val="0"/>
              <w:marRight w:val="0"/>
              <w:marTop w:val="0"/>
              <w:marBottom w:val="0"/>
              <w:divBdr>
                <w:top w:val="none" w:sz="0" w:space="0" w:color="auto"/>
                <w:left w:val="none" w:sz="0" w:space="0" w:color="auto"/>
                <w:bottom w:val="none" w:sz="0" w:space="0" w:color="auto"/>
                <w:right w:val="none" w:sz="0" w:space="0" w:color="auto"/>
              </w:divBdr>
            </w:div>
            <w:div w:id="420680300">
              <w:marLeft w:val="0"/>
              <w:marRight w:val="0"/>
              <w:marTop w:val="0"/>
              <w:marBottom w:val="0"/>
              <w:divBdr>
                <w:top w:val="none" w:sz="0" w:space="0" w:color="auto"/>
                <w:left w:val="none" w:sz="0" w:space="0" w:color="auto"/>
                <w:bottom w:val="none" w:sz="0" w:space="0" w:color="auto"/>
                <w:right w:val="none" w:sz="0" w:space="0" w:color="auto"/>
              </w:divBdr>
            </w:div>
            <w:div w:id="12764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HTML/?uri=CELEX:32014R0926&amp;from=EN" TargetMode="External"/><Relationship Id="rId13" Type="http://schemas.openxmlformats.org/officeDocument/2006/relationships/hyperlink" Target="http://eur-lex.europa.eu/legal-content/EN/TXT/HTML/?uri=CELEX:32014R0926&amp;from=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gal-content/EN/TXT/HTML/?uri=CELEX:32014R0926&amp;from=EN" TargetMode="External"/><Relationship Id="rId12" Type="http://schemas.openxmlformats.org/officeDocument/2006/relationships/hyperlink" Target="http://eur-lex.europa.eu/legal-content/EN/TXT/HTML/?uri=CELEX:32014R0926&amp;from=E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ur-lex.europa.eu/legal-content/EN/AUTO/?uri=OJ:L:2007:319:T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legal-content/EN/TXT/HTML/?uri=CELEX:32014R0926&amp;from=EN" TargetMode="External"/><Relationship Id="rId4" Type="http://schemas.openxmlformats.org/officeDocument/2006/relationships/webSettings" Target="webSettings.xml"/><Relationship Id="rId9" Type="http://schemas.openxmlformats.org/officeDocument/2006/relationships/hyperlink" Target="http://eur-lex.europa.eu/legal-content/EN/TXT/HTML/?uri=CELEX:32014R0926&amp;from=EN" TargetMode="External"/><Relationship Id="rId14" Type="http://schemas.openxmlformats.org/officeDocument/2006/relationships/hyperlink" Target="http://eur-lex.europa.eu/legal-content/EN/AUTO/?uri=OJ:L:2004:145: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C1EC8C86.dotm</Template>
  <TotalTime>8</TotalTime>
  <Pages>6</Pages>
  <Words>1652</Words>
  <Characters>9092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 DELAMARRE</dc:creator>
  <cp:lastModifiedBy>Marie-Laure DELAMARRE</cp:lastModifiedBy>
  <cp:revision>5</cp:revision>
  <dcterms:created xsi:type="dcterms:W3CDTF">2015-06-12T11:23:00Z</dcterms:created>
  <dcterms:modified xsi:type="dcterms:W3CDTF">2015-12-16T15:46:00Z</dcterms:modified>
</cp:coreProperties>
</file>